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775A4">
      <w:pPr>
        <w:tabs>
          <w:tab w:val="left" w:pos="0"/>
        </w:tabs>
        <w:rPr>
          <w:color w:val="auto"/>
          <w:highlight w:val="none"/>
        </w:rPr>
      </w:pPr>
    </w:p>
    <w:p w14:paraId="6CBF8FF1">
      <w:pPr>
        <w:keepNext w:val="0"/>
        <w:keepLines w:val="0"/>
        <w:pageBreakBefore w:val="0"/>
        <w:widowControl w:val="0"/>
        <w:kinsoku/>
        <w:wordWrap/>
        <w:overflowPunct/>
        <w:topLinePunct w:val="0"/>
        <w:autoSpaceDE/>
        <w:autoSpaceDN/>
        <w:bidi w:val="0"/>
        <w:spacing w:beforeLines="0" w:afterLines="0" w:line="1000" w:lineRule="exact"/>
        <w:jc w:val="center"/>
        <w:textAlignment w:val="auto"/>
        <w:rPr>
          <w:rFonts w:hint="eastAsia" w:ascii="隶书" w:hAnsi="华文中宋" w:eastAsia="隶书" w:cs="Courier New"/>
          <w:color w:val="auto"/>
          <w:sz w:val="84"/>
          <w:szCs w:val="84"/>
        </w:rPr>
      </w:pPr>
    </w:p>
    <w:p w14:paraId="56095FB7">
      <w:pPr>
        <w:keepNext w:val="0"/>
        <w:keepLines w:val="0"/>
        <w:pageBreakBefore w:val="0"/>
        <w:widowControl w:val="0"/>
        <w:kinsoku/>
        <w:wordWrap/>
        <w:overflowPunct/>
        <w:topLinePunct w:val="0"/>
        <w:autoSpaceDE/>
        <w:autoSpaceDN/>
        <w:bidi w:val="0"/>
        <w:spacing w:beforeLines="0" w:afterLines="0" w:line="360" w:lineRule="auto"/>
        <w:jc w:val="center"/>
        <w:textAlignment w:val="auto"/>
        <w:rPr>
          <w:rFonts w:hint="eastAsia" w:ascii="宋体" w:hAnsi="宋体" w:eastAsia="宋体" w:cs="宋体"/>
          <w:b/>
          <w:bCs/>
          <w:color w:val="auto"/>
          <w:sz w:val="84"/>
          <w:szCs w:val="84"/>
        </w:rPr>
      </w:pPr>
      <w:r>
        <w:rPr>
          <w:rFonts w:hint="eastAsia" w:ascii="宋体" w:hAnsi="宋体" w:eastAsia="宋体" w:cs="宋体"/>
          <w:b/>
          <w:bCs/>
          <w:color w:val="auto"/>
          <w:sz w:val="84"/>
          <w:szCs w:val="84"/>
        </w:rPr>
        <w:t>政府采购</w:t>
      </w:r>
    </w:p>
    <w:p w14:paraId="3871B62D">
      <w:pPr>
        <w:keepNext w:val="0"/>
        <w:keepLines w:val="0"/>
        <w:pageBreakBefore w:val="0"/>
        <w:widowControl w:val="0"/>
        <w:kinsoku/>
        <w:wordWrap/>
        <w:overflowPunct/>
        <w:topLinePunct w:val="0"/>
        <w:autoSpaceDE/>
        <w:autoSpaceDN/>
        <w:bidi w:val="0"/>
        <w:adjustRightInd w:val="0"/>
        <w:snapToGrid w:val="0"/>
        <w:spacing w:beforeLines="0" w:afterLines="0" w:line="360" w:lineRule="auto"/>
        <w:jc w:val="center"/>
        <w:textAlignment w:val="auto"/>
        <w:rPr>
          <w:rFonts w:hint="eastAsia" w:ascii="宋体" w:hAnsi="宋体" w:eastAsia="宋体" w:cs="宋体"/>
          <w:b/>
          <w:bCs/>
          <w:color w:val="auto"/>
          <w:sz w:val="84"/>
          <w:szCs w:val="84"/>
        </w:rPr>
      </w:pPr>
      <w:r>
        <w:rPr>
          <w:rFonts w:hint="eastAsia" w:ascii="宋体" w:hAnsi="宋体" w:eastAsia="宋体" w:cs="宋体"/>
          <w:b/>
          <w:bCs/>
          <w:color w:val="auto"/>
          <w:sz w:val="84"/>
          <w:szCs w:val="84"/>
        </w:rPr>
        <w:t>竞争性谈判文件</w:t>
      </w:r>
    </w:p>
    <w:p w14:paraId="19FD6618">
      <w:pPr>
        <w:adjustRightInd w:val="0"/>
        <w:snapToGrid w:val="0"/>
        <w:spacing w:beforeLines="0" w:afterLines="0" w:line="360" w:lineRule="auto"/>
        <w:ind w:left="2730" w:leftChars="554" w:hanging="1400" w:hangingChars="700"/>
        <w:rPr>
          <w:rFonts w:hint="default" w:ascii="Tahoma" w:hAnsi="Tahoma" w:cs="Tahoma"/>
          <w:color w:val="auto"/>
          <w:sz w:val="20"/>
          <w:szCs w:val="20"/>
        </w:rPr>
      </w:pPr>
    </w:p>
    <w:p w14:paraId="6DE52BE3">
      <w:pPr>
        <w:adjustRightInd w:val="0"/>
        <w:snapToGrid w:val="0"/>
        <w:spacing w:beforeLines="0" w:afterLines="0" w:line="360" w:lineRule="auto"/>
        <w:ind w:left="2730" w:leftChars="554" w:hanging="1400" w:hangingChars="700"/>
        <w:rPr>
          <w:rFonts w:hint="default" w:ascii="Tahoma" w:hAnsi="Tahoma" w:cs="Tahoma"/>
          <w:color w:val="auto"/>
          <w:sz w:val="20"/>
          <w:szCs w:val="20"/>
        </w:rPr>
      </w:pPr>
    </w:p>
    <w:p w14:paraId="4914D5A2">
      <w:pPr>
        <w:pStyle w:val="2"/>
        <w:rPr>
          <w:rFonts w:hint="default" w:ascii="Tahoma" w:hAnsi="Tahoma" w:cs="Tahoma"/>
          <w:color w:val="auto"/>
          <w:sz w:val="20"/>
          <w:szCs w:val="20"/>
        </w:rPr>
      </w:pPr>
    </w:p>
    <w:p w14:paraId="68C19A7A">
      <w:pPr>
        <w:rPr>
          <w:rFonts w:hint="default"/>
        </w:rPr>
      </w:pPr>
    </w:p>
    <w:p w14:paraId="53C5633B">
      <w:pPr>
        <w:rPr>
          <w:rFonts w:hint="default"/>
        </w:rPr>
      </w:pPr>
    </w:p>
    <w:p w14:paraId="689EDCAD">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leftChars="0" w:firstLine="0" w:firstLineChars="0"/>
        <w:textAlignment w:val="auto"/>
        <w:rPr>
          <w:rFonts w:hint="eastAsia" w:ascii="宋体" w:hAnsi="宋体" w:eastAsia="宋体" w:cs="宋体"/>
          <w:b/>
          <w:color w:val="auto"/>
          <w:spacing w:val="-6"/>
          <w:sz w:val="30"/>
          <w:szCs w:val="30"/>
          <w:u w:val="single"/>
          <w:lang w:eastAsia="zh-CN"/>
        </w:rPr>
      </w:pPr>
      <w:r>
        <w:rPr>
          <w:rFonts w:hint="eastAsia" w:ascii="宋体" w:hAnsi="宋体" w:eastAsia="宋体" w:cs="宋体"/>
          <w:b/>
          <w:color w:val="auto"/>
          <w:spacing w:val="76"/>
          <w:kern w:val="0"/>
          <w:sz w:val="30"/>
          <w:szCs w:val="30"/>
          <w:fitText w:val="2560" w:id="667634607"/>
        </w:rPr>
        <w:t>采购项目名</w:t>
      </w:r>
      <w:r>
        <w:rPr>
          <w:rFonts w:hint="eastAsia" w:ascii="宋体" w:hAnsi="宋体" w:eastAsia="宋体" w:cs="宋体"/>
          <w:b/>
          <w:color w:val="auto"/>
          <w:spacing w:val="0"/>
          <w:kern w:val="0"/>
          <w:sz w:val="30"/>
          <w:szCs w:val="30"/>
          <w:fitText w:val="2560" w:id="667634607"/>
        </w:rPr>
        <w:t>称</w:t>
      </w:r>
      <w:r>
        <w:rPr>
          <w:rFonts w:hint="eastAsia" w:ascii="宋体" w:hAnsi="宋体" w:eastAsia="宋体" w:cs="宋体"/>
          <w:b/>
          <w:color w:val="auto"/>
          <w:sz w:val="30"/>
          <w:szCs w:val="30"/>
        </w:rPr>
        <w:t>：</w:t>
      </w:r>
      <w:r>
        <w:rPr>
          <w:rFonts w:hint="eastAsia" w:ascii="宋体" w:hAnsi="宋体" w:cs="宋体"/>
          <w:b/>
          <w:color w:val="auto"/>
          <w:spacing w:val="-6"/>
          <w:sz w:val="30"/>
          <w:szCs w:val="30"/>
          <w:u w:val="single"/>
          <w:lang w:eastAsia="zh-CN"/>
        </w:rPr>
        <w:t>张家界市图书馆社科书库提质改造采购项目</w:t>
      </w:r>
    </w:p>
    <w:p w14:paraId="2311FF73">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leftChars="0" w:firstLine="0" w:firstLineChars="0"/>
        <w:textAlignment w:val="auto"/>
        <w:rPr>
          <w:rFonts w:hint="eastAsia" w:ascii="宋体" w:hAnsi="宋体" w:eastAsia="宋体" w:cs="宋体"/>
          <w:b/>
          <w:color w:val="auto"/>
          <w:sz w:val="32"/>
          <w:szCs w:val="32"/>
          <w:lang w:val="en-US" w:eastAsia="zh-CN"/>
        </w:rPr>
      </w:pPr>
      <w:r>
        <w:rPr>
          <w:rFonts w:hint="eastAsia" w:ascii="宋体" w:hAnsi="宋体" w:eastAsia="宋体" w:cs="宋体"/>
          <w:b/>
          <w:color w:val="auto"/>
          <w:spacing w:val="0"/>
          <w:kern w:val="0"/>
          <w:sz w:val="32"/>
          <w:szCs w:val="32"/>
          <w:fitText w:val="2560" w:id="1743324651"/>
        </w:rPr>
        <w:t>政府采购计划编号</w:t>
      </w:r>
      <w:r>
        <w:rPr>
          <w:rFonts w:hint="eastAsia" w:ascii="宋体" w:hAnsi="宋体" w:eastAsia="宋体" w:cs="宋体"/>
          <w:b/>
          <w:color w:val="auto"/>
          <w:sz w:val="32"/>
          <w:szCs w:val="32"/>
        </w:rPr>
        <w:t>：</w:t>
      </w:r>
      <w:r>
        <w:rPr>
          <w:rFonts w:hint="eastAsia" w:ascii="宋体" w:hAnsi="宋体" w:cs="宋体"/>
          <w:b/>
          <w:color w:val="auto"/>
          <w:sz w:val="32"/>
          <w:szCs w:val="32"/>
          <w:u w:val="single"/>
          <w:lang w:eastAsia="zh-CN"/>
        </w:rPr>
        <w:t>张财采计【2026】</w:t>
      </w:r>
    </w:p>
    <w:p w14:paraId="2E8E1ABE">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leftChars="0" w:firstLine="0" w:firstLineChars="0"/>
        <w:textAlignment w:val="auto"/>
        <w:rPr>
          <w:rFonts w:hint="eastAsia" w:ascii="宋体" w:hAnsi="宋体" w:eastAsia="宋体" w:cs="宋体"/>
          <w:b/>
          <w:color w:val="auto"/>
          <w:sz w:val="32"/>
          <w:szCs w:val="32"/>
          <w:u w:val="single"/>
        </w:rPr>
      </w:pPr>
      <w:r>
        <w:rPr>
          <w:rFonts w:hint="eastAsia" w:ascii="宋体" w:hAnsi="宋体" w:eastAsia="宋体" w:cs="宋体"/>
          <w:b/>
          <w:color w:val="auto"/>
          <w:spacing w:val="64"/>
          <w:kern w:val="0"/>
          <w:sz w:val="32"/>
          <w:szCs w:val="32"/>
          <w:fitText w:val="2560" w:id="250816488"/>
        </w:rPr>
        <w:t>委托代理编</w:t>
      </w:r>
      <w:r>
        <w:rPr>
          <w:rFonts w:hint="eastAsia" w:ascii="宋体" w:hAnsi="宋体" w:eastAsia="宋体" w:cs="宋体"/>
          <w:b/>
          <w:color w:val="auto"/>
          <w:spacing w:val="0"/>
          <w:kern w:val="0"/>
          <w:sz w:val="32"/>
          <w:szCs w:val="32"/>
          <w:fitText w:val="2560" w:id="250816488"/>
        </w:rPr>
        <w:t>号</w:t>
      </w:r>
      <w:r>
        <w:rPr>
          <w:rFonts w:hint="eastAsia" w:ascii="宋体" w:hAnsi="宋体" w:eastAsia="宋体" w:cs="宋体"/>
          <w:b/>
          <w:color w:val="auto"/>
          <w:sz w:val="32"/>
          <w:szCs w:val="32"/>
        </w:rPr>
        <w:t>：</w:t>
      </w:r>
      <w:r>
        <w:rPr>
          <w:rFonts w:hint="eastAsia" w:ascii="宋体" w:hAnsi="宋体" w:cs="宋体"/>
          <w:b/>
          <w:color w:val="auto"/>
          <w:sz w:val="32"/>
          <w:szCs w:val="32"/>
          <w:u w:val="single"/>
          <w:lang w:eastAsia="zh-CN"/>
        </w:rPr>
        <w:t>HNFH-2026-F041</w:t>
      </w:r>
    </w:p>
    <w:p w14:paraId="50ECFD20">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leftChars="0" w:firstLine="0" w:firstLineChars="0"/>
        <w:textAlignment w:val="auto"/>
        <w:rPr>
          <w:rFonts w:hint="eastAsia" w:ascii="宋体" w:hAnsi="宋体" w:eastAsia="宋体" w:cs="宋体"/>
          <w:b/>
          <w:color w:val="auto"/>
          <w:sz w:val="32"/>
          <w:szCs w:val="32"/>
          <w:u w:val="single"/>
          <w:lang w:val="en-US" w:eastAsia="zh-CN"/>
        </w:rPr>
      </w:pPr>
      <w:r>
        <w:rPr>
          <w:rFonts w:hint="eastAsia" w:ascii="宋体" w:hAnsi="宋体" w:eastAsia="宋体" w:cs="宋体"/>
          <w:b/>
          <w:color w:val="auto"/>
          <w:spacing w:val="400"/>
          <w:kern w:val="0"/>
          <w:sz w:val="32"/>
          <w:szCs w:val="32"/>
          <w:fitText w:val="2560" w:id="778174576"/>
        </w:rPr>
        <w:t>采购</w:t>
      </w:r>
      <w:r>
        <w:rPr>
          <w:rFonts w:hint="eastAsia" w:ascii="宋体" w:hAnsi="宋体" w:eastAsia="宋体" w:cs="宋体"/>
          <w:b/>
          <w:color w:val="auto"/>
          <w:spacing w:val="0"/>
          <w:kern w:val="0"/>
          <w:sz w:val="32"/>
          <w:szCs w:val="32"/>
          <w:fitText w:val="2560" w:id="778174576"/>
        </w:rPr>
        <w:t>人</w:t>
      </w:r>
      <w:r>
        <w:rPr>
          <w:rFonts w:hint="eastAsia" w:ascii="宋体" w:hAnsi="宋体" w:eastAsia="宋体" w:cs="宋体"/>
          <w:b/>
          <w:color w:val="auto"/>
          <w:sz w:val="32"/>
          <w:szCs w:val="32"/>
        </w:rPr>
        <w:t>：</w:t>
      </w:r>
      <w:r>
        <w:rPr>
          <w:rFonts w:hint="eastAsia" w:ascii="宋体" w:hAnsi="宋体" w:cs="宋体"/>
          <w:b/>
          <w:color w:val="auto"/>
          <w:sz w:val="32"/>
          <w:szCs w:val="32"/>
          <w:u w:val="single"/>
          <w:lang w:eastAsia="zh-CN"/>
        </w:rPr>
        <w:t>张家界市文化旅游广电体育局</w:t>
      </w:r>
    </w:p>
    <w:p w14:paraId="7251A7D4">
      <w:pPr>
        <w:keepNext w:val="0"/>
        <w:keepLines w:val="0"/>
        <w:pageBreakBefore w:val="0"/>
        <w:widowControl w:val="0"/>
        <w:kinsoku/>
        <w:wordWrap/>
        <w:overflowPunct/>
        <w:topLinePunct w:val="0"/>
        <w:autoSpaceDE/>
        <w:autoSpaceDN/>
        <w:bidi w:val="0"/>
        <w:adjustRightInd w:val="0"/>
        <w:snapToGrid w:val="0"/>
        <w:spacing w:beforeLines="0" w:afterLines="0" w:line="360" w:lineRule="auto"/>
        <w:ind w:left="0" w:leftChars="0" w:firstLine="0" w:firstLineChars="0"/>
        <w:textAlignment w:val="auto"/>
        <w:rPr>
          <w:rFonts w:hint="eastAsia" w:ascii="宋体" w:hAnsi="宋体" w:eastAsia="宋体" w:cs="宋体"/>
          <w:b/>
          <w:color w:val="auto"/>
          <w:sz w:val="32"/>
          <w:szCs w:val="32"/>
          <w:lang w:val="en-US" w:eastAsia="zh-CN"/>
        </w:rPr>
      </w:pPr>
      <w:r>
        <w:rPr>
          <w:rFonts w:hint="eastAsia" w:ascii="宋体" w:hAnsi="宋体" w:eastAsia="宋体" w:cs="宋体"/>
          <w:b/>
          <w:color w:val="auto"/>
          <w:spacing w:val="64"/>
          <w:kern w:val="0"/>
          <w:sz w:val="32"/>
          <w:szCs w:val="21"/>
          <w:fitText w:val="2560" w:id="1084380225"/>
        </w:rPr>
        <w:t>采购代理机</w:t>
      </w:r>
      <w:r>
        <w:rPr>
          <w:rFonts w:hint="eastAsia" w:ascii="宋体" w:hAnsi="宋体" w:eastAsia="宋体" w:cs="宋体"/>
          <w:b/>
          <w:color w:val="auto"/>
          <w:spacing w:val="0"/>
          <w:kern w:val="0"/>
          <w:sz w:val="32"/>
          <w:szCs w:val="21"/>
          <w:fitText w:val="2560" w:id="1084380225"/>
        </w:rPr>
        <w:t>构</w:t>
      </w:r>
      <w:r>
        <w:rPr>
          <w:rFonts w:hint="eastAsia" w:ascii="宋体" w:hAnsi="宋体" w:eastAsia="宋体" w:cs="宋体"/>
          <w:b/>
          <w:color w:val="auto"/>
          <w:sz w:val="32"/>
          <w:szCs w:val="21"/>
        </w:rPr>
        <w:t>：</w:t>
      </w:r>
      <w:r>
        <w:rPr>
          <w:rFonts w:hint="eastAsia" w:ascii="宋体" w:hAnsi="宋体" w:cs="宋体"/>
          <w:b/>
          <w:color w:val="auto"/>
          <w:sz w:val="32"/>
          <w:szCs w:val="21"/>
          <w:u w:val="single"/>
          <w:lang w:eastAsia="zh-CN"/>
        </w:rPr>
        <w:t>湖南泛华项目管理有限公司</w:t>
      </w:r>
    </w:p>
    <w:p w14:paraId="1577DFD3">
      <w:pPr>
        <w:adjustRightInd w:val="0"/>
        <w:snapToGrid w:val="0"/>
        <w:spacing w:beforeLines="0" w:afterLines="0" w:line="360" w:lineRule="auto"/>
        <w:jc w:val="center"/>
        <w:rPr>
          <w:rFonts w:hint="eastAsia" w:ascii="仿宋_GB2312" w:hAnsi="宋体" w:eastAsia="仿宋_GB2312" w:cs="Courier New"/>
          <w:b/>
          <w:color w:val="auto"/>
          <w:sz w:val="32"/>
          <w:szCs w:val="21"/>
        </w:rPr>
      </w:pPr>
    </w:p>
    <w:p w14:paraId="2EB92FB4">
      <w:pPr>
        <w:adjustRightInd w:val="0"/>
        <w:snapToGrid w:val="0"/>
        <w:spacing w:beforeLines="0" w:afterLines="0" w:line="360" w:lineRule="auto"/>
        <w:rPr>
          <w:rFonts w:hint="eastAsia" w:ascii="仿宋_GB2312" w:hAnsi="宋体" w:eastAsia="仿宋_GB2312" w:cs="Courier New"/>
          <w:b/>
          <w:color w:val="auto"/>
          <w:sz w:val="32"/>
          <w:szCs w:val="21"/>
        </w:rPr>
      </w:pPr>
    </w:p>
    <w:p w14:paraId="0BC962A4">
      <w:pPr>
        <w:adjustRightInd w:val="0"/>
        <w:snapToGrid w:val="0"/>
        <w:spacing w:beforeLines="0" w:afterLines="0" w:line="360" w:lineRule="auto"/>
        <w:jc w:val="center"/>
        <w:rPr>
          <w:rFonts w:hint="eastAsia" w:ascii="仿宋_GB2312" w:hAnsi="宋体" w:eastAsia="仿宋_GB2312" w:cs="Courier New"/>
          <w:b/>
          <w:color w:val="auto"/>
          <w:sz w:val="32"/>
          <w:szCs w:val="21"/>
        </w:rPr>
      </w:pPr>
    </w:p>
    <w:p w14:paraId="6863B685">
      <w:pPr>
        <w:adjustRightInd w:val="0"/>
        <w:snapToGrid w:val="0"/>
        <w:spacing w:beforeLines="0" w:afterLines="0" w:line="360" w:lineRule="auto"/>
        <w:jc w:val="both"/>
        <w:rPr>
          <w:rFonts w:hint="eastAsia" w:ascii="仿宋_GB2312" w:hAnsi="宋体" w:eastAsia="仿宋_GB2312" w:cs="Courier New"/>
          <w:b/>
          <w:color w:val="auto"/>
          <w:sz w:val="32"/>
          <w:szCs w:val="21"/>
        </w:rPr>
      </w:pPr>
    </w:p>
    <w:p w14:paraId="301D7EC5">
      <w:pPr>
        <w:adjustRightInd w:val="0"/>
        <w:snapToGrid w:val="0"/>
        <w:spacing w:beforeLines="0" w:afterLines="0" w:line="360" w:lineRule="auto"/>
        <w:jc w:val="center"/>
        <w:rPr>
          <w:rFonts w:hint="eastAsia" w:ascii="宋体" w:hAnsi="宋体" w:eastAsia="宋体" w:cs="Courier New"/>
          <w:b/>
          <w:color w:val="auto"/>
          <w:sz w:val="32"/>
          <w:szCs w:val="21"/>
          <w:lang w:val="en-US" w:eastAsia="zh-CN"/>
        </w:rPr>
      </w:pPr>
      <w:r>
        <w:rPr>
          <w:rFonts w:hint="eastAsia" w:ascii="宋体" w:hAnsi="宋体" w:cs="Courier New"/>
          <w:b/>
          <w:color w:val="auto"/>
          <w:sz w:val="32"/>
          <w:szCs w:val="21"/>
          <w:lang w:eastAsia="zh-CN"/>
        </w:rPr>
        <w:t>2026年</w:t>
      </w:r>
      <w:r>
        <w:rPr>
          <w:rFonts w:hint="eastAsia" w:ascii="宋体" w:hAnsi="宋体" w:cs="Courier New"/>
          <w:b/>
          <w:color w:val="auto"/>
          <w:sz w:val="32"/>
          <w:szCs w:val="21"/>
          <w:lang w:val="en-US" w:eastAsia="zh-CN"/>
        </w:rPr>
        <w:t>07</w:t>
      </w:r>
      <w:r>
        <w:rPr>
          <w:rFonts w:hint="eastAsia" w:ascii="宋体" w:hAnsi="宋体" w:cs="Courier New"/>
          <w:b/>
          <w:color w:val="auto"/>
          <w:sz w:val="32"/>
          <w:szCs w:val="21"/>
          <w:lang w:eastAsia="zh-CN"/>
        </w:rPr>
        <w:t>月</w:t>
      </w:r>
    </w:p>
    <w:p w14:paraId="5E7900AE">
      <w:pPr>
        <w:pStyle w:val="2"/>
        <w:rPr>
          <w:rFonts w:hint="eastAsia"/>
          <w:lang w:val="en-US" w:eastAsia="zh-CN"/>
        </w:rPr>
      </w:pPr>
    </w:p>
    <w:p w14:paraId="01B14974">
      <w:pPr>
        <w:rPr>
          <w:rFonts w:hint="eastAsia"/>
          <w:lang w:val="en-US" w:eastAsia="zh-CN"/>
        </w:rPr>
      </w:pPr>
    </w:p>
    <w:p w14:paraId="5A5FBCFF">
      <w:pPr>
        <w:adjustRightInd w:val="0"/>
        <w:snapToGrid w:val="0"/>
        <w:spacing w:beforeLines="0" w:afterLines="0" w:line="360" w:lineRule="auto"/>
        <w:jc w:val="center"/>
        <w:rPr>
          <w:rFonts w:hint="eastAsia" w:ascii="宋体" w:hAnsi="宋体" w:eastAsia="宋体"/>
          <w:color w:val="000000" w:themeColor="text1"/>
          <w:sz w:val="44"/>
          <w:szCs w:val="44"/>
          <w:lang w:val="en-US" w:eastAsia="zh-CN"/>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报价风险告知书</w:t>
      </w:r>
    </w:p>
    <w:p w14:paraId="3106044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olor w:val="000000" w:themeColor="text1"/>
          <w:sz w:val="30"/>
          <w:szCs w:val="30"/>
          <w:lang w:val="en-US" w:eastAsia="zh-CN"/>
          <w14:textFill>
            <w14:solidFill>
              <w14:schemeClr w14:val="tx1"/>
            </w14:solidFill>
          </w14:textFill>
        </w:rPr>
      </w:pPr>
      <w:r>
        <w:rPr>
          <w:rFonts w:hint="eastAsia" w:ascii="宋体" w:hAnsi="宋体" w:eastAsia="宋体"/>
          <w:color w:val="000000" w:themeColor="text1"/>
          <w:sz w:val="30"/>
          <w:szCs w:val="30"/>
          <w:lang w:val="en-US" w:eastAsia="zh-CN"/>
          <w14:textFill>
            <w14:solidFill>
              <w14:schemeClr w14:val="tx1"/>
            </w14:solidFill>
          </w14:textFill>
        </w:rPr>
        <w:t>低价风险高，报价须谨慎。</w:t>
      </w:r>
    </w:p>
    <w:p w14:paraId="2192416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olor w:val="000000" w:themeColor="text1"/>
          <w:sz w:val="30"/>
          <w:szCs w:val="30"/>
          <w:lang w:val="en-US" w:eastAsia="zh-CN"/>
          <w14:textFill>
            <w14:solidFill>
              <w14:schemeClr w14:val="tx1"/>
            </w14:solidFill>
          </w14:textFill>
        </w:rPr>
      </w:pPr>
      <w:r>
        <w:rPr>
          <w:rFonts w:hint="eastAsia" w:ascii="宋体" w:hAnsi="宋体" w:eastAsia="宋体"/>
          <w:color w:val="000000" w:themeColor="text1"/>
          <w:sz w:val="30"/>
          <w:szCs w:val="30"/>
          <w:lang w:val="en-US" w:eastAsia="zh-CN"/>
          <w14:textFill>
            <w14:solidFill>
              <w14:schemeClr w14:val="tx1"/>
            </w14:solidFill>
          </w14:textFill>
        </w:rPr>
        <w:t>本项目按照张政办发</w:t>
      </w:r>
      <w:r>
        <w:rPr>
          <w:rFonts w:hint="eastAsia" w:ascii="宋体" w:hAnsi="宋体"/>
          <w:color w:val="000000" w:themeColor="text1"/>
          <w:sz w:val="30"/>
          <w:szCs w:val="30"/>
          <w:lang w:val="en-US" w:eastAsia="zh-CN"/>
          <w14:textFill>
            <w14:solidFill>
              <w14:schemeClr w14:val="tx1"/>
            </w14:solidFill>
          </w14:textFill>
        </w:rPr>
        <w:t>〔2024〕21号</w:t>
      </w:r>
      <w:r>
        <w:rPr>
          <w:rFonts w:hint="eastAsia" w:ascii="宋体" w:hAnsi="宋体" w:eastAsia="宋体"/>
          <w:color w:val="000000" w:themeColor="text1"/>
          <w:sz w:val="30"/>
          <w:szCs w:val="30"/>
          <w:lang w:val="en-US" w:eastAsia="zh-CN"/>
          <w14:textFill>
            <w14:solidFill>
              <w14:schemeClr w14:val="tx1"/>
            </w14:solidFill>
          </w14:textFill>
        </w:rPr>
        <w:t>文件精神，实行最低评标价法，请务必仔细阅读</w:t>
      </w:r>
      <w:r>
        <w:rPr>
          <w:rFonts w:hint="eastAsia" w:ascii="宋体" w:hAnsi="宋体" w:eastAsia="宋体" w:cs="宋体"/>
          <w:color w:val="auto"/>
          <w:sz w:val="30"/>
          <w:szCs w:val="30"/>
          <w:lang w:val="en-US" w:eastAsia="zh-CN"/>
        </w:rPr>
        <w:t>政府采购竞争性谈判文件</w:t>
      </w:r>
      <w:r>
        <w:rPr>
          <w:rFonts w:hint="eastAsia" w:ascii="宋体" w:hAnsi="宋体" w:eastAsia="宋体"/>
          <w:color w:val="000000" w:themeColor="text1"/>
          <w:sz w:val="30"/>
          <w:szCs w:val="30"/>
          <w:lang w:val="en-US" w:eastAsia="zh-CN"/>
          <w14:textFill>
            <w14:solidFill>
              <w14:schemeClr w14:val="tx1"/>
            </w14:solidFill>
          </w14:textFill>
        </w:rPr>
        <w:t>，知悉违约的严重后果，理性报价。现将有关竞价风险提示如下：</w:t>
      </w:r>
    </w:p>
    <w:p w14:paraId="6C3CD62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olor w:val="000000" w:themeColor="text1"/>
          <w:sz w:val="30"/>
          <w:szCs w:val="30"/>
          <w:lang w:val="en-US" w:eastAsia="zh-CN"/>
          <w14:textFill>
            <w14:solidFill>
              <w14:schemeClr w14:val="tx1"/>
            </w14:solidFill>
          </w14:textFill>
        </w:rPr>
      </w:pPr>
      <w:r>
        <w:rPr>
          <w:rFonts w:hint="eastAsia" w:ascii="宋体" w:hAnsi="宋体"/>
          <w:color w:val="000000" w:themeColor="text1"/>
          <w:sz w:val="30"/>
          <w:szCs w:val="30"/>
          <w:lang w:val="en-US" w:eastAsia="zh-CN"/>
          <w14:textFill>
            <w14:solidFill>
              <w14:schemeClr w14:val="tx1"/>
            </w14:solidFill>
          </w14:textFill>
        </w:rPr>
        <w:t>1.</w:t>
      </w:r>
      <w:r>
        <w:rPr>
          <w:rFonts w:hint="eastAsia" w:ascii="宋体" w:hAnsi="宋体" w:eastAsia="宋体"/>
          <w:color w:val="000000" w:themeColor="text1"/>
          <w:sz w:val="30"/>
          <w:szCs w:val="30"/>
          <w:lang w:val="en-US" w:eastAsia="zh-CN"/>
          <w14:textFill>
            <w14:solidFill>
              <w14:schemeClr w14:val="tx1"/>
            </w14:solidFill>
          </w14:textFill>
        </w:rPr>
        <w:t>履约担保金</w:t>
      </w:r>
      <w:r>
        <w:rPr>
          <w:rFonts w:hint="default" w:ascii="宋体" w:hAnsi="宋体" w:eastAsia="宋体"/>
          <w:color w:val="000000" w:themeColor="text1"/>
          <w:sz w:val="30"/>
          <w:szCs w:val="30"/>
          <w:lang w:val="en-US" w:eastAsia="zh-CN"/>
          <w14:textFill>
            <w14:solidFill>
              <w14:schemeClr w14:val="tx1"/>
            </w14:solidFill>
          </w14:textFill>
        </w:rPr>
        <w:t>额</w:t>
      </w:r>
      <w:r>
        <w:rPr>
          <w:rFonts w:hint="eastAsia" w:ascii="宋体" w:hAnsi="宋体" w:eastAsia="宋体"/>
          <w:color w:val="000000" w:themeColor="text1"/>
          <w:sz w:val="30"/>
          <w:szCs w:val="30"/>
          <w:lang w:val="en-US" w:eastAsia="zh-CN"/>
          <w14:textFill>
            <w14:solidFill>
              <w14:schemeClr w14:val="tx1"/>
            </w14:solidFill>
          </w14:textFill>
        </w:rPr>
        <w:t>。</w:t>
      </w:r>
      <w:r>
        <w:rPr>
          <w:rFonts w:hint="default" w:ascii="宋体" w:hAnsi="宋体"/>
          <w:color w:val="auto"/>
          <w:sz w:val="30"/>
          <w:szCs w:val="30"/>
          <w:lang w:eastAsia="zh-CN"/>
        </w:rPr>
        <w:t>当</w:t>
      </w:r>
      <w:r>
        <w:rPr>
          <w:rFonts w:hint="eastAsia" w:ascii="宋体" w:hAnsi="宋体" w:eastAsia="宋体"/>
          <w:color w:val="auto"/>
          <w:sz w:val="30"/>
          <w:szCs w:val="30"/>
          <w:lang w:val="en-US" w:eastAsia="zh-CN"/>
        </w:rPr>
        <w:t>中标金额降价幅度不超过采购预算10%的，履约保证金为中标金额的10%</w:t>
      </w:r>
      <w:r>
        <w:rPr>
          <w:rFonts w:hint="eastAsia" w:ascii="宋体" w:hAnsi="宋体"/>
          <w:color w:val="auto"/>
          <w:sz w:val="30"/>
          <w:szCs w:val="30"/>
          <w:lang w:val="en-US" w:eastAsia="zh-CN"/>
        </w:rPr>
        <w:t>；</w:t>
      </w:r>
      <w:r>
        <w:rPr>
          <w:rFonts w:hint="default" w:ascii="宋体" w:hAnsi="宋体"/>
          <w:color w:val="auto"/>
          <w:sz w:val="30"/>
          <w:szCs w:val="30"/>
          <w:lang w:eastAsia="zh-CN"/>
        </w:rPr>
        <w:t>当</w:t>
      </w:r>
      <w:r>
        <w:rPr>
          <w:rFonts w:hint="eastAsia" w:ascii="宋体" w:hAnsi="宋体" w:eastAsia="宋体"/>
          <w:color w:val="000000" w:themeColor="text1"/>
          <w:sz w:val="30"/>
          <w:szCs w:val="30"/>
          <w:lang w:val="en-US" w:eastAsia="zh-CN"/>
          <w14:textFill>
            <w14:solidFill>
              <w14:schemeClr w14:val="tx1"/>
            </w14:solidFill>
          </w14:textFill>
        </w:rPr>
        <w:t>中标金额降价幅度超过采购预算10%以上的，履约保证金为采购预算减去中标金额的差额。</w:t>
      </w:r>
    </w:p>
    <w:p w14:paraId="22DB047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olor w:val="000000" w:themeColor="text1"/>
          <w:sz w:val="30"/>
          <w:szCs w:val="30"/>
          <w:lang w:val="en-US" w:eastAsia="zh-CN"/>
          <w14:textFill>
            <w14:solidFill>
              <w14:schemeClr w14:val="tx1"/>
            </w14:solidFill>
          </w14:textFill>
        </w:rPr>
      </w:pPr>
      <w:r>
        <w:rPr>
          <w:rFonts w:hint="eastAsia" w:ascii="宋体" w:hAnsi="宋体" w:eastAsia="宋体"/>
          <w:color w:val="000000" w:themeColor="text1"/>
          <w:sz w:val="30"/>
          <w:szCs w:val="30"/>
          <w:lang w:val="en-US" w:eastAsia="zh-CN"/>
          <w14:textFill>
            <w14:solidFill>
              <w14:schemeClr w14:val="tx1"/>
            </w14:solidFill>
          </w14:textFill>
        </w:rPr>
        <w:t>2.履约担保提交期限。供应商自领取中标通知书后7个工作日内提交履约保证金，最长不超过14个工作日。</w:t>
      </w:r>
    </w:p>
    <w:p w14:paraId="658D971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olor w:val="000000" w:themeColor="text1"/>
          <w:sz w:val="30"/>
          <w:szCs w:val="30"/>
          <w:lang w:val="en-US" w:eastAsia="zh-CN"/>
          <w14:textFill>
            <w14:solidFill>
              <w14:schemeClr w14:val="tx1"/>
            </w14:solidFill>
          </w14:textFill>
        </w:rPr>
      </w:pPr>
      <w:r>
        <w:rPr>
          <w:rFonts w:hint="eastAsia" w:ascii="宋体" w:hAnsi="宋体" w:eastAsia="宋体"/>
          <w:color w:val="000000" w:themeColor="text1"/>
          <w:sz w:val="30"/>
          <w:szCs w:val="30"/>
          <w:lang w:val="en-US" w:eastAsia="zh-CN"/>
          <w14:textFill>
            <w14:solidFill>
              <w14:schemeClr w14:val="tx1"/>
            </w14:solidFill>
          </w14:textFill>
        </w:rPr>
        <w:t>3.履约担保提交逾期风险。</w:t>
      </w:r>
    </w:p>
    <w:p w14:paraId="0CB0777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宋体" w:hAnsi="宋体" w:eastAsia="宋体"/>
          <w:color w:val="000000" w:themeColor="text1"/>
          <w:sz w:val="30"/>
          <w:szCs w:val="30"/>
          <w:lang w:val="en-US" w:eastAsia="zh-CN"/>
          <w14:textFill>
            <w14:solidFill>
              <w14:schemeClr w14:val="tx1"/>
            </w14:solidFill>
          </w14:textFill>
        </w:rPr>
      </w:pPr>
      <w:r>
        <w:rPr>
          <w:rFonts w:hint="eastAsia" w:ascii="宋体" w:hAnsi="宋体" w:eastAsia="宋体"/>
          <w:color w:val="000000" w:themeColor="text1"/>
          <w:sz w:val="30"/>
          <w:szCs w:val="30"/>
          <w:lang w:val="en-US" w:eastAsia="zh-CN"/>
          <w14:textFill>
            <w14:solidFill>
              <w14:schemeClr w14:val="tx1"/>
            </w14:solidFill>
          </w14:textFill>
        </w:rPr>
        <w:t>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宋体" w:hAnsi="宋体" w:eastAsia="宋体"/>
          <w:color w:val="000000" w:themeColor="text1"/>
          <w:sz w:val="30"/>
          <w:szCs w:val="30"/>
          <w:lang w:val="en-US" w:eastAsia="zh-CN"/>
          <w14:textFill>
            <w14:solidFill>
              <w14:schemeClr w14:val="tx1"/>
            </w14:solidFill>
          </w14:textFill>
        </w:rPr>
        <w:tab/>
      </w:r>
    </w:p>
    <w:p w14:paraId="2AF1246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宋体" w:hAnsi="宋体" w:eastAsia="宋体"/>
          <w:color w:val="000000" w:themeColor="text1"/>
          <w:sz w:val="30"/>
          <w:szCs w:val="30"/>
          <w:lang w:val="en-US" w:eastAsia="zh-CN"/>
          <w14:textFill>
            <w14:solidFill>
              <w14:schemeClr w14:val="tx1"/>
            </w14:solidFill>
          </w14:textFill>
        </w:rPr>
      </w:pPr>
      <w:r>
        <w:rPr>
          <w:rFonts w:hint="eastAsia" w:ascii="宋体" w:hAnsi="宋体" w:eastAsia="宋体"/>
          <w:color w:val="000000" w:themeColor="text1"/>
          <w:sz w:val="30"/>
          <w:szCs w:val="30"/>
          <w:lang w:val="en-US" w:eastAsia="zh-CN"/>
          <w14:textFill>
            <w14:solidFill>
              <w14:schemeClr w14:val="tx1"/>
            </w14:solidFill>
          </w14:textFill>
        </w:rPr>
        <w:t>风险包括但不限于以上内容。</w:t>
      </w:r>
    </w:p>
    <w:p w14:paraId="79C6B92C">
      <w:pPr>
        <w:spacing w:line="560" w:lineRule="exact"/>
        <w:ind w:firstLine="771"/>
        <w:rPr>
          <w:rFonts w:hint="eastAsia" w:ascii="宋体" w:hAnsi="宋体" w:eastAsia="宋体"/>
          <w:color w:val="000000" w:themeColor="text1"/>
          <w:sz w:val="30"/>
          <w:szCs w:val="30"/>
          <w:lang w:val="en-US" w:eastAsia="zh-CN"/>
          <w14:textFill>
            <w14:solidFill>
              <w14:schemeClr w14:val="tx1"/>
            </w14:solidFill>
          </w14:textFill>
        </w:rPr>
        <w:sectPr>
          <w:headerReference r:id="rId5" w:type="default"/>
          <w:footerReference r:id="rId6" w:type="default"/>
          <w:pgSz w:w="11906" w:h="16838"/>
          <w:pgMar w:top="1134" w:right="1803" w:bottom="1134" w:left="1803" w:header="850" w:footer="624" w:gutter="0"/>
          <w:pgBorders>
            <w:top w:val="none" w:sz="0" w:space="0"/>
            <w:left w:val="none" w:sz="0" w:space="0"/>
            <w:bottom w:val="none" w:sz="0" w:space="0"/>
            <w:right w:val="none" w:sz="0" w:space="0"/>
          </w:pgBorders>
          <w:pgNumType w:fmt="decimal" w:start="1"/>
          <w:cols w:space="425" w:num="1"/>
          <w:rtlGutter w:val="0"/>
          <w:docGrid w:type="lines" w:linePitch="312" w:charSpace="0"/>
        </w:sectPr>
      </w:pPr>
    </w:p>
    <w:p w14:paraId="7DEF2324">
      <w:pPr>
        <w:spacing w:line="240" w:lineRule="auto"/>
        <w:jc w:val="center"/>
        <w:rPr>
          <w:rFonts w:ascii="微软雅黑" w:hAnsi="微软雅黑" w:eastAsia="微软雅黑" w:cs="微软雅黑"/>
          <w:b w:val="0"/>
          <w:bCs w:val="0"/>
          <w:color w:val="auto"/>
          <w:sz w:val="44"/>
          <w:szCs w:val="44"/>
          <w:highlight w:val="none"/>
        </w:rPr>
      </w:pPr>
      <w:r>
        <w:rPr>
          <w:rFonts w:hint="eastAsia" w:ascii="微软雅黑" w:hAnsi="微软雅黑" w:eastAsia="微软雅黑" w:cs="微软雅黑"/>
          <w:b w:val="0"/>
          <w:bCs w:val="0"/>
          <w:color w:val="auto"/>
          <w:sz w:val="44"/>
          <w:szCs w:val="44"/>
          <w:highlight w:val="none"/>
        </w:rPr>
        <w:t>目  录</w:t>
      </w:r>
    </w:p>
    <w:p w14:paraId="23217921">
      <w:pPr>
        <w:pStyle w:val="24"/>
        <w:tabs>
          <w:tab w:val="right" w:leader="dot" w:pos="9638"/>
          <w:tab w:val="clear" w:pos="0"/>
        </w:tabs>
      </w:pPr>
      <w:r>
        <w:rPr>
          <w:rFonts w:hint="eastAsia" w:ascii="黑体" w:hAnsi="黑体" w:eastAsia="黑体" w:cs="黑体"/>
          <w:color w:val="auto"/>
          <w:szCs w:val="36"/>
          <w:highlight w:val="none"/>
        </w:rPr>
        <w:fldChar w:fldCharType="begin"/>
      </w:r>
      <w:r>
        <w:rPr>
          <w:rFonts w:ascii="黑体" w:hAnsi="黑体" w:eastAsia="黑体" w:cs="黑体"/>
          <w:color w:val="auto"/>
          <w:szCs w:val="36"/>
          <w:highlight w:val="none"/>
        </w:rPr>
        <w:instrText xml:space="preserve">TOC \o "1-2" \h \u </w:instrText>
      </w:r>
      <w:r>
        <w:rPr>
          <w:rFonts w:hint="eastAsia" w:ascii="黑体" w:hAnsi="黑体" w:eastAsia="黑体" w:cs="黑体"/>
          <w:color w:val="auto"/>
          <w:szCs w:val="36"/>
          <w:highlight w:val="none"/>
        </w:rPr>
        <w:fldChar w:fldCharType="separate"/>
      </w:r>
      <w:r>
        <w:rPr>
          <w:rFonts w:hint="eastAsia" w:ascii="黑体" w:hAnsi="黑体" w:eastAsia="黑体" w:cs="黑体"/>
          <w:color w:val="auto"/>
          <w:szCs w:val="36"/>
          <w:highlight w:val="none"/>
        </w:rPr>
        <w:fldChar w:fldCharType="begin"/>
      </w:r>
      <w:r>
        <w:rPr>
          <w:rFonts w:hint="eastAsia" w:ascii="黑体" w:hAnsi="黑体" w:eastAsia="黑体" w:cs="黑体"/>
          <w:szCs w:val="36"/>
          <w:highlight w:val="none"/>
        </w:rPr>
        <w:instrText xml:space="preserve"> HYPERLINK \l _Toc24758 </w:instrText>
      </w:r>
      <w:r>
        <w:rPr>
          <w:rFonts w:hint="eastAsia" w:ascii="黑体" w:hAnsi="黑体" w:eastAsia="黑体" w:cs="黑体"/>
          <w:szCs w:val="36"/>
          <w:highlight w:val="none"/>
        </w:rPr>
        <w:fldChar w:fldCharType="separate"/>
      </w:r>
      <w:r>
        <w:rPr>
          <w:rFonts w:hint="eastAsia" w:ascii="宋体" w:hAnsi="宋体" w:eastAsia="宋体" w:cs="宋体"/>
          <w:bCs w:val="0"/>
          <w:highlight w:val="none"/>
        </w:rPr>
        <w:t xml:space="preserve">第一章 </w:t>
      </w:r>
      <w:r>
        <w:rPr>
          <w:rFonts w:hint="eastAsia" w:ascii="宋体" w:hAnsi="宋体" w:eastAsia="宋体" w:cs="宋体"/>
          <w:bCs w:val="0"/>
          <w:highlight w:val="none"/>
          <w:lang w:val="en-US" w:eastAsia="zh-CN"/>
        </w:rPr>
        <w:t>竞争性谈判</w:t>
      </w:r>
      <w:r>
        <w:rPr>
          <w:rFonts w:hint="eastAsia" w:ascii="宋体" w:hAnsi="宋体" w:eastAsia="宋体" w:cs="宋体"/>
          <w:bCs w:val="0"/>
          <w:highlight w:val="none"/>
        </w:rPr>
        <w:t>公告</w:t>
      </w:r>
      <w:r>
        <w:tab/>
      </w:r>
      <w:r>
        <w:fldChar w:fldCharType="begin"/>
      </w:r>
      <w:r>
        <w:instrText xml:space="preserve"> PAGEREF _Toc24758 \h </w:instrText>
      </w:r>
      <w:r>
        <w:fldChar w:fldCharType="separate"/>
      </w:r>
      <w:r>
        <w:t>3</w:t>
      </w:r>
      <w:r>
        <w:fldChar w:fldCharType="end"/>
      </w:r>
      <w:r>
        <w:rPr>
          <w:rFonts w:hint="eastAsia" w:ascii="黑体" w:hAnsi="黑体" w:eastAsia="黑体" w:cs="黑体"/>
          <w:color w:val="auto"/>
          <w:szCs w:val="36"/>
          <w:highlight w:val="none"/>
        </w:rPr>
        <w:fldChar w:fldCharType="end"/>
      </w:r>
    </w:p>
    <w:p w14:paraId="1FD5E2D2">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_Toc16151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一、</w:t>
      </w:r>
      <w:r>
        <w:rPr>
          <w:rFonts w:hint="eastAsia" w:ascii="宋体" w:hAnsi="宋体" w:eastAsia="宋体" w:cs="宋体"/>
          <w:bCs/>
          <w:szCs w:val="22"/>
        </w:rPr>
        <w:t>采购项目信息</w:t>
      </w:r>
      <w:r>
        <w:tab/>
      </w:r>
      <w:r>
        <w:fldChar w:fldCharType="begin"/>
      </w:r>
      <w:r>
        <w:instrText xml:space="preserve"> PAGEREF _Toc16151 \h </w:instrText>
      </w:r>
      <w:r>
        <w:fldChar w:fldCharType="separate"/>
      </w:r>
      <w:r>
        <w:t>3</w:t>
      </w:r>
      <w:r>
        <w:fldChar w:fldCharType="end"/>
      </w:r>
      <w:r>
        <w:rPr>
          <w:rFonts w:ascii="黑体" w:hAnsi="黑体" w:eastAsia="黑体" w:cs="黑体"/>
          <w:color w:val="auto"/>
          <w:szCs w:val="36"/>
          <w:highlight w:val="none"/>
        </w:rPr>
        <w:fldChar w:fldCharType="end"/>
      </w:r>
    </w:p>
    <w:p w14:paraId="5ADAB948">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_Toc2266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二、采购人的采购需求</w:t>
      </w:r>
      <w:r>
        <w:tab/>
      </w:r>
      <w:r>
        <w:fldChar w:fldCharType="begin"/>
      </w:r>
      <w:r>
        <w:instrText xml:space="preserve"> PAGEREF _Toc2266 \h </w:instrText>
      </w:r>
      <w:r>
        <w:fldChar w:fldCharType="separate"/>
      </w:r>
      <w:r>
        <w:t>3</w:t>
      </w:r>
      <w:r>
        <w:fldChar w:fldCharType="end"/>
      </w:r>
      <w:r>
        <w:rPr>
          <w:rFonts w:ascii="黑体" w:hAnsi="黑体" w:eastAsia="黑体" w:cs="黑体"/>
          <w:color w:val="auto"/>
          <w:szCs w:val="36"/>
          <w:highlight w:val="none"/>
        </w:rPr>
        <w:fldChar w:fldCharType="end"/>
      </w:r>
    </w:p>
    <w:p w14:paraId="225DD4F4">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_Toc15375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三、中标供应商的确定</w:t>
      </w:r>
      <w:r>
        <w:tab/>
      </w:r>
      <w:r>
        <w:fldChar w:fldCharType="begin"/>
      </w:r>
      <w:r>
        <w:instrText xml:space="preserve"> PAGEREF _Toc15375 \h </w:instrText>
      </w:r>
      <w:r>
        <w:fldChar w:fldCharType="separate"/>
      </w:r>
      <w:r>
        <w:t>4</w:t>
      </w:r>
      <w:r>
        <w:fldChar w:fldCharType="end"/>
      </w:r>
      <w:r>
        <w:rPr>
          <w:rFonts w:ascii="黑体" w:hAnsi="黑体" w:eastAsia="黑体" w:cs="黑体"/>
          <w:color w:val="auto"/>
          <w:szCs w:val="36"/>
          <w:highlight w:val="none"/>
        </w:rPr>
        <w:fldChar w:fldCharType="end"/>
      </w:r>
    </w:p>
    <w:p w14:paraId="39A6AD6D">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_Toc29542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四、网上报价起始价、保证金、报价幅度要求</w:t>
      </w:r>
      <w:r>
        <w:tab/>
      </w:r>
      <w:r>
        <w:fldChar w:fldCharType="begin"/>
      </w:r>
      <w:r>
        <w:instrText xml:space="preserve"> PAGEREF _Toc29542 \h </w:instrText>
      </w:r>
      <w:r>
        <w:fldChar w:fldCharType="separate"/>
      </w:r>
      <w:r>
        <w:t>4</w:t>
      </w:r>
      <w:r>
        <w:fldChar w:fldCharType="end"/>
      </w:r>
      <w:r>
        <w:rPr>
          <w:rFonts w:ascii="黑体" w:hAnsi="黑体" w:eastAsia="黑体" w:cs="黑体"/>
          <w:color w:val="auto"/>
          <w:szCs w:val="36"/>
          <w:highlight w:val="none"/>
        </w:rPr>
        <w:fldChar w:fldCharType="end"/>
      </w:r>
    </w:p>
    <w:p w14:paraId="6043CA1B">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_Toc4909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五、供应商的资格要求</w:t>
      </w:r>
      <w:r>
        <w:tab/>
      </w:r>
      <w:r>
        <w:fldChar w:fldCharType="begin"/>
      </w:r>
      <w:r>
        <w:instrText xml:space="preserve"> PAGEREF _Toc4909 \h </w:instrText>
      </w:r>
      <w:r>
        <w:fldChar w:fldCharType="separate"/>
      </w:r>
      <w:r>
        <w:t>4</w:t>
      </w:r>
      <w:r>
        <w:fldChar w:fldCharType="end"/>
      </w:r>
      <w:r>
        <w:rPr>
          <w:rFonts w:ascii="黑体" w:hAnsi="黑体" w:eastAsia="黑体" w:cs="黑体"/>
          <w:color w:val="auto"/>
          <w:szCs w:val="36"/>
          <w:highlight w:val="none"/>
        </w:rPr>
        <w:fldChar w:fldCharType="end"/>
      </w:r>
    </w:p>
    <w:p w14:paraId="47F707BC">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_Toc30818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六、获取谈判文件的时间、地点及方式</w:t>
      </w:r>
      <w:r>
        <w:tab/>
      </w:r>
      <w:r>
        <w:fldChar w:fldCharType="begin"/>
      </w:r>
      <w:r>
        <w:instrText xml:space="preserve"> PAGEREF _Toc30818 \h </w:instrText>
      </w:r>
      <w:r>
        <w:fldChar w:fldCharType="separate"/>
      </w:r>
      <w:r>
        <w:t>5</w:t>
      </w:r>
      <w:r>
        <w:fldChar w:fldCharType="end"/>
      </w:r>
      <w:r>
        <w:rPr>
          <w:rFonts w:ascii="黑体" w:hAnsi="黑体" w:eastAsia="黑体" w:cs="黑体"/>
          <w:color w:val="auto"/>
          <w:szCs w:val="36"/>
          <w:highlight w:val="none"/>
        </w:rPr>
        <w:fldChar w:fldCharType="end"/>
      </w:r>
    </w:p>
    <w:p w14:paraId="55EE18DD">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_Toc31063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七、提交首次响应文件的截止时间、谈判时间及地点</w:t>
      </w:r>
      <w:r>
        <w:tab/>
      </w:r>
      <w:r>
        <w:fldChar w:fldCharType="begin"/>
      </w:r>
      <w:r>
        <w:instrText xml:space="preserve"> PAGEREF _Toc31063 \h </w:instrText>
      </w:r>
      <w:r>
        <w:fldChar w:fldCharType="separate"/>
      </w:r>
      <w:r>
        <w:t>5</w:t>
      </w:r>
      <w:r>
        <w:fldChar w:fldCharType="end"/>
      </w:r>
      <w:r>
        <w:rPr>
          <w:rFonts w:ascii="黑体" w:hAnsi="黑体" w:eastAsia="黑体" w:cs="黑体"/>
          <w:color w:val="auto"/>
          <w:szCs w:val="36"/>
          <w:highlight w:val="none"/>
        </w:rPr>
        <w:fldChar w:fldCharType="end"/>
      </w:r>
    </w:p>
    <w:p w14:paraId="722D570C">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_Toc10799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八、询问及质疑</w:t>
      </w:r>
      <w:r>
        <w:tab/>
      </w:r>
      <w:r>
        <w:fldChar w:fldCharType="begin"/>
      </w:r>
      <w:r>
        <w:instrText xml:space="preserve"> PAGEREF _Toc10799 \h </w:instrText>
      </w:r>
      <w:r>
        <w:fldChar w:fldCharType="separate"/>
      </w:r>
      <w:r>
        <w:t>5</w:t>
      </w:r>
      <w:r>
        <w:fldChar w:fldCharType="end"/>
      </w:r>
      <w:r>
        <w:rPr>
          <w:rFonts w:ascii="黑体" w:hAnsi="黑体" w:eastAsia="黑体" w:cs="黑体"/>
          <w:color w:val="auto"/>
          <w:szCs w:val="36"/>
          <w:highlight w:val="none"/>
        </w:rPr>
        <w:fldChar w:fldCharType="end"/>
      </w:r>
    </w:p>
    <w:p w14:paraId="4EC8D56D">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_Toc27694 </w:instrText>
      </w:r>
      <w:r>
        <w:rPr>
          <w:rFonts w:ascii="黑体" w:hAnsi="黑体" w:eastAsia="黑体" w:cs="黑体"/>
          <w:szCs w:val="36"/>
          <w:highlight w:val="none"/>
        </w:rPr>
        <w:fldChar w:fldCharType="separate"/>
      </w:r>
      <w:r>
        <w:rPr>
          <w:rFonts w:hint="eastAsia" w:ascii="宋体" w:hAnsi="宋体" w:eastAsia="宋体" w:cs="宋体"/>
          <w:bCs/>
          <w:kern w:val="2"/>
          <w:szCs w:val="22"/>
          <w:lang w:val="en-US" w:eastAsia="zh-CN" w:bidi="ar-SA"/>
        </w:rPr>
        <w:t>九、采购项目联系人姓名和电话</w:t>
      </w:r>
      <w:r>
        <w:tab/>
      </w:r>
      <w:r>
        <w:fldChar w:fldCharType="begin"/>
      </w:r>
      <w:r>
        <w:instrText xml:space="preserve"> PAGEREF _Toc27694 \h </w:instrText>
      </w:r>
      <w:r>
        <w:fldChar w:fldCharType="separate"/>
      </w:r>
      <w:r>
        <w:t>5</w:t>
      </w:r>
      <w:r>
        <w:fldChar w:fldCharType="end"/>
      </w:r>
      <w:r>
        <w:rPr>
          <w:rFonts w:ascii="黑体" w:hAnsi="黑体" w:eastAsia="黑体" w:cs="黑体"/>
          <w:color w:val="auto"/>
          <w:szCs w:val="36"/>
          <w:highlight w:val="none"/>
        </w:rPr>
        <w:fldChar w:fldCharType="end"/>
      </w:r>
    </w:p>
    <w:p w14:paraId="48664CED">
      <w:pPr>
        <w:pStyle w:val="24"/>
        <w:tabs>
          <w:tab w:val="right" w:leader="dot" w:pos="9638"/>
          <w:tab w:val="clear" w:pos="0"/>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_Toc6539 </w:instrText>
      </w:r>
      <w:r>
        <w:rPr>
          <w:rFonts w:ascii="黑体" w:hAnsi="黑体" w:eastAsia="黑体" w:cs="黑体"/>
          <w:szCs w:val="36"/>
          <w:highlight w:val="none"/>
        </w:rPr>
        <w:fldChar w:fldCharType="separate"/>
      </w:r>
      <w:r>
        <w:rPr>
          <w:rFonts w:hint="eastAsia" w:ascii="宋体" w:hAnsi="宋体" w:eastAsia="宋体" w:cs="宋体"/>
          <w:bCs w:val="0"/>
          <w:highlight w:val="none"/>
        </w:rPr>
        <w:t xml:space="preserve">第二章 </w:t>
      </w:r>
      <w:r>
        <w:rPr>
          <w:rFonts w:hint="eastAsia" w:ascii="宋体" w:hAnsi="宋体" w:eastAsia="宋体" w:cs="宋体"/>
          <w:bCs w:val="0"/>
          <w:highlight w:val="none"/>
          <w:lang w:eastAsia="zh-CN"/>
        </w:rPr>
        <w:t>供应商</w:t>
      </w:r>
      <w:r>
        <w:rPr>
          <w:rFonts w:hint="eastAsia" w:ascii="宋体" w:hAnsi="宋体" w:eastAsia="宋体" w:cs="宋体"/>
          <w:bCs w:val="0"/>
          <w:highlight w:val="none"/>
        </w:rPr>
        <w:t>须知</w:t>
      </w:r>
      <w:r>
        <w:tab/>
      </w:r>
      <w:r>
        <w:fldChar w:fldCharType="begin"/>
      </w:r>
      <w:r>
        <w:instrText xml:space="preserve"> PAGEREF _Toc6539 \h </w:instrText>
      </w:r>
      <w:r>
        <w:fldChar w:fldCharType="separate"/>
      </w:r>
      <w:r>
        <w:t>7</w:t>
      </w:r>
      <w:r>
        <w:fldChar w:fldCharType="end"/>
      </w:r>
      <w:r>
        <w:rPr>
          <w:rFonts w:ascii="黑体" w:hAnsi="黑体" w:eastAsia="黑体" w:cs="黑体"/>
          <w:color w:val="auto"/>
          <w:szCs w:val="36"/>
          <w:highlight w:val="none"/>
        </w:rPr>
        <w:fldChar w:fldCharType="end"/>
      </w:r>
    </w:p>
    <w:p w14:paraId="79F66865">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_Toc9369 </w:instrText>
      </w:r>
      <w:r>
        <w:rPr>
          <w:rFonts w:ascii="黑体" w:hAnsi="黑体" w:eastAsia="黑体" w:cs="黑体"/>
          <w:szCs w:val="36"/>
          <w:highlight w:val="none"/>
        </w:rPr>
        <w:fldChar w:fldCharType="separate"/>
      </w:r>
      <w:r>
        <w:rPr>
          <w:rFonts w:hint="eastAsia" w:ascii="宋体" w:hAnsi="宋体" w:eastAsia="宋体" w:cs="宋体"/>
          <w:bCs/>
          <w:highlight w:val="none"/>
        </w:rPr>
        <w:t xml:space="preserve">第一节 </w:t>
      </w:r>
      <w:r>
        <w:rPr>
          <w:rFonts w:hint="eastAsia" w:ascii="宋体" w:hAnsi="宋体" w:eastAsia="宋体" w:cs="宋体"/>
          <w:bCs/>
          <w:highlight w:val="none"/>
          <w:lang w:eastAsia="zh-CN"/>
        </w:rPr>
        <w:t>供应商</w:t>
      </w:r>
      <w:r>
        <w:rPr>
          <w:rFonts w:hint="eastAsia" w:ascii="宋体" w:hAnsi="宋体" w:eastAsia="宋体" w:cs="宋体"/>
          <w:bCs/>
          <w:highlight w:val="none"/>
        </w:rPr>
        <w:t>须知前附表</w:t>
      </w:r>
      <w:r>
        <w:tab/>
      </w:r>
      <w:r>
        <w:fldChar w:fldCharType="begin"/>
      </w:r>
      <w:r>
        <w:instrText xml:space="preserve"> PAGEREF _Toc9369 \h </w:instrText>
      </w:r>
      <w:r>
        <w:fldChar w:fldCharType="separate"/>
      </w:r>
      <w:r>
        <w:t>7</w:t>
      </w:r>
      <w:r>
        <w:fldChar w:fldCharType="end"/>
      </w:r>
      <w:r>
        <w:rPr>
          <w:rFonts w:ascii="黑体" w:hAnsi="黑体" w:eastAsia="黑体" w:cs="黑体"/>
          <w:color w:val="auto"/>
          <w:szCs w:val="36"/>
          <w:highlight w:val="none"/>
        </w:rPr>
        <w:fldChar w:fldCharType="end"/>
      </w:r>
    </w:p>
    <w:p w14:paraId="4C86B44F">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_Toc17012 </w:instrText>
      </w:r>
      <w:r>
        <w:rPr>
          <w:rFonts w:ascii="黑体" w:hAnsi="黑体" w:eastAsia="黑体" w:cs="黑体"/>
          <w:szCs w:val="36"/>
          <w:highlight w:val="none"/>
        </w:rPr>
        <w:fldChar w:fldCharType="separate"/>
      </w:r>
      <w:r>
        <w:rPr>
          <w:rFonts w:hint="eastAsia" w:ascii="宋体" w:hAnsi="宋体" w:eastAsia="宋体" w:cs="宋体"/>
          <w:bCs/>
          <w:highlight w:val="none"/>
        </w:rPr>
        <w:t xml:space="preserve">第二节 </w:t>
      </w:r>
      <w:r>
        <w:rPr>
          <w:rFonts w:hint="eastAsia" w:ascii="宋体" w:hAnsi="宋体" w:eastAsia="宋体" w:cs="宋体"/>
          <w:bCs/>
          <w:highlight w:val="none"/>
          <w:lang w:eastAsia="zh-CN"/>
        </w:rPr>
        <w:t>供应商</w:t>
      </w:r>
      <w:r>
        <w:rPr>
          <w:rFonts w:hint="eastAsia" w:ascii="宋体" w:hAnsi="宋体" w:eastAsia="宋体" w:cs="宋体"/>
          <w:bCs/>
          <w:highlight w:val="none"/>
        </w:rPr>
        <w:t>须知正文</w:t>
      </w:r>
      <w:r>
        <w:tab/>
      </w:r>
      <w:r>
        <w:fldChar w:fldCharType="begin"/>
      </w:r>
      <w:r>
        <w:instrText xml:space="preserve"> PAGEREF _Toc17012 \h </w:instrText>
      </w:r>
      <w:r>
        <w:fldChar w:fldCharType="separate"/>
      </w:r>
      <w:r>
        <w:t>10</w:t>
      </w:r>
      <w:r>
        <w:fldChar w:fldCharType="end"/>
      </w:r>
      <w:r>
        <w:rPr>
          <w:rFonts w:ascii="黑体" w:hAnsi="黑体" w:eastAsia="黑体" w:cs="黑体"/>
          <w:color w:val="auto"/>
          <w:szCs w:val="36"/>
          <w:highlight w:val="none"/>
        </w:rPr>
        <w:fldChar w:fldCharType="end"/>
      </w:r>
    </w:p>
    <w:p w14:paraId="4DBDDA52">
      <w:pPr>
        <w:pStyle w:val="24"/>
        <w:tabs>
          <w:tab w:val="right" w:leader="dot" w:pos="9638"/>
          <w:tab w:val="clear" w:pos="0"/>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_Toc641 </w:instrText>
      </w:r>
      <w:r>
        <w:rPr>
          <w:rFonts w:ascii="黑体" w:hAnsi="黑体" w:eastAsia="黑体" w:cs="黑体"/>
          <w:szCs w:val="36"/>
          <w:highlight w:val="none"/>
        </w:rPr>
        <w:fldChar w:fldCharType="separate"/>
      </w:r>
      <w:r>
        <w:rPr>
          <w:rFonts w:hint="eastAsia" w:ascii="宋体" w:hAnsi="宋体" w:eastAsia="宋体" w:cs="宋体"/>
          <w:bCs w:val="0"/>
          <w:highlight w:val="none"/>
        </w:rPr>
        <w:t xml:space="preserve">第三章 </w:t>
      </w:r>
      <w:r>
        <w:rPr>
          <w:rFonts w:hint="eastAsia" w:eastAsia="宋体" w:cs="宋体"/>
          <w:bCs w:val="0"/>
          <w:highlight w:val="none"/>
          <w:lang w:val="en-US" w:eastAsia="zh-CN"/>
        </w:rPr>
        <w:t>采购</w:t>
      </w:r>
      <w:r>
        <w:rPr>
          <w:rFonts w:hint="eastAsia" w:ascii="宋体" w:hAnsi="宋体" w:eastAsia="宋体" w:cs="宋体"/>
          <w:bCs w:val="0"/>
          <w:highlight w:val="none"/>
        </w:rPr>
        <w:t>需求</w:t>
      </w:r>
      <w:r>
        <w:tab/>
      </w:r>
      <w:r>
        <w:fldChar w:fldCharType="begin"/>
      </w:r>
      <w:r>
        <w:instrText xml:space="preserve"> PAGEREF _Toc641 \h </w:instrText>
      </w:r>
      <w:r>
        <w:fldChar w:fldCharType="separate"/>
      </w:r>
      <w:r>
        <w:t>25</w:t>
      </w:r>
      <w:r>
        <w:fldChar w:fldCharType="end"/>
      </w:r>
      <w:r>
        <w:rPr>
          <w:rFonts w:ascii="黑体" w:hAnsi="黑体" w:eastAsia="黑体" w:cs="黑体"/>
          <w:color w:val="auto"/>
          <w:szCs w:val="36"/>
          <w:highlight w:val="none"/>
        </w:rPr>
        <w:fldChar w:fldCharType="end"/>
      </w:r>
    </w:p>
    <w:p w14:paraId="585BBC18">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_Toc12654 </w:instrText>
      </w:r>
      <w:r>
        <w:rPr>
          <w:rFonts w:ascii="黑体" w:hAnsi="黑体" w:eastAsia="黑体" w:cs="黑体"/>
          <w:szCs w:val="36"/>
          <w:highlight w:val="none"/>
        </w:rPr>
        <w:fldChar w:fldCharType="separate"/>
      </w:r>
      <w:r>
        <w:rPr>
          <w:rFonts w:hint="eastAsia" w:ascii="Arial" w:hAnsi="Arial" w:eastAsia="黑体" w:cs="Times New Roman"/>
          <w:kern w:val="2"/>
          <w:szCs w:val="21"/>
          <w:lang w:val="en-US" w:eastAsia="zh-CN" w:bidi="ar-SA"/>
        </w:rPr>
        <w:t>一、</w:t>
      </w:r>
      <w:r>
        <w:rPr>
          <w:rFonts w:hint="eastAsia" w:ascii="Times New Roman" w:hAnsi="Times New Roman" w:eastAsia="黑体" w:cs="Times New Roman"/>
          <w:kern w:val="2"/>
          <w:szCs w:val="21"/>
          <w:lang w:val="en-US" w:eastAsia="zh-CN" w:bidi="ar-SA"/>
        </w:rPr>
        <w:t>项目概况</w:t>
      </w:r>
      <w:r>
        <w:tab/>
      </w:r>
      <w:r>
        <w:fldChar w:fldCharType="begin"/>
      </w:r>
      <w:r>
        <w:instrText xml:space="preserve"> PAGEREF _Toc12654 \h </w:instrText>
      </w:r>
      <w:r>
        <w:fldChar w:fldCharType="separate"/>
      </w:r>
      <w:r>
        <w:t>25</w:t>
      </w:r>
      <w:r>
        <w:fldChar w:fldCharType="end"/>
      </w:r>
      <w:r>
        <w:rPr>
          <w:rFonts w:ascii="黑体" w:hAnsi="黑体" w:eastAsia="黑体" w:cs="黑体"/>
          <w:color w:val="auto"/>
          <w:szCs w:val="36"/>
          <w:highlight w:val="none"/>
        </w:rPr>
        <w:fldChar w:fldCharType="end"/>
      </w:r>
    </w:p>
    <w:p w14:paraId="19E1175F">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_Toc25494 </w:instrText>
      </w:r>
      <w:r>
        <w:rPr>
          <w:rFonts w:ascii="黑体" w:hAnsi="黑体" w:eastAsia="黑体" w:cs="黑体"/>
          <w:szCs w:val="36"/>
          <w:highlight w:val="none"/>
        </w:rPr>
        <w:fldChar w:fldCharType="separate"/>
      </w:r>
      <w:r>
        <w:rPr>
          <w:rFonts w:hint="eastAsia" w:ascii="Arial" w:hAnsi="Arial" w:eastAsia="黑体" w:cs="Times New Roman"/>
          <w:kern w:val="2"/>
          <w:szCs w:val="21"/>
          <w:lang w:val="en-US" w:eastAsia="zh-CN" w:bidi="ar-SA"/>
        </w:rPr>
        <w:t>二、采购项目预（概）算</w:t>
      </w:r>
      <w:r>
        <w:tab/>
      </w:r>
      <w:r>
        <w:fldChar w:fldCharType="begin"/>
      </w:r>
      <w:r>
        <w:instrText xml:space="preserve"> PAGEREF _Toc25494 \h </w:instrText>
      </w:r>
      <w:r>
        <w:fldChar w:fldCharType="separate"/>
      </w:r>
      <w:r>
        <w:t>26</w:t>
      </w:r>
      <w:r>
        <w:fldChar w:fldCharType="end"/>
      </w:r>
      <w:r>
        <w:rPr>
          <w:rFonts w:ascii="黑体" w:hAnsi="黑体" w:eastAsia="黑体" w:cs="黑体"/>
          <w:color w:val="auto"/>
          <w:szCs w:val="36"/>
          <w:highlight w:val="none"/>
        </w:rPr>
        <w:fldChar w:fldCharType="end"/>
      </w:r>
    </w:p>
    <w:p w14:paraId="2C4079F4">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_Toc11198 </w:instrText>
      </w:r>
      <w:r>
        <w:rPr>
          <w:rFonts w:ascii="黑体" w:hAnsi="黑体" w:eastAsia="黑体" w:cs="黑体"/>
          <w:szCs w:val="36"/>
          <w:highlight w:val="none"/>
        </w:rPr>
        <w:fldChar w:fldCharType="separate"/>
      </w:r>
      <w:r>
        <w:rPr>
          <w:rFonts w:hint="eastAsia" w:ascii="Arial" w:hAnsi="Arial" w:eastAsia="黑体" w:cs="Times New Roman"/>
          <w:kern w:val="2"/>
          <w:szCs w:val="21"/>
          <w:lang w:val="en-US" w:eastAsia="zh-CN" w:bidi="ar-SA"/>
        </w:rPr>
        <w:t>三、</w:t>
      </w:r>
      <w:r>
        <w:rPr>
          <w:rFonts w:hint="default" w:ascii="Arial" w:hAnsi="Arial" w:eastAsia="黑体" w:cs="Times New Roman"/>
          <w:kern w:val="2"/>
          <w:szCs w:val="21"/>
          <w:lang w:val="en-US" w:eastAsia="zh-CN" w:bidi="ar-SA"/>
        </w:rPr>
        <w:t>采购标的汇总表</w:t>
      </w:r>
      <w:r>
        <w:tab/>
      </w:r>
      <w:r>
        <w:fldChar w:fldCharType="begin"/>
      </w:r>
      <w:r>
        <w:instrText xml:space="preserve"> PAGEREF _Toc11198 \h </w:instrText>
      </w:r>
      <w:r>
        <w:fldChar w:fldCharType="separate"/>
      </w:r>
      <w:r>
        <w:t>26</w:t>
      </w:r>
      <w:r>
        <w:fldChar w:fldCharType="end"/>
      </w:r>
      <w:r>
        <w:rPr>
          <w:rFonts w:ascii="黑体" w:hAnsi="黑体" w:eastAsia="黑体" w:cs="黑体"/>
          <w:color w:val="auto"/>
          <w:szCs w:val="36"/>
          <w:highlight w:val="none"/>
        </w:rPr>
        <w:fldChar w:fldCharType="end"/>
      </w:r>
    </w:p>
    <w:p w14:paraId="24A68746">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_Toc9496 </w:instrText>
      </w:r>
      <w:r>
        <w:rPr>
          <w:rFonts w:ascii="黑体" w:hAnsi="黑体" w:eastAsia="黑体" w:cs="黑体"/>
          <w:szCs w:val="36"/>
          <w:highlight w:val="none"/>
        </w:rPr>
        <w:fldChar w:fldCharType="separate"/>
      </w:r>
      <w:r>
        <w:rPr>
          <w:rFonts w:hint="eastAsia" w:ascii="Arial" w:hAnsi="Arial" w:eastAsia="黑体" w:cs="Times New Roman"/>
          <w:kern w:val="2"/>
          <w:szCs w:val="21"/>
          <w:lang w:val="en-US" w:eastAsia="zh-CN" w:bidi="ar-SA"/>
        </w:rPr>
        <w:t>四、项目需遵循的有关标准和规范（包括但不限于）</w:t>
      </w:r>
      <w:r>
        <w:tab/>
      </w:r>
      <w:r>
        <w:fldChar w:fldCharType="begin"/>
      </w:r>
      <w:r>
        <w:instrText xml:space="preserve"> PAGEREF _Toc9496 \h </w:instrText>
      </w:r>
      <w:r>
        <w:fldChar w:fldCharType="separate"/>
      </w:r>
      <w:r>
        <w:t>26</w:t>
      </w:r>
      <w:r>
        <w:fldChar w:fldCharType="end"/>
      </w:r>
      <w:r>
        <w:rPr>
          <w:rFonts w:ascii="黑体" w:hAnsi="黑体" w:eastAsia="黑体" w:cs="黑体"/>
          <w:color w:val="auto"/>
          <w:szCs w:val="36"/>
          <w:highlight w:val="none"/>
        </w:rPr>
        <w:fldChar w:fldCharType="end"/>
      </w:r>
    </w:p>
    <w:p w14:paraId="610AAC5D">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_Toc14985 </w:instrText>
      </w:r>
      <w:r>
        <w:rPr>
          <w:rFonts w:ascii="黑体" w:hAnsi="黑体" w:eastAsia="黑体" w:cs="黑体"/>
          <w:szCs w:val="36"/>
          <w:highlight w:val="none"/>
        </w:rPr>
        <w:fldChar w:fldCharType="separate"/>
      </w:r>
      <w:r>
        <w:rPr>
          <w:rFonts w:hint="eastAsia" w:ascii="Arial" w:hAnsi="Arial" w:eastAsia="黑体" w:cs="Times New Roman"/>
          <w:kern w:val="2"/>
          <w:szCs w:val="21"/>
          <w:lang w:val="en-US" w:eastAsia="zh-CN" w:bidi="ar-SA"/>
        </w:rPr>
        <w:t>五、技术商务要求</w:t>
      </w:r>
      <w:r>
        <w:tab/>
      </w:r>
      <w:r>
        <w:fldChar w:fldCharType="begin"/>
      </w:r>
      <w:r>
        <w:instrText xml:space="preserve"> PAGEREF _Toc14985 \h </w:instrText>
      </w:r>
      <w:r>
        <w:fldChar w:fldCharType="separate"/>
      </w:r>
      <w:r>
        <w:t>28</w:t>
      </w:r>
      <w:r>
        <w:fldChar w:fldCharType="end"/>
      </w:r>
      <w:r>
        <w:rPr>
          <w:rFonts w:ascii="黑体" w:hAnsi="黑体" w:eastAsia="黑体" w:cs="黑体"/>
          <w:color w:val="auto"/>
          <w:szCs w:val="36"/>
          <w:highlight w:val="none"/>
        </w:rPr>
        <w:fldChar w:fldCharType="end"/>
      </w:r>
    </w:p>
    <w:p w14:paraId="2A1E099B">
      <w:pPr>
        <w:pStyle w:val="24"/>
        <w:tabs>
          <w:tab w:val="right" w:leader="dot" w:pos="9638"/>
          <w:tab w:val="clear" w:pos="0"/>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_Toc20718 </w:instrText>
      </w:r>
      <w:r>
        <w:rPr>
          <w:rFonts w:ascii="黑体" w:hAnsi="黑体" w:eastAsia="黑体" w:cs="黑体"/>
          <w:szCs w:val="36"/>
          <w:highlight w:val="none"/>
        </w:rPr>
        <w:fldChar w:fldCharType="separate"/>
      </w:r>
      <w:r>
        <w:rPr>
          <w:rFonts w:hint="eastAsia" w:ascii="宋体" w:hAnsi="宋体" w:eastAsia="宋体" w:cs="宋体"/>
          <w:bCs/>
          <w:kern w:val="44"/>
          <w:szCs w:val="48"/>
          <w:highlight w:val="none"/>
          <w:lang w:val="en-US" w:eastAsia="zh-CN" w:bidi="ar-SA"/>
        </w:rPr>
        <w:t>第四章 评审方法及标准</w:t>
      </w:r>
      <w:r>
        <w:tab/>
      </w:r>
      <w:r>
        <w:fldChar w:fldCharType="begin"/>
      </w:r>
      <w:r>
        <w:instrText xml:space="preserve"> PAGEREF _Toc20718 \h </w:instrText>
      </w:r>
      <w:r>
        <w:fldChar w:fldCharType="separate"/>
      </w:r>
      <w:r>
        <w:t>41</w:t>
      </w:r>
      <w:r>
        <w:fldChar w:fldCharType="end"/>
      </w:r>
      <w:r>
        <w:rPr>
          <w:rFonts w:ascii="黑体" w:hAnsi="黑体" w:eastAsia="黑体" w:cs="黑体"/>
          <w:color w:val="auto"/>
          <w:szCs w:val="36"/>
          <w:highlight w:val="none"/>
        </w:rPr>
        <w:fldChar w:fldCharType="end"/>
      </w:r>
    </w:p>
    <w:p w14:paraId="5C7733D0">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_Toc14340 </w:instrText>
      </w:r>
      <w:r>
        <w:rPr>
          <w:rFonts w:ascii="黑体" w:hAnsi="黑体" w:eastAsia="黑体" w:cs="黑体"/>
          <w:szCs w:val="36"/>
          <w:highlight w:val="none"/>
        </w:rPr>
        <w:fldChar w:fldCharType="separate"/>
      </w:r>
      <w:r>
        <w:rPr>
          <w:rFonts w:hint="eastAsia" w:ascii="宋体" w:hAnsi="宋体" w:eastAsia="宋体" w:cs="宋体"/>
          <w:bCs/>
          <w:highlight w:val="none"/>
        </w:rPr>
        <w:t>第一节 资格审查</w:t>
      </w:r>
      <w:r>
        <w:tab/>
      </w:r>
      <w:r>
        <w:fldChar w:fldCharType="begin"/>
      </w:r>
      <w:r>
        <w:instrText xml:space="preserve"> PAGEREF _Toc14340 \h </w:instrText>
      </w:r>
      <w:r>
        <w:fldChar w:fldCharType="separate"/>
      </w:r>
      <w:r>
        <w:t>41</w:t>
      </w:r>
      <w:r>
        <w:fldChar w:fldCharType="end"/>
      </w:r>
      <w:r>
        <w:rPr>
          <w:rFonts w:ascii="黑体" w:hAnsi="黑体" w:eastAsia="黑体" w:cs="黑体"/>
          <w:color w:val="auto"/>
          <w:szCs w:val="36"/>
          <w:highlight w:val="none"/>
        </w:rPr>
        <w:fldChar w:fldCharType="end"/>
      </w:r>
    </w:p>
    <w:p w14:paraId="6F20FE48">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_Toc14497 </w:instrText>
      </w:r>
      <w:r>
        <w:rPr>
          <w:rFonts w:ascii="黑体" w:hAnsi="黑体" w:eastAsia="黑体" w:cs="黑体"/>
          <w:szCs w:val="36"/>
          <w:highlight w:val="none"/>
        </w:rPr>
        <w:fldChar w:fldCharType="separate"/>
      </w:r>
      <w:r>
        <w:rPr>
          <w:rFonts w:hint="eastAsia" w:ascii="宋体" w:hAnsi="宋体" w:eastAsia="宋体" w:cs="宋体"/>
          <w:bCs/>
          <w:highlight w:val="none"/>
        </w:rPr>
        <w:t>第二节 符合性审查</w:t>
      </w:r>
      <w:r>
        <w:tab/>
      </w:r>
      <w:r>
        <w:fldChar w:fldCharType="begin"/>
      </w:r>
      <w:r>
        <w:instrText xml:space="preserve"> PAGEREF _Toc14497 \h </w:instrText>
      </w:r>
      <w:r>
        <w:fldChar w:fldCharType="separate"/>
      </w:r>
      <w:r>
        <w:t>43</w:t>
      </w:r>
      <w:r>
        <w:fldChar w:fldCharType="end"/>
      </w:r>
      <w:r>
        <w:rPr>
          <w:rFonts w:ascii="黑体" w:hAnsi="黑体" w:eastAsia="黑体" w:cs="黑体"/>
          <w:color w:val="auto"/>
          <w:szCs w:val="36"/>
          <w:highlight w:val="none"/>
        </w:rPr>
        <w:fldChar w:fldCharType="end"/>
      </w:r>
    </w:p>
    <w:p w14:paraId="563A8628">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_Toc14106 </w:instrText>
      </w:r>
      <w:r>
        <w:rPr>
          <w:rFonts w:ascii="黑体" w:hAnsi="黑体" w:eastAsia="黑体" w:cs="黑体"/>
          <w:szCs w:val="36"/>
          <w:highlight w:val="none"/>
        </w:rPr>
        <w:fldChar w:fldCharType="separate"/>
      </w:r>
      <w:r>
        <w:rPr>
          <w:rFonts w:hint="eastAsia" w:ascii="宋体" w:hAnsi="宋体" w:eastAsia="宋体" w:cs="宋体"/>
          <w:bCs/>
          <w:highlight w:val="none"/>
        </w:rPr>
        <w:t>第</w:t>
      </w:r>
      <w:r>
        <w:rPr>
          <w:rFonts w:hint="eastAsia" w:ascii="宋体" w:hAnsi="宋体" w:eastAsia="宋体" w:cs="宋体"/>
          <w:bCs/>
          <w:highlight w:val="none"/>
          <w:lang w:val="en-US" w:eastAsia="zh-CN"/>
        </w:rPr>
        <w:t>三</w:t>
      </w:r>
      <w:r>
        <w:rPr>
          <w:rFonts w:hint="eastAsia" w:ascii="宋体" w:hAnsi="宋体" w:eastAsia="宋体" w:cs="宋体"/>
          <w:bCs/>
          <w:highlight w:val="none"/>
        </w:rPr>
        <w:t xml:space="preserve">节 </w:t>
      </w:r>
      <w:r>
        <w:rPr>
          <w:rFonts w:hint="eastAsia" w:ascii="宋体" w:hAnsi="宋体" w:eastAsia="宋体" w:cs="宋体"/>
          <w:bCs/>
          <w:highlight w:val="none"/>
          <w:lang w:val="en-US" w:eastAsia="zh-CN"/>
        </w:rPr>
        <w:t>报价</w:t>
      </w:r>
      <w:r>
        <w:tab/>
      </w:r>
      <w:r>
        <w:fldChar w:fldCharType="begin"/>
      </w:r>
      <w:r>
        <w:instrText xml:space="preserve"> PAGEREF _Toc14106 \h </w:instrText>
      </w:r>
      <w:r>
        <w:fldChar w:fldCharType="separate"/>
      </w:r>
      <w:r>
        <w:t>44</w:t>
      </w:r>
      <w:r>
        <w:fldChar w:fldCharType="end"/>
      </w:r>
      <w:r>
        <w:rPr>
          <w:rFonts w:ascii="黑体" w:hAnsi="黑体" w:eastAsia="黑体" w:cs="黑体"/>
          <w:color w:val="auto"/>
          <w:szCs w:val="36"/>
          <w:highlight w:val="none"/>
        </w:rPr>
        <w:fldChar w:fldCharType="end"/>
      </w:r>
    </w:p>
    <w:p w14:paraId="148589E0">
      <w:pPr>
        <w:pStyle w:val="24"/>
        <w:tabs>
          <w:tab w:val="right" w:leader="dot" w:pos="9638"/>
          <w:tab w:val="clear" w:pos="0"/>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_Toc5358 </w:instrText>
      </w:r>
      <w:r>
        <w:rPr>
          <w:rFonts w:ascii="黑体" w:hAnsi="黑体" w:eastAsia="黑体" w:cs="黑体"/>
          <w:szCs w:val="36"/>
          <w:highlight w:val="none"/>
        </w:rPr>
        <w:fldChar w:fldCharType="separate"/>
      </w:r>
      <w:r>
        <w:rPr>
          <w:rFonts w:hint="eastAsia" w:ascii="宋体" w:hAnsi="宋体" w:eastAsia="宋体" w:cs="宋体"/>
          <w:bCs w:val="0"/>
          <w:highlight w:val="none"/>
        </w:rPr>
        <w:t>第五章 政府采购合同</w:t>
      </w:r>
      <w:r>
        <w:rPr>
          <w:rFonts w:hint="eastAsia" w:ascii="宋体" w:hAnsi="宋体" w:eastAsia="宋体" w:cs="宋体"/>
          <w:bCs w:val="0"/>
          <w:highlight w:val="none"/>
          <w:lang w:val="en-US" w:eastAsia="zh-CN"/>
        </w:rPr>
        <w:t>参考范本</w:t>
      </w:r>
      <w:r>
        <w:tab/>
      </w:r>
      <w:r>
        <w:fldChar w:fldCharType="begin"/>
      </w:r>
      <w:r>
        <w:instrText xml:space="preserve"> PAGEREF _Toc5358 \h </w:instrText>
      </w:r>
      <w:r>
        <w:fldChar w:fldCharType="separate"/>
      </w:r>
      <w:r>
        <w:t>45</w:t>
      </w:r>
      <w:r>
        <w:fldChar w:fldCharType="end"/>
      </w:r>
      <w:r>
        <w:rPr>
          <w:rFonts w:ascii="黑体" w:hAnsi="黑体" w:eastAsia="黑体" w:cs="黑体"/>
          <w:color w:val="auto"/>
          <w:szCs w:val="36"/>
          <w:highlight w:val="none"/>
        </w:rPr>
        <w:fldChar w:fldCharType="end"/>
      </w:r>
    </w:p>
    <w:p w14:paraId="6273EEA1">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_Toc8490 </w:instrText>
      </w:r>
      <w:r>
        <w:rPr>
          <w:rFonts w:ascii="黑体" w:hAnsi="黑体" w:eastAsia="黑体" w:cs="黑体"/>
          <w:szCs w:val="36"/>
          <w:highlight w:val="none"/>
        </w:rPr>
        <w:fldChar w:fldCharType="separate"/>
      </w:r>
      <w:r>
        <w:rPr>
          <w:rFonts w:hint="eastAsia" w:ascii="黑体" w:hAnsi="华文中宋" w:eastAsia="黑体"/>
          <w:szCs w:val="28"/>
        </w:rPr>
        <w:t>第一节</w:t>
      </w:r>
      <w:r>
        <w:rPr>
          <w:rFonts w:ascii="黑体" w:hAnsi="华文中宋" w:eastAsia="黑体"/>
          <w:szCs w:val="28"/>
        </w:rPr>
        <w:t xml:space="preserve"> </w:t>
      </w:r>
      <w:r>
        <w:rPr>
          <w:rFonts w:hint="eastAsia" w:ascii="黑体" w:hAnsi="华文中宋" w:eastAsia="黑体"/>
          <w:szCs w:val="28"/>
        </w:rPr>
        <w:t>政府采购合同协议书</w:t>
      </w:r>
      <w:r>
        <w:tab/>
      </w:r>
      <w:r>
        <w:fldChar w:fldCharType="begin"/>
      </w:r>
      <w:r>
        <w:instrText xml:space="preserve"> PAGEREF _Toc8490 \h </w:instrText>
      </w:r>
      <w:r>
        <w:fldChar w:fldCharType="separate"/>
      </w:r>
      <w:r>
        <w:t>46</w:t>
      </w:r>
      <w:r>
        <w:fldChar w:fldCharType="end"/>
      </w:r>
      <w:r>
        <w:rPr>
          <w:rFonts w:ascii="黑体" w:hAnsi="黑体" w:eastAsia="黑体" w:cs="黑体"/>
          <w:color w:val="auto"/>
          <w:szCs w:val="36"/>
          <w:highlight w:val="none"/>
        </w:rPr>
        <w:fldChar w:fldCharType="end"/>
      </w:r>
    </w:p>
    <w:p w14:paraId="23F08360">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_Toc14081 </w:instrText>
      </w:r>
      <w:r>
        <w:rPr>
          <w:rFonts w:ascii="黑体" w:hAnsi="黑体" w:eastAsia="黑体" w:cs="黑体"/>
          <w:szCs w:val="36"/>
          <w:highlight w:val="none"/>
        </w:rPr>
        <w:fldChar w:fldCharType="separate"/>
      </w:r>
      <w:r>
        <w:rPr>
          <w:rFonts w:hint="eastAsia" w:ascii="黑体" w:hAnsi="黑体" w:eastAsia="黑体"/>
          <w:szCs w:val="28"/>
        </w:rPr>
        <w:t>第二节</w:t>
      </w:r>
      <w:r>
        <w:rPr>
          <w:rFonts w:ascii="黑体" w:hAnsi="黑体" w:eastAsia="黑体"/>
          <w:szCs w:val="28"/>
        </w:rPr>
        <w:t xml:space="preserve"> </w:t>
      </w:r>
      <w:r>
        <w:rPr>
          <w:rFonts w:hint="eastAsia" w:ascii="黑体" w:hAnsi="黑体" w:eastAsia="黑体"/>
          <w:szCs w:val="28"/>
        </w:rPr>
        <w:t>政府采购合同通用条款</w:t>
      </w:r>
      <w:r>
        <w:tab/>
      </w:r>
      <w:r>
        <w:fldChar w:fldCharType="begin"/>
      </w:r>
      <w:r>
        <w:instrText xml:space="preserve"> PAGEREF _Toc14081 \h </w:instrText>
      </w:r>
      <w:r>
        <w:fldChar w:fldCharType="separate"/>
      </w:r>
      <w:r>
        <w:t>49</w:t>
      </w:r>
      <w:r>
        <w:fldChar w:fldCharType="end"/>
      </w:r>
      <w:r>
        <w:rPr>
          <w:rFonts w:ascii="黑体" w:hAnsi="黑体" w:eastAsia="黑体" w:cs="黑体"/>
          <w:color w:val="auto"/>
          <w:szCs w:val="36"/>
          <w:highlight w:val="none"/>
        </w:rPr>
        <w:fldChar w:fldCharType="end"/>
      </w:r>
    </w:p>
    <w:p w14:paraId="34C7F258">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_Toc716 </w:instrText>
      </w:r>
      <w:r>
        <w:rPr>
          <w:rFonts w:ascii="黑体" w:hAnsi="黑体" w:eastAsia="黑体" w:cs="黑体"/>
          <w:szCs w:val="36"/>
          <w:highlight w:val="none"/>
        </w:rPr>
        <w:fldChar w:fldCharType="separate"/>
      </w:r>
      <w:r>
        <w:rPr>
          <w:rFonts w:hint="eastAsia" w:ascii="黑体" w:hAnsi="华文中宋" w:eastAsia="黑体"/>
          <w:szCs w:val="28"/>
        </w:rPr>
        <w:t>第三节</w:t>
      </w:r>
      <w:r>
        <w:rPr>
          <w:rFonts w:ascii="黑体" w:hAnsi="华文中宋" w:eastAsia="黑体"/>
          <w:szCs w:val="28"/>
        </w:rPr>
        <w:t xml:space="preserve"> </w:t>
      </w:r>
      <w:r>
        <w:rPr>
          <w:rFonts w:hint="eastAsia" w:ascii="黑体" w:hAnsi="华文中宋" w:eastAsia="黑体"/>
          <w:szCs w:val="28"/>
        </w:rPr>
        <w:t>政府采购合同专用条款</w:t>
      </w:r>
      <w:r>
        <w:tab/>
      </w:r>
      <w:r>
        <w:fldChar w:fldCharType="begin"/>
      </w:r>
      <w:r>
        <w:instrText xml:space="preserve"> PAGEREF _Toc716 \h </w:instrText>
      </w:r>
      <w:r>
        <w:fldChar w:fldCharType="separate"/>
      </w:r>
      <w:r>
        <w:t>55</w:t>
      </w:r>
      <w:r>
        <w:fldChar w:fldCharType="end"/>
      </w:r>
      <w:r>
        <w:rPr>
          <w:rFonts w:ascii="黑体" w:hAnsi="黑体" w:eastAsia="黑体" w:cs="黑体"/>
          <w:color w:val="auto"/>
          <w:szCs w:val="36"/>
          <w:highlight w:val="none"/>
        </w:rPr>
        <w:fldChar w:fldCharType="end"/>
      </w:r>
    </w:p>
    <w:p w14:paraId="335E9466">
      <w:pPr>
        <w:pStyle w:val="24"/>
        <w:tabs>
          <w:tab w:val="right" w:leader="dot" w:pos="9638"/>
          <w:tab w:val="clear" w:pos="0"/>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_Toc169 </w:instrText>
      </w:r>
      <w:r>
        <w:rPr>
          <w:rFonts w:ascii="黑体" w:hAnsi="黑体" w:eastAsia="黑体" w:cs="黑体"/>
          <w:szCs w:val="36"/>
          <w:highlight w:val="none"/>
        </w:rPr>
        <w:fldChar w:fldCharType="separate"/>
      </w:r>
      <w:r>
        <w:rPr>
          <w:rFonts w:hint="eastAsia" w:ascii="宋体" w:hAnsi="宋体" w:eastAsia="宋体" w:cs="宋体"/>
          <w:bCs w:val="0"/>
          <w:highlight w:val="none"/>
        </w:rPr>
        <w:t>第六章 响应文件组成</w:t>
      </w:r>
      <w:r>
        <w:tab/>
      </w:r>
      <w:r>
        <w:fldChar w:fldCharType="begin"/>
      </w:r>
      <w:r>
        <w:instrText xml:space="preserve"> PAGEREF _Toc169 \h </w:instrText>
      </w:r>
      <w:r>
        <w:fldChar w:fldCharType="separate"/>
      </w:r>
      <w:r>
        <w:t>56</w:t>
      </w:r>
      <w:r>
        <w:fldChar w:fldCharType="end"/>
      </w:r>
      <w:r>
        <w:rPr>
          <w:rFonts w:ascii="黑体" w:hAnsi="黑体" w:eastAsia="黑体" w:cs="黑体"/>
          <w:color w:val="auto"/>
          <w:szCs w:val="36"/>
          <w:highlight w:val="none"/>
        </w:rPr>
        <w:fldChar w:fldCharType="end"/>
      </w:r>
    </w:p>
    <w:p w14:paraId="368F9ED5">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_Toc1991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一、</w:t>
      </w:r>
      <w:r>
        <w:rPr>
          <w:rFonts w:hint="eastAsia" w:ascii="宋体" w:hAnsi="宋体" w:eastAsia="宋体" w:cs="宋体"/>
          <w:bCs/>
          <w:lang w:val="en-US" w:eastAsia="zh-CN"/>
        </w:rPr>
        <w:t>谈判</w:t>
      </w:r>
      <w:r>
        <w:rPr>
          <w:rFonts w:hint="eastAsia" w:ascii="宋体" w:hAnsi="宋体" w:eastAsia="宋体" w:cs="宋体"/>
          <w:bCs/>
        </w:rPr>
        <w:t>响应声明（格式）</w:t>
      </w:r>
      <w:r>
        <w:tab/>
      </w:r>
      <w:r>
        <w:fldChar w:fldCharType="begin"/>
      </w:r>
      <w:r>
        <w:instrText xml:space="preserve"> PAGEREF _Toc1991 \h </w:instrText>
      </w:r>
      <w:r>
        <w:fldChar w:fldCharType="separate"/>
      </w:r>
      <w:r>
        <w:t>58</w:t>
      </w:r>
      <w:r>
        <w:fldChar w:fldCharType="end"/>
      </w:r>
      <w:r>
        <w:rPr>
          <w:rFonts w:ascii="黑体" w:hAnsi="黑体" w:eastAsia="黑体" w:cs="黑体"/>
          <w:color w:val="auto"/>
          <w:szCs w:val="36"/>
          <w:highlight w:val="none"/>
        </w:rPr>
        <w:fldChar w:fldCharType="end"/>
      </w:r>
    </w:p>
    <w:p w14:paraId="2385EF43">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_Toc17150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二、授权委托书（格式）</w:t>
      </w:r>
      <w:r>
        <w:tab/>
      </w:r>
      <w:r>
        <w:fldChar w:fldCharType="begin"/>
      </w:r>
      <w:r>
        <w:instrText xml:space="preserve"> PAGEREF _Toc17150 \h </w:instrText>
      </w:r>
      <w:r>
        <w:fldChar w:fldCharType="separate"/>
      </w:r>
      <w:r>
        <w:t>59</w:t>
      </w:r>
      <w:r>
        <w:fldChar w:fldCharType="end"/>
      </w:r>
      <w:r>
        <w:rPr>
          <w:rFonts w:ascii="黑体" w:hAnsi="黑体" w:eastAsia="黑体" w:cs="黑体"/>
          <w:color w:val="auto"/>
          <w:szCs w:val="36"/>
          <w:highlight w:val="none"/>
        </w:rPr>
        <w:fldChar w:fldCharType="end"/>
      </w:r>
    </w:p>
    <w:p w14:paraId="3AB845B5">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_Toc26517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三、</w:t>
      </w:r>
      <w:r>
        <w:rPr>
          <w:rFonts w:hint="eastAsia" w:ascii="宋体" w:hAnsi="宋体" w:eastAsia="宋体" w:cs="宋体"/>
          <w:bCs/>
          <w:lang w:eastAsia="zh-CN"/>
        </w:rPr>
        <w:t>供应商</w:t>
      </w:r>
      <w:r>
        <w:rPr>
          <w:rFonts w:hint="eastAsia" w:ascii="宋体" w:hAnsi="宋体" w:eastAsia="宋体" w:cs="宋体"/>
          <w:bCs/>
        </w:rPr>
        <w:t>的资格证明资料</w:t>
      </w:r>
      <w:r>
        <w:tab/>
      </w:r>
      <w:r>
        <w:fldChar w:fldCharType="begin"/>
      </w:r>
      <w:r>
        <w:instrText xml:space="preserve"> PAGEREF _Toc26517 \h </w:instrText>
      </w:r>
      <w:r>
        <w:fldChar w:fldCharType="separate"/>
      </w:r>
      <w:r>
        <w:t>61</w:t>
      </w:r>
      <w:r>
        <w:fldChar w:fldCharType="end"/>
      </w:r>
      <w:r>
        <w:rPr>
          <w:rFonts w:ascii="黑体" w:hAnsi="黑体" w:eastAsia="黑体" w:cs="黑体"/>
          <w:color w:val="auto"/>
          <w:szCs w:val="36"/>
          <w:highlight w:val="none"/>
        </w:rPr>
        <w:fldChar w:fldCharType="end"/>
      </w:r>
    </w:p>
    <w:p w14:paraId="172647E9">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_Toc24394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四、</w:t>
      </w:r>
      <w:r>
        <w:rPr>
          <w:rFonts w:hint="eastAsia" w:ascii="宋体" w:hAnsi="宋体" w:eastAsia="宋体" w:cs="宋体"/>
          <w:bCs/>
          <w:lang w:val="en-US" w:eastAsia="zh-CN"/>
        </w:rPr>
        <w:t>谈判</w:t>
      </w:r>
      <w:r>
        <w:rPr>
          <w:rFonts w:hint="eastAsia" w:ascii="宋体" w:hAnsi="宋体" w:eastAsia="宋体" w:cs="宋体"/>
          <w:bCs/>
        </w:rPr>
        <w:t>响应</w:t>
      </w:r>
      <w:r>
        <w:rPr>
          <w:rFonts w:hint="eastAsia" w:ascii="宋体" w:hAnsi="宋体" w:eastAsia="宋体" w:cs="宋体"/>
          <w:bCs/>
          <w:lang w:val="en-US" w:eastAsia="zh-CN"/>
        </w:rPr>
        <w:t>表</w:t>
      </w:r>
      <w:r>
        <w:tab/>
      </w:r>
      <w:r>
        <w:fldChar w:fldCharType="begin"/>
      </w:r>
      <w:r>
        <w:instrText xml:space="preserve"> PAGEREF _Toc24394 \h </w:instrText>
      </w:r>
      <w:r>
        <w:fldChar w:fldCharType="separate"/>
      </w:r>
      <w:r>
        <w:t>69</w:t>
      </w:r>
      <w:r>
        <w:fldChar w:fldCharType="end"/>
      </w:r>
      <w:r>
        <w:rPr>
          <w:rFonts w:ascii="黑体" w:hAnsi="黑体" w:eastAsia="黑体" w:cs="黑体"/>
          <w:color w:val="auto"/>
          <w:szCs w:val="36"/>
          <w:highlight w:val="none"/>
        </w:rPr>
        <w:fldChar w:fldCharType="end"/>
      </w:r>
    </w:p>
    <w:p w14:paraId="7C2DE45D">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_Toc20267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五、采购需求响应表</w:t>
      </w:r>
      <w:r>
        <w:tab/>
      </w:r>
      <w:r>
        <w:fldChar w:fldCharType="begin"/>
      </w:r>
      <w:r>
        <w:instrText xml:space="preserve"> PAGEREF _Toc20267 \h </w:instrText>
      </w:r>
      <w:r>
        <w:fldChar w:fldCharType="separate"/>
      </w:r>
      <w:r>
        <w:t>71</w:t>
      </w:r>
      <w:r>
        <w:fldChar w:fldCharType="end"/>
      </w:r>
      <w:r>
        <w:rPr>
          <w:rFonts w:ascii="黑体" w:hAnsi="黑体" w:eastAsia="黑体" w:cs="黑体"/>
          <w:color w:val="auto"/>
          <w:szCs w:val="36"/>
          <w:highlight w:val="none"/>
        </w:rPr>
        <w:fldChar w:fldCharType="end"/>
      </w:r>
    </w:p>
    <w:p w14:paraId="2F8C40F1">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_Toc9275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六、</w:t>
      </w:r>
      <w:r>
        <w:rPr>
          <w:rFonts w:hint="eastAsia" w:ascii="宋体" w:hAnsi="宋体" w:cs="宋体"/>
          <w:bCs/>
          <w:kern w:val="2"/>
          <w:szCs w:val="24"/>
          <w:lang w:val="en-US" w:eastAsia="zh-CN" w:bidi="ar-SA"/>
        </w:rPr>
        <w:t>□</w:t>
      </w:r>
      <w:r>
        <w:rPr>
          <w:rFonts w:hint="eastAsia" w:ascii="宋体" w:hAnsi="宋体" w:cs="宋体"/>
          <w:bCs/>
          <w:kern w:val="2"/>
          <w:szCs w:val="24"/>
          <w:lang w:val="zh-CN" w:eastAsia="zh-CN" w:bidi="ar-SA"/>
        </w:rPr>
        <w:t>服务方案</w:t>
      </w:r>
      <w:r>
        <w:tab/>
      </w:r>
      <w:r>
        <w:fldChar w:fldCharType="begin"/>
      </w:r>
      <w:r>
        <w:instrText xml:space="preserve"> PAGEREF _Toc9275 \h </w:instrText>
      </w:r>
      <w:r>
        <w:fldChar w:fldCharType="separate"/>
      </w:r>
      <w:r>
        <w:t>72</w:t>
      </w:r>
      <w:r>
        <w:fldChar w:fldCharType="end"/>
      </w:r>
      <w:r>
        <w:rPr>
          <w:rFonts w:ascii="黑体" w:hAnsi="黑体" w:eastAsia="黑体" w:cs="黑体"/>
          <w:color w:val="auto"/>
          <w:szCs w:val="36"/>
          <w:highlight w:val="none"/>
        </w:rPr>
        <w:fldChar w:fldCharType="end"/>
      </w:r>
    </w:p>
    <w:p w14:paraId="728CE1D9">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_Toc31199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七、谈判承诺书</w:t>
      </w:r>
      <w:r>
        <w:tab/>
      </w:r>
      <w:r>
        <w:fldChar w:fldCharType="begin"/>
      </w:r>
      <w:r>
        <w:instrText xml:space="preserve"> PAGEREF _Toc31199 \h </w:instrText>
      </w:r>
      <w:r>
        <w:fldChar w:fldCharType="separate"/>
      </w:r>
      <w:r>
        <w:t>73</w:t>
      </w:r>
      <w:r>
        <w:fldChar w:fldCharType="end"/>
      </w:r>
      <w:r>
        <w:rPr>
          <w:rFonts w:ascii="黑体" w:hAnsi="黑体" w:eastAsia="黑体" w:cs="黑体"/>
          <w:color w:val="auto"/>
          <w:szCs w:val="36"/>
          <w:highlight w:val="none"/>
        </w:rPr>
        <w:fldChar w:fldCharType="end"/>
      </w:r>
    </w:p>
    <w:p w14:paraId="585610D8">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_Toc29096 </w:instrText>
      </w:r>
      <w:r>
        <w:rPr>
          <w:rFonts w:ascii="黑体" w:hAnsi="黑体" w:eastAsia="黑体" w:cs="黑体"/>
          <w:szCs w:val="36"/>
          <w:highlight w:val="none"/>
        </w:rPr>
        <w:fldChar w:fldCharType="separate"/>
      </w:r>
      <w:r>
        <w:rPr>
          <w:rFonts w:hint="eastAsia" w:ascii="宋体" w:hAnsi="宋体" w:eastAsia="宋体" w:cs="宋体"/>
          <w:bCs/>
          <w:kern w:val="2"/>
          <w:szCs w:val="24"/>
          <w:lang w:val="en-US" w:eastAsia="zh-CN" w:bidi="ar-SA"/>
        </w:rPr>
        <w:t>八、投标保证金</w:t>
      </w:r>
      <w:r>
        <w:tab/>
      </w:r>
      <w:r>
        <w:fldChar w:fldCharType="begin"/>
      </w:r>
      <w:r>
        <w:instrText xml:space="preserve"> PAGEREF _Toc29096 \h </w:instrText>
      </w:r>
      <w:r>
        <w:fldChar w:fldCharType="separate"/>
      </w:r>
      <w:r>
        <w:t>74</w:t>
      </w:r>
      <w:r>
        <w:fldChar w:fldCharType="end"/>
      </w:r>
      <w:r>
        <w:rPr>
          <w:rFonts w:ascii="黑体" w:hAnsi="黑体" w:eastAsia="黑体" w:cs="黑体"/>
          <w:color w:val="auto"/>
          <w:szCs w:val="36"/>
          <w:highlight w:val="none"/>
        </w:rPr>
        <w:fldChar w:fldCharType="end"/>
      </w:r>
    </w:p>
    <w:p w14:paraId="644D3A70">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_Toc31393 </w:instrText>
      </w:r>
      <w:r>
        <w:rPr>
          <w:rFonts w:ascii="黑体" w:hAnsi="黑体" w:eastAsia="黑体" w:cs="黑体"/>
          <w:szCs w:val="36"/>
          <w:highlight w:val="none"/>
        </w:rPr>
        <w:fldChar w:fldCharType="separate"/>
      </w:r>
      <w:r>
        <w:rPr>
          <w:rFonts w:hint="eastAsia" w:ascii="宋体" w:hAnsi="宋体" w:eastAsia="宋体" w:cs="宋体"/>
          <w:bCs/>
          <w:kern w:val="2"/>
          <w:szCs w:val="30"/>
          <w:lang w:val="en-US" w:eastAsia="zh-CN" w:bidi="ar-SA"/>
        </w:rPr>
        <w:t>九、符合谈判文件规定的证明文件</w:t>
      </w:r>
      <w:r>
        <w:tab/>
      </w:r>
      <w:r>
        <w:fldChar w:fldCharType="begin"/>
      </w:r>
      <w:r>
        <w:instrText xml:space="preserve"> PAGEREF _Toc31393 \h </w:instrText>
      </w:r>
      <w:r>
        <w:fldChar w:fldCharType="separate"/>
      </w:r>
      <w:r>
        <w:t>75</w:t>
      </w:r>
      <w:r>
        <w:fldChar w:fldCharType="end"/>
      </w:r>
      <w:r>
        <w:rPr>
          <w:rFonts w:ascii="黑体" w:hAnsi="黑体" w:eastAsia="黑体" w:cs="黑体"/>
          <w:color w:val="auto"/>
          <w:szCs w:val="36"/>
          <w:highlight w:val="none"/>
        </w:rPr>
        <w:fldChar w:fldCharType="end"/>
      </w:r>
    </w:p>
    <w:p w14:paraId="66FCED26">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_Toc16234 </w:instrText>
      </w:r>
      <w:r>
        <w:rPr>
          <w:rFonts w:ascii="黑体" w:hAnsi="黑体" w:eastAsia="黑体" w:cs="黑体"/>
          <w:szCs w:val="36"/>
          <w:highlight w:val="none"/>
        </w:rPr>
        <w:fldChar w:fldCharType="separate"/>
      </w:r>
      <w:r>
        <w:rPr>
          <w:rFonts w:hint="eastAsia" w:ascii="宋体" w:hAnsi="宋体" w:eastAsia="宋体" w:cs="宋体"/>
          <w:bCs/>
          <w:kern w:val="2"/>
          <w:szCs w:val="30"/>
          <w:lang w:val="en-US" w:eastAsia="zh-CN" w:bidi="ar-SA"/>
        </w:rPr>
        <w:t>十、供应商认为需提供的其他资料</w:t>
      </w:r>
      <w:r>
        <w:tab/>
      </w:r>
      <w:r>
        <w:fldChar w:fldCharType="begin"/>
      </w:r>
      <w:r>
        <w:instrText xml:space="preserve"> PAGEREF _Toc16234 \h </w:instrText>
      </w:r>
      <w:r>
        <w:fldChar w:fldCharType="separate"/>
      </w:r>
      <w:r>
        <w:t>76</w:t>
      </w:r>
      <w:r>
        <w:fldChar w:fldCharType="end"/>
      </w:r>
      <w:r>
        <w:rPr>
          <w:rFonts w:ascii="黑体" w:hAnsi="黑体" w:eastAsia="黑体" w:cs="黑体"/>
          <w:color w:val="auto"/>
          <w:szCs w:val="36"/>
          <w:highlight w:val="none"/>
        </w:rPr>
        <w:fldChar w:fldCharType="end"/>
      </w:r>
    </w:p>
    <w:p w14:paraId="3ABDF96A">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_Toc32742 </w:instrText>
      </w:r>
      <w:r>
        <w:rPr>
          <w:rFonts w:ascii="黑体" w:hAnsi="黑体" w:eastAsia="黑体" w:cs="黑体"/>
          <w:szCs w:val="36"/>
          <w:highlight w:val="none"/>
        </w:rPr>
        <w:fldChar w:fldCharType="separate"/>
      </w:r>
      <w:r>
        <w:rPr>
          <w:rFonts w:hint="eastAsia" w:ascii="宋体" w:hAnsi="宋体" w:eastAsia="宋体" w:cs="宋体"/>
          <w:bCs/>
          <w:kern w:val="2"/>
          <w:szCs w:val="30"/>
          <w:lang w:val="en-US" w:eastAsia="zh-CN" w:bidi="ar-SA"/>
        </w:rPr>
        <w:t>十一、送达方式确认函</w:t>
      </w:r>
      <w:r>
        <w:tab/>
      </w:r>
      <w:r>
        <w:fldChar w:fldCharType="begin"/>
      </w:r>
      <w:r>
        <w:instrText xml:space="preserve"> PAGEREF _Toc32742 \h </w:instrText>
      </w:r>
      <w:r>
        <w:fldChar w:fldCharType="separate"/>
      </w:r>
      <w:r>
        <w:t>77</w:t>
      </w:r>
      <w:r>
        <w:fldChar w:fldCharType="end"/>
      </w:r>
      <w:r>
        <w:rPr>
          <w:rFonts w:ascii="黑体" w:hAnsi="黑体" w:eastAsia="黑体" w:cs="黑体"/>
          <w:color w:val="auto"/>
          <w:szCs w:val="36"/>
          <w:highlight w:val="none"/>
        </w:rPr>
        <w:fldChar w:fldCharType="end"/>
      </w:r>
    </w:p>
    <w:p w14:paraId="20771FFF">
      <w:pPr>
        <w:pStyle w:val="26"/>
        <w:tabs>
          <w:tab w:val="right" w:leader="dot" w:pos="9638"/>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_Toc18459 </w:instrText>
      </w:r>
      <w:r>
        <w:rPr>
          <w:rFonts w:ascii="黑体" w:hAnsi="黑体" w:eastAsia="黑体" w:cs="黑体"/>
          <w:szCs w:val="36"/>
          <w:highlight w:val="none"/>
        </w:rPr>
        <w:fldChar w:fldCharType="separate"/>
      </w:r>
      <w:r>
        <w:rPr>
          <w:rFonts w:hint="eastAsia" w:ascii="宋体" w:hAnsi="宋体" w:eastAsia="宋体" w:cs="宋体"/>
          <w:bCs/>
          <w:kern w:val="2"/>
          <w:szCs w:val="30"/>
          <w:lang w:val="en-US" w:eastAsia="zh-CN" w:bidi="ar-SA"/>
        </w:rPr>
        <w:t>十二、中小企业声明函（</w:t>
      </w:r>
      <w:r>
        <w:rPr>
          <w:rFonts w:hint="eastAsia" w:ascii="宋体" w:hAnsi="宋体" w:cs="宋体"/>
          <w:bCs/>
          <w:kern w:val="2"/>
          <w:szCs w:val="30"/>
          <w:lang w:val="en-US" w:eastAsia="zh-CN" w:bidi="ar-SA"/>
        </w:rPr>
        <w:t>货物</w:t>
      </w:r>
      <w:r>
        <w:rPr>
          <w:rFonts w:hint="eastAsia" w:ascii="宋体" w:hAnsi="宋体" w:eastAsia="宋体" w:cs="宋体"/>
          <w:bCs/>
          <w:kern w:val="2"/>
          <w:szCs w:val="30"/>
          <w:lang w:val="en-US" w:eastAsia="zh-CN" w:bidi="ar-SA"/>
        </w:rPr>
        <w:t>、服务）</w:t>
      </w:r>
      <w:r>
        <w:tab/>
      </w:r>
      <w:r>
        <w:fldChar w:fldCharType="begin"/>
      </w:r>
      <w:r>
        <w:instrText xml:space="preserve"> PAGEREF _Toc18459 \h </w:instrText>
      </w:r>
      <w:r>
        <w:fldChar w:fldCharType="separate"/>
      </w:r>
      <w:r>
        <w:t>78</w:t>
      </w:r>
      <w:r>
        <w:fldChar w:fldCharType="end"/>
      </w:r>
      <w:r>
        <w:rPr>
          <w:rFonts w:ascii="黑体" w:hAnsi="黑体" w:eastAsia="黑体" w:cs="黑体"/>
          <w:color w:val="auto"/>
          <w:szCs w:val="36"/>
          <w:highlight w:val="none"/>
        </w:rPr>
        <w:fldChar w:fldCharType="end"/>
      </w:r>
    </w:p>
    <w:p w14:paraId="73FF8B65">
      <w:pPr>
        <w:pStyle w:val="24"/>
        <w:tabs>
          <w:tab w:val="right" w:leader="dot" w:pos="9638"/>
          <w:tab w:val="clear" w:pos="0"/>
        </w:tabs>
      </w:pPr>
      <w:r>
        <w:rPr>
          <w:rFonts w:ascii="黑体" w:hAnsi="黑体" w:eastAsia="黑体" w:cs="黑体"/>
          <w:color w:val="auto"/>
          <w:szCs w:val="36"/>
          <w:highlight w:val="none"/>
        </w:rPr>
        <w:fldChar w:fldCharType="begin"/>
      </w:r>
      <w:r>
        <w:rPr>
          <w:rFonts w:ascii="黑体" w:hAnsi="黑体" w:eastAsia="黑体" w:cs="黑体"/>
          <w:szCs w:val="36"/>
          <w:highlight w:val="none"/>
        </w:rPr>
        <w:instrText xml:space="preserve"> HYPERLINK \l _Toc28657 </w:instrText>
      </w:r>
      <w:r>
        <w:rPr>
          <w:rFonts w:ascii="黑体" w:hAnsi="黑体" w:eastAsia="黑体" w:cs="黑体"/>
          <w:szCs w:val="36"/>
          <w:highlight w:val="none"/>
        </w:rPr>
        <w:fldChar w:fldCharType="separate"/>
      </w:r>
      <w:r>
        <w:rPr>
          <w:rFonts w:hint="eastAsia" w:ascii="宋体" w:hAnsi="宋体" w:eastAsia="宋体" w:cs="宋体"/>
          <w:bCs w:val="0"/>
          <w:highlight w:val="none"/>
        </w:rPr>
        <w:t xml:space="preserve">第七章 </w:t>
      </w:r>
      <w:r>
        <w:rPr>
          <w:rFonts w:hint="eastAsia" w:ascii="宋体" w:hAnsi="宋体" w:eastAsia="宋体" w:cs="宋体"/>
          <w:bCs w:val="0"/>
          <w:highlight w:val="none"/>
          <w:lang w:val="en-US" w:eastAsia="zh-CN"/>
        </w:rPr>
        <w:t>政府采购</w:t>
      </w:r>
      <w:r>
        <w:rPr>
          <w:rFonts w:hint="eastAsia" w:ascii="宋体" w:hAnsi="宋体" w:eastAsia="宋体" w:cs="宋体"/>
          <w:bCs w:val="0"/>
          <w:highlight w:val="none"/>
          <w:lang w:eastAsia="zh-CN"/>
        </w:rPr>
        <w:t>供应商</w:t>
      </w:r>
      <w:r>
        <w:rPr>
          <w:rFonts w:hint="eastAsia" w:ascii="宋体" w:hAnsi="宋体" w:eastAsia="宋体" w:cs="宋体"/>
          <w:bCs w:val="0"/>
          <w:highlight w:val="none"/>
        </w:rPr>
        <w:t>质疑函范本</w:t>
      </w:r>
      <w:r>
        <w:tab/>
      </w:r>
      <w:r>
        <w:fldChar w:fldCharType="begin"/>
      </w:r>
      <w:r>
        <w:instrText xml:space="preserve"> PAGEREF _Toc28657 \h </w:instrText>
      </w:r>
      <w:r>
        <w:fldChar w:fldCharType="separate"/>
      </w:r>
      <w:r>
        <w:t>79</w:t>
      </w:r>
      <w:r>
        <w:fldChar w:fldCharType="end"/>
      </w:r>
      <w:r>
        <w:rPr>
          <w:rFonts w:ascii="黑体" w:hAnsi="黑体" w:eastAsia="黑体" w:cs="黑体"/>
          <w:color w:val="auto"/>
          <w:szCs w:val="36"/>
          <w:highlight w:val="none"/>
        </w:rPr>
        <w:fldChar w:fldCharType="end"/>
      </w:r>
    </w:p>
    <w:p w14:paraId="61559100">
      <w:pPr>
        <w:pStyle w:val="2"/>
        <w:widowControl/>
        <w:spacing w:before="156" w:after="156" w:line="400" w:lineRule="exact"/>
        <w:rPr>
          <w:rFonts w:hint="default" w:ascii="黑体" w:hAnsi="黑体" w:eastAsia="黑体" w:cs="黑体"/>
          <w:color w:val="auto"/>
          <w:szCs w:val="36"/>
          <w:highlight w:val="none"/>
        </w:rPr>
        <w:sectPr>
          <w:pgSz w:w="11906" w:h="16838"/>
          <w:pgMar w:top="1134" w:right="1134" w:bottom="1134" w:left="1134" w:header="850" w:footer="624" w:gutter="0"/>
          <w:pgBorders>
            <w:top w:val="none" w:sz="0" w:space="0"/>
            <w:left w:val="none" w:sz="0" w:space="0"/>
            <w:bottom w:val="none" w:sz="0" w:space="0"/>
            <w:right w:val="none" w:sz="0" w:space="0"/>
          </w:pgBorders>
          <w:pgNumType w:start="1"/>
          <w:cols w:space="0" w:num="1"/>
          <w:docGrid w:type="lines" w:linePitch="312" w:charSpace="0"/>
        </w:sectPr>
      </w:pPr>
      <w:r>
        <w:rPr>
          <w:rFonts w:ascii="黑体" w:hAnsi="黑体" w:eastAsia="黑体" w:cs="黑体"/>
          <w:color w:val="auto"/>
          <w:szCs w:val="36"/>
          <w:highlight w:val="none"/>
        </w:rPr>
        <w:fldChar w:fldCharType="end"/>
      </w:r>
      <w:bookmarkStart w:id="0" w:name="_Toc16164"/>
    </w:p>
    <w:p w14:paraId="10ACBB44">
      <w:pPr>
        <w:pStyle w:val="2"/>
        <w:keepNext w:val="0"/>
        <w:keepLines w:val="0"/>
        <w:pageBreakBefore w:val="0"/>
        <w:widowControl/>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b/>
          <w:bCs w:val="0"/>
          <w:color w:val="auto"/>
          <w:highlight w:val="none"/>
        </w:rPr>
      </w:pPr>
      <w:bookmarkStart w:id="1" w:name="_Toc24758"/>
      <w:r>
        <w:rPr>
          <w:rFonts w:hint="eastAsia" w:ascii="宋体" w:hAnsi="宋体" w:eastAsia="宋体" w:cs="宋体"/>
          <w:b/>
          <w:bCs w:val="0"/>
          <w:color w:val="auto"/>
          <w:highlight w:val="none"/>
        </w:rPr>
        <w:t xml:space="preserve">第一章 </w:t>
      </w:r>
      <w:r>
        <w:rPr>
          <w:rFonts w:hint="eastAsia" w:ascii="宋体" w:hAnsi="宋体" w:eastAsia="宋体" w:cs="宋体"/>
          <w:b/>
          <w:bCs w:val="0"/>
          <w:color w:val="auto"/>
          <w:highlight w:val="none"/>
          <w:lang w:val="en-US" w:eastAsia="zh-CN"/>
        </w:rPr>
        <w:t>竞争性谈判</w:t>
      </w:r>
      <w:r>
        <w:rPr>
          <w:rFonts w:hint="eastAsia" w:ascii="宋体" w:hAnsi="宋体" w:eastAsia="宋体" w:cs="宋体"/>
          <w:b/>
          <w:bCs w:val="0"/>
          <w:color w:val="auto"/>
          <w:highlight w:val="none"/>
        </w:rPr>
        <w:t>公告</w:t>
      </w:r>
      <w:bookmarkEnd w:id="0"/>
      <w:bookmarkEnd w:id="1"/>
    </w:p>
    <w:p w14:paraId="3B89D93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firstLine="480"/>
        <w:textAlignment w:val="auto"/>
        <w:rPr>
          <w:rFonts w:hint="eastAsia"/>
          <w:u w:val="single"/>
          <w:lang w:val="en-US" w:eastAsia="zh-CN"/>
        </w:rPr>
      </w:pPr>
    </w:p>
    <w:p w14:paraId="65A708C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firstLine="480"/>
        <w:textAlignment w:val="auto"/>
        <w:rPr>
          <w:rFonts w:hint="eastAsia" w:eastAsia="宋体"/>
          <w:color w:val="auto"/>
          <w:highlight w:val="none"/>
          <w:lang w:eastAsia="zh-CN"/>
        </w:rPr>
      </w:pPr>
      <w:r>
        <w:rPr>
          <w:rFonts w:hint="eastAsia"/>
          <w:u w:val="single"/>
          <w:lang w:val="en-US" w:eastAsia="zh-CN"/>
        </w:rPr>
        <w:t>张家界市文化旅游广电体育局</w:t>
      </w:r>
      <w:r>
        <w:rPr>
          <w:rFonts w:hint="eastAsia"/>
          <w:lang w:val="en-US" w:eastAsia="zh-CN"/>
        </w:rPr>
        <w:t>的</w:t>
      </w:r>
      <w:r>
        <w:rPr>
          <w:rFonts w:hint="eastAsia"/>
          <w:u w:val="single"/>
          <w:lang w:val="en-US" w:eastAsia="zh-CN"/>
        </w:rPr>
        <w:t>张家界市图书馆社科书库提质改造采购项目</w:t>
      </w:r>
      <w:r>
        <w:rPr>
          <w:rFonts w:hint="eastAsia"/>
        </w:rPr>
        <w:t>进行竞争性谈判采购</w:t>
      </w:r>
      <w:r>
        <w:rPr>
          <w:rFonts w:hint="eastAsia"/>
          <w:color w:val="auto"/>
          <w:highlight w:val="none"/>
        </w:rPr>
        <w:t>，</w:t>
      </w:r>
      <w:r>
        <w:rPr>
          <w:rFonts w:hint="eastAsia"/>
          <w:color w:val="auto"/>
          <w:highlight w:val="none"/>
          <w:lang w:val="en-US" w:eastAsia="zh-CN"/>
        </w:rPr>
        <w:t>现</w:t>
      </w:r>
      <w:r>
        <w:rPr>
          <w:rFonts w:hint="eastAsia"/>
        </w:rPr>
        <w:t>邀请</w:t>
      </w:r>
      <w:r>
        <w:rPr>
          <w:rFonts w:hint="eastAsia"/>
          <w:lang w:val="en-US" w:eastAsia="zh-CN"/>
        </w:rPr>
        <w:t>符合要求的</w:t>
      </w:r>
      <w:r>
        <w:rPr>
          <w:rFonts w:hint="eastAsia"/>
        </w:rPr>
        <w:t>单位参加谈判采购活动。</w:t>
      </w:r>
    </w:p>
    <w:p w14:paraId="6636BC5C">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jc w:val="both"/>
        <w:textAlignment w:val="auto"/>
        <w:rPr>
          <w:rFonts w:hint="eastAsia" w:ascii="宋体" w:hAnsi="宋体" w:eastAsia="宋体" w:cs="宋体"/>
          <w:b/>
          <w:bCs/>
          <w:sz w:val="28"/>
          <w:szCs w:val="22"/>
          <w:lang w:eastAsia="zh-CN"/>
        </w:rPr>
      </w:pPr>
      <w:bookmarkStart w:id="2" w:name="_Toc15248"/>
      <w:bookmarkStart w:id="3" w:name="_Toc14974"/>
      <w:bookmarkStart w:id="4" w:name="_Toc492"/>
      <w:bookmarkStart w:id="5" w:name="_Toc16151"/>
      <w:bookmarkStart w:id="6" w:name="_Toc30765"/>
      <w:bookmarkStart w:id="7" w:name="_Toc25910"/>
      <w:r>
        <w:rPr>
          <w:rFonts w:hint="eastAsia" w:ascii="宋体" w:hAnsi="宋体" w:eastAsia="宋体" w:cs="宋体"/>
          <w:b/>
          <w:bCs/>
          <w:kern w:val="2"/>
          <w:sz w:val="28"/>
          <w:szCs w:val="22"/>
          <w:lang w:val="en-US" w:eastAsia="zh-CN" w:bidi="ar-SA"/>
        </w:rPr>
        <w:t>一、</w:t>
      </w:r>
      <w:r>
        <w:rPr>
          <w:rFonts w:hint="eastAsia" w:ascii="宋体" w:hAnsi="宋体" w:eastAsia="宋体" w:cs="宋体"/>
          <w:b/>
          <w:bCs/>
          <w:sz w:val="28"/>
          <w:szCs w:val="22"/>
        </w:rPr>
        <w:t>采购项目信息</w:t>
      </w:r>
      <w:bookmarkEnd w:id="2"/>
      <w:bookmarkEnd w:id="3"/>
      <w:bookmarkEnd w:id="4"/>
      <w:bookmarkEnd w:id="5"/>
      <w:bookmarkEnd w:id="6"/>
    </w:p>
    <w:tbl>
      <w:tblPr>
        <w:tblStyle w:val="3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4"/>
        <w:gridCol w:w="6572"/>
      </w:tblGrid>
      <w:tr w14:paraId="0E9D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1FE57AB2">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rPr>
            </w:pPr>
            <w:r>
              <w:rPr>
                <w:rFonts w:hint="eastAsia" w:ascii="宋体" w:hAnsi="宋体" w:eastAsia="宋体" w:cs="宋体"/>
                <w:lang w:val="en-US" w:eastAsia="zh-CN"/>
              </w:rPr>
              <w:t>项目名</w:t>
            </w:r>
            <w:r>
              <w:rPr>
                <w:rFonts w:hint="eastAsia" w:ascii="宋体" w:hAnsi="宋体" w:eastAsia="宋体" w:cs="宋体"/>
              </w:rPr>
              <w:t>称</w:t>
            </w:r>
          </w:p>
        </w:tc>
        <w:tc>
          <w:tcPr>
            <w:tcW w:w="3853" w:type="pct"/>
            <w:vAlign w:val="center"/>
          </w:tcPr>
          <w:p w14:paraId="0DB83685">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lang w:eastAsia="zh-CN"/>
              </w:rPr>
            </w:pPr>
            <w:r>
              <w:rPr>
                <w:rFonts w:hint="eastAsia" w:ascii="宋体" w:hAnsi="宋体" w:cs="宋体"/>
                <w:lang w:val="en-US" w:eastAsia="zh-CN"/>
              </w:rPr>
              <w:t>张家界市图书馆社科书库提质改造采购项目</w:t>
            </w:r>
          </w:p>
        </w:tc>
      </w:tr>
      <w:tr w14:paraId="35DE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4F5DE705">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rPr>
            </w:pPr>
            <w:r>
              <w:rPr>
                <w:rFonts w:hint="eastAsia" w:ascii="宋体" w:hAnsi="宋体" w:eastAsia="宋体" w:cs="宋体"/>
              </w:rPr>
              <w:t>采购计划编号</w:t>
            </w:r>
          </w:p>
        </w:tc>
        <w:tc>
          <w:tcPr>
            <w:tcW w:w="3853" w:type="pct"/>
            <w:vAlign w:val="center"/>
          </w:tcPr>
          <w:p w14:paraId="691ACA4A">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lang w:eastAsia="zh-CN"/>
              </w:rPr>
            </w:pPr>
            <w:r>
              <w:rPr>
                <w:rFonts w:hint="eastAsia" w:ascii="宋体" w:hAnsi="宋体" w:cs="宋体"/>
                <w:lang w:val="en-US" w:eastAsia="zh-CN"/>
              </w:rPr>
              <w:t>张财采计【2026】</w:t>
            </w:r>
          </w:p>
        </w:tc>
      </w:tr>
      <w:tr w14:paraId="5DDE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0C76E75D">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color w:val="0000FF"/>
              </w:rPr>
            </w:pPr>
            <w:r>
              <w:rPr>
                <w:rFonts w:hint="eastAsia" w:ascii="宋体" w:hAnsi="宋体" w:eastAsia="宋体" w:cs="宋体"/>
                <w:color w:val="000000" w:themeColor="text1"/>
                <w14:textFill>
                  <w14:solidFill>
                    <w14:schemeClr w14:val="tx1"/>
                  </w14:solidFill>
                </w14:textFill>
              </w:rPr>
              <w:t>委托代理编号</w:t>
            </w:r>
          </w:p>
        </w:tc>
        <w:tc>
          <w:tcPr>
            <w:tcW w:w="3853" w:type="pct"/>
            <w:vAlign w:val="center"/>
          </w:tcPr>
          <w:p w14:paraId="1CD457BA">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color w:val="0000FF"/>
                <w:lang w:val="en-US" w:eastAsia="zh-CN"/>
              </w:rPr>
            </w:pPr>
            <w:r>
              <w:rPr>
                <w:rFonts w:hint="eastAsia" w:ascii="宋体" w:hAnsi="宋体" w:cs="宋体"/>
                <w:lang w:val="en-US" w:eastAsia="zh-CN"/>
              </w:rPr>
              <w:t>HNFH-2026-F041</w:t>
            </w:r>
          </w:p>
        </w:tc>
      </w:tr>
      <w:tr w14:paraId="26E4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18EC1059">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rPr>
            </w:pPr>
            <w:r>
              <w:rPr>
                <w:rFonts w:hint="eastAsia" w:ascii="宋体" w:hAnsi="宋体" w:eastAsia="宋体" w:cs="宋体"/>
              </w:rPr>
              <w:t>采购预算</w:t>
            </w:r>
          </w:p>
        </w:tc>
        <w:tc>
          <w:tcPr>
            <w:tcW w:w="3853" w:type="pct"/>
            <w:vAlign w:val="center"/>
          </w:tcPr>
          <w:p w14:paraId="43E4777A">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rPr>
            </w:pPr>
            <w:r>
              <w:rPr>
                <w:rFonts w:hint="eastAsia" w:ascii="宋体" w:hAnsi="宋体" w:cs="宋体"/>
                <w:lang w:val="en-US" w:eastAsia="zh-CN"/>
              </w:rPr>
              <w:t>494310.20元</w:t>
            </w:r>
          </w:p>
        </w:tc>
      </w:tr>
      <w:tr w14:paraId="771A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415CB966">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lang w:val="en-US" w:eastAsia="zh-CN"/>
              </w:rPr>
            </w:pPr>
            <w:r>
              <w:rPr>
                <w:rFonts w:hint="eastAsia" w:ascii="宋体" w:hAnsi="宋体" w:eastAsia="宋体" w:cs="宋体"/>
                <w:lang w:val="en-US" w:eastAsia="zh-CN"/>
              </w:rPr>
              <w:t>预付款</w:t>
            </w:r>
          </w:p>
        </w:tc>
        <w:tc>
          <w:tcPr>
            <w:tcW w:w="3853" w:type="pct"/>
            <w:vAlign w:val="center"/>
          </w:tcPr>
          <w:p w14:paraId="6AFA5AEA">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lang w:val="en-US" w:eastAsia="zh-CN"/>
              </w:rPr>
            </w:pPr>
            <w:r>
              <w:rPr>
                <w:rFonts w:hint="eastAsia" w:ascii="宋体" w:hAnsi="宋体" w:eastAsia="宋体" w:cs="宋体"/>
              </w:rPr>
              <w:sym w:font="Wingdings" w:char="00A8"/>
            </w:r>
            <w:r>
              <w:rPr>
                <w:rFonts w:hint="eastAsia" w:ascii="宋体" w:hAnsi="宋体" w:eastAsia="宋体" w:cs="宋体"/>
              </w:rPr>
              <w:t>支持预付款，预付比例：</w:t>
            </w:r>
            <w:r>
              <w:rPr>
                <w:rFonts w:hint="default" w:ascii="宋体" w:hAnsi="宋体" w:cs="宋体"/>
                <w:u w:val="single"/>
                <w:lang w:eastAsia="zh-CN"/>
              </w:rPr>
              <w:t>0</w:t>
            </w:r>
            <w:r>
              <w:rPr>
                <w:rFonts w:hint="eastAsia" w:ascii="宋体" w:hAnsi="宋体" w:cs="宋体"/>
                <w:u w:val="single"/>
                <w:lang w:val="en-US" w:eastAsia="zh-CN"/>
              </w:rPr>
              <w:t>%</w:t>
            </w:r>
          </w:p>
        </w:tc>
      </w:tr>
      <w:tr w14:paraId="1533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2D28B0A7">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rPr>
            </w:pPr>
            <w:r>
              <w:rPr>
                <w:rFonts w:hint="eastAsia" w:ascii="宋体" w:hAnsi="宋体" w:eastAsia="宋体" w:cs="宋体"/>
              </w:rPr>
              <w:t>本项目对应的中小企业划分标准所属行业</w:t>
            </w:r>
          </w:p>
        </w:tc>
        <w:tc>
          <w:tcPr>
            <w:tcW w:w="3853" w:type="pct"/>
            <w:vAlign w:val="center"/>
          </w:tcPr>
          <w:p w14:paraId="489FFFAB">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default" w:ascii="宋体" w:hAnsi="宋体" w:eastAsia="宋体" w:cs="宋体"/>
                <w:color w:val="auto"/>
                <w:lang w:val="en-US" w:eastAsia="zh-CN"/>
              </w:rPr>
            </w:pPr>
            <w:r>
              <w:rPr>
                <w:rFonts w:hint="eastAsia" w:ascii="宋体" w:hAnsi="宋体" w:cs="宋体"/>
                <w:color w:val="auto"/>
                <w:lang w:val="en-US" w:eastAsia="zh-CN"/>
              </w:rPr>
              <w:t>制造业</w:t>
            </w:r>
          </w:p>
        </w:tc>
      </w:tr>
      <w:tr w14:paraId="46C5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5D5B5352">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rPr>
            </w:pPr>
            <w:r>
              <w:rPr>
                <w:rFonts w:hint="eastAsia" w:ascii="宋体" w:hAnsi="宋体" w:eastAsia="宋体" w:cs="宋体"/>
              </w:rPr>
              <w:t>合同履行期限</w:t>
            </w:r>
          </w:p>
        </w:tc>
        <w:tc>
          <w:tcPr>
            <w:tcW w:w="3853" w:type="pct"/>
            <w:vAlign w:val="center"/>
          </w:tcPr>
          <w:p w14:paraId="565509A7">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color w:val="auto"/>
                <w:lang w:val="en-US" w:eastAsia="zh-CN"/>
              </w:rPr>
            </w:pPr>
            <w:r>
              <w:rPr>
                <w:rFonts w:hint="eastAsia"/>
                <w:color w:val="auto"/>
                <w:sz w:val="24"/>
                <w:szCs w:val="24"/>
                <w:lang w:val="en-US" w:eastAsia="zh-CN"/>
              </w:rPr>
              <w:t>合同期限按照</w:t>
            </w:r>
            <w:r>
              <w:rPr>
                <w:rFonts w:hint="default"/>
                <w:color w:val="auto"/>
                <w:sz w:val="24"/>
                <w:szCs w:val="24"/>
                <w:lang w:eastAsia="zh-CN"/>
              </w:rPr>
              <w:t>采购需求</w:t>
            </w:r>
            <w:r>
              <w:rPr>
                <w:rFonts w:hint="eastAsia"/>
                <w:color w:val="auto"/>
                <w:sz w:val="24"/>
                <w:szCs w:val="24"/>
                <w:lang w:val="en-US" w:eastAsia="zh-CN"/>
              </w:rPr>
              <w:t>确定</w:t>
            </w:r>
          </w:p>
        </w:tc>
      </w:tr>
      <w:tr w14:paraId="0E93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6" w:type="pct"/>
            <w:vAlign w:val="center"/>
          </w:tcPr>
          <w:p w14:paraId="058512F0">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default" w:ascii="宋体" w:hAnsi="宋体" w:eastAsia="宋体" w:cs="宋体"/>
                <w:lang w:val="en-US" w:eastAsia="zh-CN"/>
              </w:rPr>
            </w:pPr>
            <w:r>
              <w:rPr>
                <w:rFonts w:hint="eastAsia" w:ascii="宋体" w:hAnsi="宋体" w:cs="宋体"/>
                <w:lang w:val="en-US" w:eastAsia="zh-CN"/>
              </w:rPr>
              <w:t>合同定价方式</w:t>
            </w:r>
          </w:p>
        </w:tc>
        <w:tc>
          <w:tcPr>
            <w:tcW w:w="3853" w:type="pct"/>
            <w:vAlign w:val="center"/>
          </w:tcPr>
          <w:p w14:paraId="7DCCD15F">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sym w:font="Wingdings" w:char="00FE"/>
            </w:r>
            <w:r>
              <w:rPr>
                <w:rFonts w:hint="eastAsia" w:ascii="宋体" w:hAnsi="宋体" w:eastAsia="宋体" w:cs="宋体"/>
                <w:color w:val="000000" w:themeColor="text1"/>
                <w:lang w:val="en-US" w:eastAsia="zh-CN"/>
                <w14:textFill>
                  <w14:solidFill>
                    <w14:schemeClr w14:val="tx1"/>
                  </w14:solidFill>
                </w14:textFill>
              </w:rPr>
              <w:t xml:space="preserve">固定总价 </w:t>
            </w:r>
            <w:r>
              <w:rPr>
                <w:rFonts w:hint="eastAsia" w:ascii="宋体" w:hAnsi="宋体" w:eastAsia="宋体" w:cs="宋体"/>
                <w:color w:val="000000" w:themeColor="text1"/>
                <w:lang w:val="en-US" w:eastAsia="zh-CN"/>
                <w14:textFill>
                  <w14:solidFill>
                    <w14:schemeClr w14:val="tx1"/>
                  </w14:solidFill>
                </w14:textFill>
              </w:rPr>
              <w:sym w:font="Wingdings" w:char="00A8"/>
            </w:r>
            <w:r>
              <w:rPr>
                <w:rFonts w:hint="eastAsia" w:ascii="宋体" w:hAnsi="宋体" w:eastAsia="宋体" w:cs="宋体"/>
                <w:color w:val="000000" w:themeColor="text1"/>
                <w:lang w:val="en-US" w:eastAsia="zh-CN"/>
                <w14:textFill>
                  <w14:solidFill>
                    <w14:schemeClr w14:val="tx1"/>
                  </w14:solidFill>
                </w14:textFill>
              </w:rPr>
              <w:t xml:space="preserve">固定单价 </w:t>
            </w:r>
            <w:r>
              <w:rPr>
                <w:rFonts w:hint="eastAsia" w:ascii="宋体" w:hAnsi="宋体" w:eastAsia="宋体" w:cs="宋体"/>
                <w:color w:val="000000" w:themeColor="text1"/>
                <w:lang w:val="en-US" w:eastAsia="zh-CN"/>
                <w14:textFill>
                  <w14:solidFill>
                    <w14:schemeClr w14:val="tx1"/>
                  </w14:solidFill>
                </w14:textFill>
              </w:rPr>
              <w:sym w:font="Wingdings" w:char="00A8"/>
            </w:r>
            <w:r>
              <w:rPr>
                <w:rFonts w:hint="eastAsia" w:ascii="宋体" w:hAnsi="宋体" w:eastAsia="宋体" w:cs="宋体"/>
                <w:color w:val="000000" w:themeColor="text1"/>
                <w:lang w:val="en-US" w:eastAsia="zh-CN"/>
                <w14:textFill>
                  <w14:solidFill>
                    <w14:schemeClr w14:val="tx1"/>
                  </w14:solidFill>
                </w14:textFill>
              </w:rPr>
              <w:t xml:space="preserve">成本补偿 </w:t>
            </w:r>
            <w:r>
              <w:rPr>
                <w:rFonts w:hint="eastAsia" w:ascii="宋体" w:hAnsi="宋体" w:eastAsia="宋体" w:cs="宋体"/>
                <w:color w:val="000000" w:themeColor="text1"/>
                <w:lang w:val="en-US" w:eastAsia="zh-CN"/>
                <w14:textFill>
                  <w14:solidFill>
                    <w14:schemeClr w14:val="tx1"/>
                  </w14:solidFill>
                </w14:textFill>
              </w:rPr>
              <w:sym w:font="Wingdings" w:char="00A8"/>
            </w:r>
            <w:r>
              <w:rPr>
                <w:rFonts w:hint="eastAsia" w:ascii="宋体" w:hAnsi="宋体" w:eastAsia="宋体" w:cs="宋体"/>
                <w:color w:val="000000" w:themeColor="text1"/>
                <w:lang w:val="en-US" w:eastAsia="zh-CN"/>
                <w14:textFill>
                  <w14:solidFill>
                    <w14:schemeClr w14:val="tx1"/>
                  </w14:solidFill>
                </w14:textFill>
              </w:rPr>
              <w:t xml:space="preserve">绩效激励 </w:t>
            </w:r>
          </w:p>
        </w:tc>
      </w:tr>
      <w:tr w14:paraId="7E93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146" w:type="pct"/>
            <w:vAlign w:val="center"/>
          </w:tcPr>
          <w:p w14:paraId="17AE3360">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center"/>
              <w:textAlignment w:val="auto"/>
              <w:rPr>
                <w:rFonts w:hint="eastAsia" w:ascii="宋体" w:hAnsi="宋体" w:eastAsia="宋体" w:cs="宋体"/>
              </w:rPr>
            </w:pPr>
            <w:r>
              <w:rPr>
                <w:rFonts w:hint="eastAsia" w:ascii="宋体" w:hAnsi="宋体" w:eastAsia="宋体" w:cs="宋体"/>
              </w:rPr>
              <w:t>本项目分阶段要求供应商提供以下保证</w:t>
            </w:r>
          </w:p>
        </w:tc>
        <w:tc>
          <w:tcPr>
            <w:tcW w:w="3853" w:type="pct"/>
            <w:vAlign w:val="center"/>
          </w:tcPr>
          <w:p w14:paraId="7D6294FA">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lang w:val="en-US" w:eastAsia="zh-CN"/>
              </w:rPr>
            </w:pPr>
            <w:r>
              <w:rPr>
                <w:rFonts w:hint="eastAsia" w:ascii="宋体" w:hAnsi="宋体" w:eastAsia="宋体" w:cs="宋体"/>
              </w:rPr>
              <w:sym w:font="Wingdings" w:char="00FE"/>
            </w:r>
            <w:r>
              <w:rPr>
                <w:rFonts w:hint="eastAsia" w:ascii="宋体" w:hAnsi="宋体" w:eastAsia="宋体" w:cs="宋体"/>
              </w:rPr>
              <w:t>投标保证金：</w:t>
            </w:r>
            <w:r>
              <w:rPr>
                <w:rFonts w:hint="eastAsia" w:ascii="宋体" w:hAnsi="宋体" w:eastAsia="宋体" w:cs="宋体"/>
                <w:color w:val="auto"/>
                <w:lang w:eastAsia="zh-CN"/>
              </w:rPr>
              <w:t>人民币</w:t>
            </w:r>
            <w:r>
              <w:rPr>
                <w:rFonts w:hint="eastAsia" w:ascii="宋体" w:hAnsi="宋体" w:eastAsia="宋体" w:cs="宋体"/>
                <w:color w:val="auto"/>
                <w:u w:val="single"/>
                <w:lang w:val="en-US" w:eastAsia="zh-CN"/>
              </w:rPr>
              <w:t xml:space="preserve"> 1 </w:t>
            </w:r>
            <w:r>
              <w:rPr>
                <w:rFonts w:hint="eastAsia" w:ascii="宋体" w:hAnsi="宋体" w:eastAsia="宋体" w:cs="宋体"/>
                <w:color w:val="auto"/>
                <w:lang w:val="en-US" w:eastAsia="zh-CN"/>
              </w:rPr>
              <w:t>元</w:t>
            </w:r>
            <w:r>
              <w:rPr>
                <w:rFonts w:hint="eastAsia" w:ascii="宋体" w:hAnsi="宋体" w:eastAsia="宋体" w:cs="宋体"/>
                <w:lang w:val="en-US" w:eastAsia="zh-CN"/>
              </w:rPr>
              <w:t>（备注：根据张政办发〔2024〕21号文件规定，采购400万以下的货物、服务和工程免收取投标保证金，但因系统设置银行转账额度不能少于1元钱，需缴纳1元作为保证金）</w:t>
            </w:r>
            <w:r>
              <w:rPr>
                <w:rFonts w:hint="eastAsia" w:ascii="宋体" w:hAnsi="宋体" w:cs="宋体"/>
                <w:lang w:val="en-US" w:eastAsia="zh-CN"/>
              </w:rPr>
              <w:t>。</w:t>
            </w:r>
          </w:p>
          <w:p w14:paraId="693AC186">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color w:val="auto"/>
              </w:rPr>
            </w:pPr>
            <w:r>
              <w:rPr>
                <w:rFonts w:hint="eastAsia" w:ascii="宋体" w:hAnsi="宋体" w:eastAsia="宋体" w:cs="宋体"/>
                <w:color w:val="auto"/>
              </w:rPr>
              <w:sym w:font="Wingdings" w:char="00FE"/>
            </w:r>
            <w:r>
              <w:rPr>
                <w:rFonts w:hint="eastAsia" w:ascii="宋体" w:hAnsi="宋体" w:eastAsia="宋体" w:cs="宋体"/>
                <w:color w:val="auto"/>
              </w:rPr>
              <w:t>履约保证金：中标、成交金额降价幅度不超过采购预算10%的，履约保证金为中标、成交金额的10%</w:t>
            </w:r>
            <w:r>
              <w:rPr>
                <w:rFonts w:hint="eastAsia" w:ascii="宋体" w:hAnsi="宋体" w:eastAsia="宋体" w:cs="宋体"/>
                <w:color w:val="auto"/>
                <w:lang w:eastAsia="zh-CN"/>
              </w:rPr>
              <w:t>；</w:t>
            </w:r>
            <w:r>
              <w:rPr>
                <w:rFonts w:hint="eastAsia" w:ascii="宋体" w:hAnsi="宋体" w:eastAsia="宋体" w:cs="宋体"/>
                <w:color w:val="auto"/>
              </w:rPr>
              <w:t>中标、成交金额降价幅度超过采购预算10%以上的，履约保证金为采购预算减去中标、成交金额的差额；</w:t>
            </w:r>
          </w:p>
          <w:p w14:paraId="2377D8E0">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color w:val="auto"/>
              </w:rPr>
            </w:pPr>
            <w:r>
              <w:rPr>
                <w:rFonts w:hint="eastAsia" w:ascii="宋体" w:hAnsi="宋体" w:eastAsia="宋体" w:cs="宋体"/>
                <w:color w:val="auto"/>
              </w:rPr>
              <w:sym w:font="Wingdings" w:char="00A8"/>
            </w:r>
            <w:r>
              <w:rPr>
                <w:rFonts w:hint="eastAsia" w:ascii="宋体" w:hAnsi="宋体" w:eastAsia="宋体" w:cs="宋体"/>
                <w:color w:val="auto"/>
              </w:rPr>
              <w:t>预付款保证金：预付款的</w:t>
            </w:r>
            <w:r>
              <w:rPr>
                <w:rFonts w:hint="eastAsia" w:ascii="宋体" w:hAnsi="宋体" w:cs="宋体"/>
                <w:color w:val="auto"/>
                <w:u w:val="single"/>
                <w:lang w:val="en-US" w:eastAsia="zh-CN"/>
              </w:rPr>
              <w:t>100%</w:t>
            </w:r>
            <w:r>
              <w:rPr>
                <w:rFonts w:hint="eastAsia" w:ascii="宋体" w:hAnsi="宋体" w:eastAsia="宋体" w:cs="宋体"/>
                <w:color w:val="auto"/>
              </w:rPr>
              <w:t>；</w:t>
            </w:r>
          </w:p>
          <w:p w14:paraId="2B685877">
            <w:pPr>
              <w:pStyle w:val="44"/>
              <w:keepNext w:val="0"/>
              <w:keepLines w:val="0"/>
              <w:pageBreakBefore w:val="0"/>
              <w:widowControl w:val="0"/>
              <w:kinsoku/>
              <w:wordWrap/>
              <w:overflowPunct/>
              <w:topLinePunct w:val="0"/>
              <w:autoSpaceDE/>
              <w:autoSpaceDN/>
              <w:bidi w:val="0"/>
              <w:adjustRightInd w:val="0"/>
              <w:snapToGrid w:val="0"/>
              <w:spacing w:before="0" w:beforeLines="0" w:line="240" w:lineRule="auto"/>
              <w:ind w:firstLine="0" w:firstLineChars="0"/>
              <w:jc w:val="both"/>
              <w:textAlignment w:val="auto"/>
              <w:rPr>
                <w:rFonts w:hint="eastAsia" w:ascii="宋体" w:hAnsi="宋体" w:eastAsia="宋体" w:cs="宋体"/>
              </w:rPr>
            </w:pPr>
            <w:r>
              <w:rPr>
                <w:rFonts w:hint="eastAsia" w:ascii="宋体" w:hAnsi="宋体" w:eastAsia="宋体" w:cs="宋体"/>
                <w:color w:val="auto"/>
              </w:rPr>
              <w:sym w:font="Wingdings" w:char="00FE"/>
            </w:r>
            <w:r>
              <w:rPr>
                <w:rFonts w:hint="eastAsia" w:ascii="宋体" w:hAnsi="宋体" w:eastAsia="宋体" w:cs="宋体"/>
                <w:color w:val="auto"/>
              </w:rPr>
              <w:t>质量保证金：合同金额的</w:t>
            </w:r>
            <w:r>
              <w:rPr>
                <w:rFonts w:hint="eastAsia" w:ascii="宋体" w:hAnsi="宋体" w:cs="宋体"/>
                <w:color w:val="auto"/>
                <w:u w:val="single"/>
                <w:lang w:val="en-US" w:eastAsia="zh-CN"/>
              </w:rPr>
              <w:t>3</w:t>
            </w:r>
            <w:r>
              <w:rPr>
                <w:rFonts w:hint="eastAsia" w:ascii="宋体" w:hAnsi="宋体" w:eastAsia="宋体" w:cs="宋体"/>
                <w:color w:val="auto"/>
              </w:rPr>
              <w:t>%；</w:t>
            </w:r>
          </w:p>
        </w:tc>
      </w:tr>
    </w:tbl>
    <w:p w14:paraId="6DF806D5">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kern w:val="2"/>
          <w:sz w:val="28"/>
          <w:szCs w:val="22"/>
          <w:lang w:val="en-US" w:eastAsia="zh-CN" w:bidi="ar-SA"/>
        </w:rPr>
      </w:pPr>
      <w:bookmarkStart w:id="8" w:name="_Toc12734"/>
      <w:bookmarkStart w:id="9" w:name="_Toc2266"/>
      <w:bookmarkStart w:id="10" w:name="_Toc16219"/>
      <w:r>
        <w:rPr>
          <w:rFonts w:hint="eastAsia" w:ascii="宋体" w:hAnsi="宋体" w:eastAsia="宋体" w:cs="宋体"/>
          <w:b/>
          <w:bCs/>
          <w:kern w:val="2"/>
          <w:sz w:val="28"/>
          <w:szCs w:val="22"/>
          <w:lang w:val="en-US" w:eastAsia="zh-CN" w:bidi="ar-SA"/>
        </w:rPr>
        <w:t>二、采购人的采购需求</w:t>
      </w:r>
      <w:bookmarkEnd w:id="8"/>
      <w:bookmarkEnd w:id="9"/>
      <w:bookmarkEnd w:id="10"/>
    </w:p>
    <w:tbl>
      <w:tblPr>
        <w:tblStyle w:val="34"/>
        <w:tblW w:w="4994"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334"/>
        <w:gridCol w:w="2609"/>
        <w:gridCol w:w="1183"/>
        <w:gridCol w:w="457"/>
        <w:gridCol w:w="1296"/>
        <w:gridCol w:w="530"/>
        <w:gridCol w:w="568"/>
      </w:tblGrid>
      <w:tr w14:paraId="753EFC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317" w:type="pct"/>
            <w:tcBorders>
              <w:tl2br w:val="nil"/>
              <w:tr2bl w:val="nil"/>
            </w:tcBorders>
            <w:shd w:val="pct10" w:color="8DB3E2" w:themeColor="text2" w:themeTint="66" w:fill="DCE6F2" w:themeFill="accent1" w:themeFillTint="32"/>
            <w:vAlign w:val="center"/>
          </w:tcPr>
          <w:p w14:paraId="2BDACA57">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包名</w:t>
            </w:r>
          </w:p>
        </w:tc>
        <w:tc>
          <w:tcPr>
            <w:tcW w:w="783" w:type="pct"/>
            <w:tcBorders>
              <w:tl2br w:val="nil"/>
              <w:tr2bl w:val="nil"/>
            </w:tcBorders>
            <w:shd w:val="pct10" w:color="8DB3E2" w:themeColor="text2" w:themeTint="66" w:fill="DCE6F2" w:themeFill="accent1" w:themeFillTint="32"/>
            <w:vAlign w:val="center"/>
          </w:tcPr>
          <w:p w14:paraId="7442CD0F">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最高限价（元）</w:t>
            </w:r>
          </w:p>
        </w:tc>
        <w:tc>
          <w:tcPr>
            <w:tcW w:w="1531" w:type="pct"/>
            <w:tcBorders>
              <w:tl2br w:val="nil"/>
              <w:tr2bl w:val="nil"/>
            </w:tcBorders>
            <w:shd w:val="pct10" w:color="8DB3E2" w:themeColor="text2" w:themeTint="66" w:fill="DCE6F2" w:themeFill="accent1" w:themeFillTint="32"/>
            <w:vAlign w:val="center"/>
          </w:tcPr>
          <w:p w14:paraId="7F6C3E8E">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标的名称</w:t>
            </w:r>
          </w:p>
        </w:tc>
        <w:tc>
          <w:tcPr>
            <w:tcW w:w="694" w:type="pct"/>
            <w:tcBorders>
              <w:tl2br w:val="nil"/>
              <w:tr2bl w:val="nil"/>
            </w:tcBorders>
            <w:shd w:val="pct10" w:color="8DB3E2" w:themeColor="text2" w:themeTint="66" w:fill="DCE6F2" w:themeFill="accent1" w:themeFillTint="32"/>
            <w:vAlign w:val="center"/>
          </w:tcPr>
          <w:p w14:paraId="6B9BAE01">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简要技术要求</w:t>
            </w:r>
          </w:p>
        </w:tc>
        <w:tc>
          <w:tcPr>
            <w:tcW w:w="268" w:type="pct"/>
            <w:tcBorders>
              <w:tl2br w:val="nil"/>
              <w:tr2bl w:val="nil"/>
            </w:tcBorders>
            <w:shd w:val="pct10" w:color="8DB3E2" w:themeColor="text2" w:themeTint="66" w:fill="DCE6F2" w:themeFill="accent1" w:themeFillTint="32"/>
            <w:vAlign w:val="center"/>
          </w:tcPr>
          <w:p w14:paraId="37042DEB">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shd w:val="clear" w:fill="D6DCE5"/>
              </w:rPr>
              <w:t>数量</w:t>
            </w:r>
          </w:p>
        </w:tc>
        <w:tc>
          <w:tcPr>
            <w:tcW w:w="760" w:type="pct"/>
            <w:tcBorders>
              <w:tl2br w:val="nil"/>
              <w:tr2bl w:val="nil"/>
            </w:tcBorders>
            <w:shd w:val="pct10" w:color="8DB3E2" w:themeColor="text2" w:themeTint="66" w:fill="DCE6F2" w:themeFill="accent1" w:themeFillTint="32"/>
            <w:vAlign w:val="center"/>
          </w:tcPr>
          <w:p w14:paraId="6FFDDA8B">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预算金额（元）</w:t>
            </w:r>
          </w:p>
        </w:tc>
        <w:tc>
          <w:tcPr>
            <w:tcW w:w="311" w:type="pct"/>
            <w:tcBorders>
              <w:tl2br w:val="nil"/>
              <w:tr2bl w:val="nil"/>
            </w:tcBorders>
            <w:shd w:val="pct10" w:color="8DB3E2" w:themeColor="text2" w:themeTint="66" w:fill="DCE6F2" w:themeFill="accent1" w:themeFillTint="32"/>
            <w:vAlign w:val="center"/>
          </w:tcPr>
          <w:p w14:paraId="0F7C8E5D">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节能产品</w:t>
            </w:r>
          </w:p>
        </w:tc>
        <w:tc>
          <w:tcPr>
            <w:tcW w:w="333" w:type="pct"/>
            <w:tcBorders>
              <w:tl2br w:val="nil"/>
              <w:tr2bl w:val="nil"/>
            </w:tcBorders>
            <w:shd w:val="pct10" w:color="8DB3E2" w:themeColor="text2" w:themeTint="66" w:fill="DCE6F2" w:themeFill="accent1" w:themeFillTint="32"/>
            <w:vAlign w:val="center"/>
          </w:tcPr>
          <w:p w14:paraId="6A89AB30">
            <w:pPr>
              <w:pStyle w:val="43"/>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sz w:val="24"/>
                <w:szCs w:val="24"/>
              </w:rPr>
              <w:t>进口产品</w:t>
            </w:r>
          </w:p>
        </w:tc>
      </w:tr>
      <w:tr w14:paraId="1C8B2A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17" w:type="pct"/>
            <w:tcBorders>
              <w:tl2br w:val="nil"/>
              <w:tr2bl w:val="nil"/>
            </w:tcBorders>
            <w:vAlign w:val="center"/>
          </w:tcPr>
          <w:p w14:paraId="21FE337C">
            <w:pPr>
              <w:pStyle w:val="47"/>
              <w:pageBreakBefore w:val="0"/>
              <w:kinsoku/>
              <w:wordWrap/>
              <w:overflowPunct/>
              <w:topLinePunct w:val="0"/>
              <w:autoSpaceDE/>
              <w:autoSpaceDN/>
              <w:bidi w:val="0"/>
              <w:ind w:left="0" w:leftChars="0"/>
              <w:rPr>
                <w:rFonts w:hint="eastAsia" w:ascii="宋体" w:hAnsi="宋体" w:eastAsia="宋体" w:cs="宋体"/>
                <w:b w:val="0"/>
                <w:bCs/>
                <w:sz w:val="24"/>
                <w:szCs w:val="24"/>
                <w:lang w:val="en-US" w:eastAsia="zh-CN"/>
              </w:rPr>
            </w:pPr>
            <w:r>
              <w:rPr>
                <w:rFonts w:hint="eastAsia" w:ascii="宋体" w:hAnsi="宋体" w:eastAsia="宋体" w:cs="宋体"/>
                <w:b w:val="0"/>
                <w:bCs/>
                <w:color w:val="auto"/>
                <w:sz w:val="24"/>
                <w:szCs w:val="24"/>
                <w:highlight w:val="none"/>
                <w:lang w:val="en-US" w:eastAsia="zh-CN"/>
              </w:rPr>
              <w:t>包一</w:t>
            </w:r>
          </w:p>
        </w:tc>
        <w:tc>
          <w:tcPr>
            <w:tcW w:w="783" w:type="pct"/>
            <w:tcBorders>
              <w:tl2br w:val="nil"/>
              <w:tr2bl w:val="nil"/>
            </w:tcBorders>
            <w:shd w:val="clear" w:color="auto" w:fill="auto"/>
            <w:vAlign w:val="center"/>
          </w:tcPr>
          <w:p w14:paraId="4501F01B">
            <w:pPr>
              <w:pStyle w:val="95"/>
              <w:jc w:val="center"/>
              <w:rPr>
                <w:rFonts w:hint="eastAsia" w:ascii="宋体" w:hAnsi="宋体" w:eastAsia="宋体" w:cs="宋体"/>
                <w:kern w:val="0"/>
                <w:sz w:val="24"/>
                <w:szCs w:val="24"/>
                <w:lang w:val="en-US" w:eastAsia="zh-CN" w:bidi="ar-SA"/>
              </w:rPr>
            </w:pPr>
            <w:r>
              <w:rPr>
                <w:rFonts w:hint="eastAsia"/>
                <w:kern w:val="0"/>
                <w:lang w:val="en-US" w:eastAsia="zh-CN"/>
              </w:rPr>
              <w:t>494310.20</w:t>
            </w:r>
          </w:p>
        </w:tc>
        <w:tc>
          <w:tcPr>
            <w:tcW w:w="1531" w:type="pct"/>
            <w:tcBorders>
              <w:tl2br w:val="nil"/>
              <w:tr2bl w:val="nil"/>
            </w:tcBorders>
            <w:shd w:val="clear" w:color="auto" w:fill="auto"/>
            <w:vAlign w:val="center"/>
          </w:tcPr>
          <w:p w14:paraId="2D709934">
            <w:pPr>
              <w:pStyle w:val="47"/>
              <w:pageBreakBefore w:val="0"/>
              <w:kinsoku/>
              <w:wordWrap/>
              <w:overflowPunct/>
              <w:topLinePunct w:val="0"/>
              <w:autoSpaceDE/>
              <w:autoSpaceDN/>
              <w:bidi w:val="0"/>
              <w:ind w:left="0" w:leftChars="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张家界市图书馆社科书库提质改造采购项目</w:t>
            </w:r>
          </w:p>
        </w:tc>
        <w:tc>
          <w:tcPr>
            <w:tcW w:w="694" w:type="pct"/>
            <w:tcBorders>
              <w:tl2br w:val="nil"/>
              <w:tr2bl w:val="nil"/>
            </w:tcBorders>
            <w:vAlign w:val="center"/>
          </w:tcPr>
          <w:p w14:paraId="0EEA70FF">
            <w:pPr>
              <w:pStyle w:val="4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sz w:val="24"/>
                <w:szCs w:val="24"/>
              </w:rPr>
            </w:pPr>
            <w:r>
              <w:rPr>
                <w:rFonts w:hint="eastAsia" w:ascii="宋体" w:hAnsi="宋体" w:eastAsia="宋体" w:cs="宋体"/>
                <w:b w:val="0"/>
                <w:bCs/>
                <w:sz w:val="24"/>
                <w:szCs w:val="24"/>
              </w:rPr>
              <w:t>详见采购需求</w:t>
            </w:r>
          </w:p>
        </w:tc>
        <w:tc>
          <w:tcPr>
            <w:tcW w:w="268" w:type="pct"/>
            <w:tcBorders>
              <w:tl2br w:val="nil"/>
              <w:tr2bl w:val="nil"/>
            </w:tcBorders>
            <w:vAlign w:val="center"/>
          </w:tcPr>
          <w:p w14:paraId="1938190D">
            <w:pPr>
              <w:pStyle w:val="4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1</w:t>
            </w:r>
          </w:p>
        </w:tc>
        <w:tc>
          <w:tcPr>
            <w:tcW w:w="760" w:type="pct"/>
            <w:tcBorders>
              <w:tl2br w:val="nil"/>
              <w:tr2bl w:val="nil"/>
            </w:tcBorders>
            <w:vAlign w:val="center"/>
          </w:tcPr>
          <w:p w14:paraId="15F738B9">
            <w:pPr>
              <w:pStyle w:val="95"/>
              <w:jc w:val="center"/>
              <w:rPr>
                <w:rFonts w:hint="eastAsia" w:ascii="宋体" w:hAnsi="宋体" w:eastAsia="宋体" w:cs="宋体"/>
                <w:b w:val="0"/>
                <w:bCs/>
                <w:sz w:val="24"/>
                <w:szCs w:val="24"/>
              </w:rPr>
            </w:pPr>
            <w:r>
              <w:rPr>
                <w:rFonts w:hint="eastAsia"/>
                <w:kern w:val="0"/>
                <w:lang w:val="en-US" w:eastAsia="zh-CN"/>
              </w:rPr>
              <w:t>494310.20</w:t>
            </w:r>
          </w:p>
        </w:tc>
        <w:tc>
          <w:tcPr>
            <w:tcW w:w="311" w:type="pct"/>
            <w:tcBorders>
              <w:tl2br w:val="nil"/>
              <w:tr2bl w:val="nil"/>
            </w:tcBorders>
            <w:vAlign w:val="center"/>
          </w:tcPr>
          <w:p w14:paraId="625E42B4">
            <w:pPr>
              <w:pStyle w:val="4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sz w:val="24"/>
                <w:szCs w:val="24"/>
              </w:rPr>
            </w:pPr>
            <w:r>
              <w:rPr>
                <w:rFonts w:hint="eastAsia" w:ascii="宋体" w:hAnsi="宋体" w:eastAsia="宋体" w:cs="宋体"/>
                <w:b w:val="0"/>
                <w:bCs/>
                <w:sz w:val="24"/>
                <w:szCs w:val="24"/>
              </w:rPr>
              <w:sym w:font="Wingdings" w:char="00A8"/>
            </w:r>
          </w:p>
        </w:tc>
        <w:tc>
          <w:tcPr>
            <w:tcW w:w="333" w:type="pct"/>
            <w:tcBorders>
              <w:tl2br w:val="nil"/>
              <w:tr2bl w:val="nil"/>
            </w:tcBorders>
            <w:vAlign w:val="center"/>
          </w:tcPr>
          <w:p w14:paraId="5A84C72C">
            <w:pPr>
              <w:pStyle w:val="47"/>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sz w:val="24"/>
                <w:szCs w:val="24"/>
              </w:rPr>
            </w:pPr>
            <w:r>
              <w:rPr>
                <w:rFonts w:hint="eastAsia" w:ascii="宋体" w:hAnsi="宋体" w:eastAsia="宋体" w:cs="宋体"/>
                <w:b w:val="0"/>
                <w:bCs/>
                <w:sz w:val="24"/>
                <w:szCs w:val="24"/>
              </w:rPr>
              <w:sym w:font="Wingdings" w:char="00A8"/>
            </w:r>
          </w:p>
        </w:tc>
      </w:tr>
    </w:tbl>
    <w:p w14:paraId="6AC98C1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firstLine="480"/>
        <w:textAlignment w:val="auto"/>
        <w:rPr>
          <w:rFonts w:hint="eastAsia" w:ascii="宋体" w:hAnsi="宋体" w:eastAsia="宋体" w:cs="宋体"/>
        </w:rPr>
      </w:pPr>
      <w:r>
        <w:rPr>
          <w:rFonts w:hint="eastAsia" w:ascii="宋体" w:hAnsi="宋体" w:eastAsia="宋体" w:cs="宋体"/>
        </w:rPr>
        <w:t>说明：</w:t>
      </w:r>
    </w:p>
    <w:p w14:paraId="28B370FC">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rPr>
      </w:pPr>
      <w:r>
        <w:rPr>
          <w:rFonts w:hint="eastAsia" w:ascii="宋体" w:hAnsi="宋体" w:eastAsia="宋体" w:cs="宋体"/>
          <w:kern w:val="2"/>
          <w:sz w:val="24"/>
          <w:szCs w:val="22"/>
          <w:lang w:val="en-US" w:eastAsia="zh-CN" w:bidi="ar-SA"/>
        </w:rPr>
        <w:t>1．</w:t>
      </w:r>
      <w:r>
        <w:rPr>
          <w:rFonts w:hint="eastAsia" w:ascii="宋体" w:hAnsi="宋体" w:eastAsia="宋体" w:cs="宋体"/>
        </w:rPr>
        <w:t>节能产品实行强制采购的，需提供国家认证机构出具的、处于有效期内的节能产品证书。</w:t>
      </w:r>
    </w:p>
    <w:p w14:paraId="7B38F684">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rPr>
      </w:pPr>
      <w:r>
        <w:rPr>
          <w:rFonts w:hint="eastAsia" w:ascii="宋体" w:hAnsi="宋体" w:eastAsia="宋体" w:cs="宋体"/>
          <w:kern w:val="2"/>
          <w:sz w:val="24"/>
          <w:szCs w:val="22"/>
          <w:lang w:val="en-US" w:eastAsia="zh-CN" w:bidi="ar-SA"/>
        </w:rPr>
        <w:t>2．</w:t>
      </w:r>
      <w:r>
        <w:rPr>
          <w:rFonts w:hint="eastAsia" w:ascii="宋体" w:hAnsi="宋体" w:eastAsia="宋体" w:cs="宋体"/>
        </w:rPr>
        <w:t>同意购买进口产品的，不限制满足采购需求的国内产品参与竞争性谈判。</w:t>
      </w:r>
    </w:p>
    <w:p w14:paraId="57496F4A">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kern w:val="2"/>
          <w:sz w:val="28"/>
          <w:szCs w:val="22"/>
          <w:lang w:val="en-US" w:eastAsia="zh-CN" w:bidi="ar-SA"/>
        </w:rPr>
      </w:pPr>
      <w:bookmarkStart w:id="11" w:name="_Toc15375"/>
      <w:bookmarkStart w:id="12" w:name="_Toc26953"/>
      <w:bookmarkStart w:id="13" w:name="_Toc31494"/>
      <w:r>
        <w:rPr>
          <w:rFonts w:hint="eastAsia" w:ascii="宋体" w:hAnsi="宋体" w:eastAsia="宋体" w:cs="宋体"/>
          <w:b/>
          <w:bCs/>
          <w:kern w:val="2"/>
          <w:sz w:val="28"/>
          <w:szCs w:val="22"/>
          <w:lang w:val="en-US" w:eastAsia="zh-CN" w:bidi="ar-SA"/>
        </w:rPr>
        <w:t>三、中标供应商的确定</w:t>
      </w:r>
      <w:bookmarkEnd w:id="11"/>
    </w:p>
    <w:p w14:paraId="32CBC431">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lang w:val="en-US" w:eastAsia="zh-CN"/>
        </w:rPr>
      </w:pPr>
      <w:bookmarkStart w:id="14" w:name="_Toc5208"/>
      <w:bookmarkStart w:id="15" w:name="_Toc25701"/>
      <w:r>
        <w:rPr>
          <w:rFonts w:hint="eastAsia" w:ascii="宋体" w:hAnsi="宋体" w:eastAsia="宋体" w:cs="宋体"/>
          <w:lang w:val="en-US" w:eastAsia="zh-CN"/>
        </w:rPr>
        <w:t>1.本项目报价采用（减价）多轮报价方式。</w:t>
      </w:r>
      <w:bookmarkEnd w:id="14"/>
    </w:p>
    <w:p w14:paraId="3D0C9343">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lang w:val="en-US" w:eastAsia="zh-CN"/>
        </w:rPr>
      </w:pPr>
      <w:bookmarkStart w:id="16" w:name="_Toc16625"/>
      <w:r>
        <w:rPr>
          <w:rFonts w:hint="eastAsia" w:ascii="宋体" w:hAnsi="宋体" w:eastAsia="宋体" w:cs="宋体"/>
          <w:lang w:val="en-US" w:eastAsia="zh-CN"/>
        </w:rPr>
        <w:t>2.本项目设置保留价（底价），根据报价情况，将不高于保留价的报价人按照报价由低到高的顺序推荐3名中标候选人，不足3个中标候选人的，按实际个数推荐。</w:t>
      </w:r>
      <w:bookmarkEnd w:id="16"/>
      <w:bookmarkStart w:id="17" w:name="_Toc2157"/>
    </w:p>
    <w:p w14:paraId="27A5496D">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1）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w:t>
      </w:r>
      <w:bookmarkEnd w:id="17"/>
    </w:p>
    <w:p w14:paraId="69B6CE0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lang w:val="en-US" w:eastAsia="zh-CN"/>
        </w:rPr>
      </w:pPr>
      <w:bookmarkStart w:id="18" w:name="_Toc7119"/>
      <w:r>
        <w:rPr>
          <w:rFonts w:hint="eastAsia" w:ascii="宋体" w:hAnsi="宋体" w:eastAsia="宋体" w:cs="宋体"/>
          <w:lang w:val="en-US" w:eastAsia="zh-CN"/>
        </w:rPr>
        <w:t>（2）若第二中标候选人不接受此成交条件，第三中标候选人同意按照高于第一中标候选人一个减价幅度的报价的，则第三中标候选人应当确定为中标供应商。</w:t>
      </w:r>
      <w:bookmarkEnd w:id="18"/>
    </w:p>
    <w:p w14:paraId="4FE51CA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lang w:val="en-US" w:eastAsia="zh-CN"/>
        </w:rPr>
      </w:pPr>
      <w:bookmarkStart w:id="19" w:name="_Toc28440"/>
      <w:r>
        <w:rPr>
          <w:rFonts w:hint="eastAsia" w:ascii="宋体" w:hAnsi="宋体" w:eastAsia="宋体" w:cs="宋体"/>
          <w:lang w:val="en-US" w:eastAsia="zh-CN"/>
        </w:rPr>
        <w:t>（3）若3个中标、成交候选人均不接受此成交条件，采购人应当重新组织采购活动。</w:t>
      </w:r>
      <w:bookmarkEnd w:id="15"/>
      <w:bookmarkEnd w:id="19"/>
    </w:p>
    <w:p w14:paraId="492A2FC7">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kern w:val="2"/>
          <w:sz w:val="28"/>
          <w:szCs w:val="22"/>
          <w:lang w:val="en-US" w:eastAsia="zh-CN" w:bidi="ar-SA"/>
        </w:rPr>
      </w:pPr>
      <w:bookmarkStart w:id="20" w:name="_Toc29542"/>
      <w:bookmarkStart w:id="21" w:name="_Toc14428"/>
      <w:r>
        <w:rPr>
          <w:rFonts w:hint="eastAsia" w:ascii="宋体" w:hAnsi="宋体" w:eastAsia="宋体" w:cs="宋体"/>
          <w:b/>
          <w:bCs/>
          <w:kern w:val="2"/>
          <w:sz w:val="28"/>
          <w:szCs w:val="22"/>
          <w:lang w:val="en-US" w:eastAsia="zh-CN" w:bidi="ar-SA"/>
        </w:rPr>
        <w:t>四、网上报价起始价、保证金、报价幅度要求</w:t>
      </w:r>
      <w:bookmarkEnd w:id="20"/>
      <w:bookmarkEnd w:id="21"/>
    </w:p>
    <w:tbl>
      <w:tblPr>
        <w:tblStyle w:val="33"/>
        <w:tblW w:w="4991"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2900"/>
        <w:gridCol w:w="1387"/>
        <w:gridCol w:w="1052"/>
        <w:gridCol w:w="2417"/>
        <w:gridCol w:w="709"/>
      </w:tblGrid>
      <w:tr w14:paraId="4A116F7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743" w:hRule="atLeast"/>
        </w:trPr>
        <w:tc>
          <w:tcPr>
            <w:tcW w:w="1712" w:type="pct"/>
            <w:tcBorders>
              <w:tl2br w:val="nil"/>
              <w:tr2bl w:val="nil"/>
            </w:tcBorders>
            <w:shd w:val="pct10" w:color="ADB9CA" w:fill="D6DCE5"/>
            <w:tcMar>
              <w:top w:w="0" w:type="dxa"/>
              <w:left w:w="84" w:type="dxa"/>
              <w:bottom w:w="0" w:type="dxa"/>
              <w:right w:w="84" w:type="dxa"/>
            </w:tcMar>
            <w:vAlign w:val="center"/>
          </w:tcPr>
          <w:p w14:paraId="0AC81A7C">
            <w:pPr>
              <w:pStyle w:val="47"/>
              <w:pageBreakBefore w:val="0"/>
              <w:kinsoku/>
              <w:wordWrap/>
              <w:overflowPunct/>
              <w:topLinePunct w:val="0"/>
              <w:autoSpaceDE/>
              <w:autoSpaceDN/>
              <w:bidi w:val="0"/>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项目名称</w:t>
            </w:r>
          </w:p>
        </w:tc>
        <w:tc>
          <w:tcPr>
            <w:tcW w:w="819" w:type="pct"/>
            <w:tcBorders>
              <w:tl2br w:val="nil"/>
              <w:tr2bl w:val="nil"/>
            </w:tcBorders>
            <w:shd w:val="pct10" w:color="ADB9CA" w:fill="D6DCE5"/>
            <w:tcMar>
              <w:top w:w="0" w:type="dxa"/>
              <w:left w:w="84" w:type="dxa"/>
              <w:bottom w:w="0" w:type="dxa"/>
              <w:right w:w="84" w:type="dxa"/>
            </w:tcMar>
            <w:vAlign w:val="center"/>
          </w:tcPr>
          <w:p w14:paraId="180349A3">
            <w:pPr>
              <w:pStyle w:val="47"/>
              <w:pageBreakBefore w:val="0"/>
              <w:kinsoku/>
              <w:wordWrap/>
              <w:overflowPunct/>
              <w:topLinePunct w:val="0"/>
              <w:autoSpaceDE/>
              <w:autoSpaceDN/>
              <w:bidi w:val="0"/>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起始价</w:t>
            </w:r>
          </w:p>
          <w:p w14:paraId="55958ED9">
            <w:pPr>
              <w:pStyle w:val="47"/>
              <w:pageBreakBefore w:val="0"/>
              <w:kinsoku/>
              <w:wordWrap/>
              <w:overflowPunct/>
              <w:topLinePunct w:val="0"/>
              <w:autoSpaceDE/>
              <w:autoSpaceDN/>
              <w:bidi w:val="0"/>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（元）</w:t>
            </w:r>
          </w:p>
        </w:tc>
        <w:tc>
          <w:tcPr>
            <w:tcW w:w="621" w:type="pct"/>
            <w:tcBorders>
              <w:tl2br w:val="nil"/>
              <w:tr2bl w:val="nil"/>
            </w:tcBorders>
            <w:shd w:val="pct10" w:color="ADB9CA" w:fill="D6DCE5"/>
            <w:tcMar>
              <w:top w:w="0" w:type="dxa"/>
              <w:left w:w="84" w:type="dxa"/>
              <w:bottom w:w="0" w:type="dxa"/>
              <w:right w:w="84" w:type="dxa"/>
            </w:tcMar>
            <w:vAlign w:val="center"/>
          </w:tcPr>
          <w:p w14:paraId="59C32B55">
            <w:pPr>
              <w:pStyle w:val="47"/>
              <w:pageBreakBefore w:val="0"/>
              <w:kinsoku/>
              <w:wordWrap/>
              <w:overflowPunct/>
              <w:topLinePunct w:val="0"/>
              <w:autoSpaceDE/>
              <w:autoSpaceDN/>
              <w:bidi w:val="0"/>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保证金（元）</w:t>
            </w:r>
          </w:p>
        </w:tc>
        <w:tc>
          <w:tcPr>
            <w:tcW w:w="1427" w:type="pct"/>
            <w:tcBorders>
              <w:tl2br w:val="nil"/>
              <w:tr2bl w:val="nil"/>
            </w:tcBorders>
            <w:shd w:val="pct10" w:color="ADB9CA" w:fill="D6DCE5"/>
            <w:tcMar>
              <w:top w:w="0" w:type="dxa"/>
              <w:left w:w="84" w:type="dxa"/>
              <w:bottom w:w="0" w:type="dxa"/>
              <w:right w:w="84" w:type="dxa"/>
            </w:tcMar>
            <w:vAlign w:val="center"/>
          </w:tcPr>
          <w:p w14:paraId="49C8FEFE">
            <w:pPr>
              <w:pStyle w:val="47"/>
              <w:pageBreakBefore w:val="0"/>
              <w:kinsoku/>
              <w:wordWrap/>
              <w:overflowPunct/>
              <w:topLinePunct w:val="0"/>
              <w:autoSpaceDE/>
              <w:autoSpaceDN/>
              <w:bidi w:val="0"/>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（减价）幅度（元）</w:t>
            </w:r>
          </w:p>
        </w:tc>
        <w:tc>
          <w:tcPr>
            <w:tcW w:w="418" w:type="pct"/>
            <w:tcBorders>
              <w:tl2br w:val="nil"/>
              <w:tr2bl w:val="nil"/>
            </w:tcBorders>
            <w:shd w:val="pct10" w:color="ADB9CA" w:fill="D6DCE5"/>
            <w:tcMar>
              <w:top w:w="0" w:type="dxa"/>
              <w:left w:w="84" w:type="dxa"/>
              <w:bottom w:w="0" w:type="dxa"/>
              <w:right w:w="84" w:type="dxa"/>
            </w:tcMar>
            <w:vAlign w:val="center"/>
          </w:tcPr>
          <w:p w14:paraId="52D016EB">
            <w:pPr>
              <w:pStyle w:val="47"/>
              <w:pageBreakBefore w:val="0"/>
              <w:kinsoku/>
              <w:wordWrap/>
              <w:overflowPunct/>
              <w:topLinePunct w:val="0"/>
              <w:autoSpaceDE/>
              <w:autoSpaceDN/>
              <w:bidi w:val="0"/>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6ACDD92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57" w:hRule="atLeast"/>
        </w:trPr>
        <w:tc>
          <w:tcPr>
            <w:tcW w:w="1712" w:type="pct"/>
            <w:tcBorders>
              <w:tl2br w:val="nil"/>
              <w:tr2bl w:val="nil"/>
            </w:tcBorders>
            <w:tcMar>
              <w:top w:w="0" w:type="dxa"/>
              <w:left w:w="84" w:type="dxa"/>
              <w:bottom w:w="0" w:type="dxa"/>
              <w:right w:w="84" w:type="dxa"/>
            </w:tcMar>
            <w:vAlign w:val="center"/>
          </w:tcPr>
          <w:p w14:paraId="0FC28C02">
            <w:pPr>
              <w:pStyle w:val="47"/>
              <w:pageBreakBefore w:val="0"/>
              <w:kinsoku/>
              <w:wordWrap/>
              <w:overflowPunct/>
              <w:topLinePunct w:val="0"/>
              <w:autoSpaceDE/>
              <w:autoSpaceDN/>
              <w:bidi w:val="0"/>
              <w:ind w:left="0" w:left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张家界市图书馆社科书库提质改造采购项目</w:t>
            </w:r>
          </w:p>
        </w:tc>
        <w:tc>
          <w:tcPr>
            <w:tcW w:w="819" w:type="pct"/>
            <w:tcBorders>
              <w:tl2br w:val="nil"/>
              <w:tr2bl w:val="nil"/>
            </w:tcBorders>
            <w:shd w:val="clear" w:color="auto" w:fill="auto"/>
            <w:tcMar>
              <w:top w:w="0" w:type="dxa"/>
              <w:left w:w="84" w:type="dxa"/>
              <w:bottom w:w="0" w:type="dxa"/>
              <w:right w:w="84" w:type="dxa"/>
            </w:tcMar>
            <w:vAlign w:val="center"/>
          </w:tcPr>
          <w:p w14:paraId="184EB803">
            <w:pPr>
              <w:pStyle w:val="95"/>
              <w:jc w:val="center"/>
              <w:rPr>
                <w:rFonts w:hint="eastAsia" w:ascii="宋体" w:hAnsi="宋体" w:eastAsia="宋体" w:cs="宋体"/>
                <w:kern w:val="0"/>
                <w:sz w:val="24"/>
                <w:szCs w:val="24"/>
                <w:lang w:val="en-US" w:eastAsia="zh-CN" w:bidi="ar-SA"/>
              </w:rPr>
            </w:pPr>
            <w:r>
              <w:rPr>
                <w:rFonts w:hint="eastAsia"/>
                <w:kern w:val="0"/>
                <w:lang w:val="en-US" w:eastAsia="zh-CN"/>
              </w:rPr>
              <w:t>494310.20</w:t>
            </w:r>
          </w:p>
        </w:tc>
        <w:tc>
          <w:tcPr>
            <w:tcW w:w="621" w:type="pct"/>
            <w:tcBorders>
              <w:tl2br w:val="nil"/>
              <w:tr2bl w:val="nil"/>
            </w:tcBorders>
            <w:tcMar>
              <w:top w:w="0" w:type="dxa"/>
              <w:left w:w="84" w:type="dxa"/>
              <w:bottom w:w="0" w:type="dxa"/>
              <w:right w:w="84" w:type="dxa"/>
            </w:tcMar>
            <w:vAlign w:val="center"/>
          </w:tcPr>
          <w:p w14:paraId="4BC8F68F">
            <w:pPr>
              <w:pStyle w:val="47"/>
              <w:pageBreakBefore w:val="0"/>
              <w:kinsoku/>
              <w:wordWrap/>
              <w:overflowPunct/>
              <w:topLinePunct w:val="0"/>
              <w:autoSpaceDE/>
              <w:autoSpaceDN/>
              <w:bidi w:val="0"/>
              <w:ind w:left="0" w:leftChars="0"/>
              <w:jc w:val="center"/>
              <w:rPr>
                <w:rFonts w:hint="default"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none"/>
                <w:lang w:val="en-US" w:eastAsia="zh-CN"/>
              </w:rPr>
              <w:t>1.00</w:t>
            </w:r>
          </w:p>
        </w:tc>
        <w:tc>
          <w:tcPr>
            <w:tcW w:w="1427" w:type="pct"/>
            <w:tcBorders>
              <w:tl2br w:val="nil"/>
              <w:tr2bl w:val="nil"/>
            </w:tcBorders>
            <w:tcMar>
              <w:top w:w="0" w:type="dxa"/>
              <w:left w:w="84" w:type="dxa"/>
              <w:bottom w:w="0" w:type="dxa"/>
              <w:right w:w="84" w:type="dxa"/>
            </w:tcMar>
            <w:vAlign w:val="center"/>
          </w:tcPr>
          <w:p w14:paraId="5291AD41">
            <w:pPr>
              <w:pStyle w:val="47"/>
              <w:pageBreakBefore w:val="0"/>
              <w:kinsoku/>
              <w:wordWrap/>
              <w:overflowPunct/>
              <w:topLinePunct w:val="0"/>
              <w:autoSpaceDE/>
              <w:autoSpaceDN/>
              <w:bidi w:val="0"/>
              <w:ind w:left="0" w:leftChars="0"/>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5000.00及其整数倍</w:t>
            </w:r>
          </w:p>
        </w:tc>
        <w:tc>
          <w:tcPr>
            <w:tcW w:w="418" w:type="pct"/>
            <w:tcBorders>
              <w:tl2br w:val="nil"/>
              <w:tr2bl w:val="nil"/>
            </w:tcBorders>
            <w:tcMar>
              <w:top w:w="0" w:type="dxa"/>
              <w:left w:w="84" w:type="dxa"/>
              <w:bottom w:w="0" w:type="dxa"/>
              <w:right w:w="84" w:type="dxa"/>
            </w:tcMar>
            <w:vAlign w:val="center"/>
          </w:tcPr>
          <w:p w14:paraId="0A048BDE">
            <w:pPr>
              <w:pStyle w:val="47"/>
              <w:pageBreakBefore w:val="0"/>
              <w:kinsoku/>
              <w:wordWrap/>
              <w:overflowPunct/>
              <w:topLinePunct w:val="0"/>
              <w:autoSpaceDE/>
              <w:autoSpaceDN/>
              <w:bidi w:val="0"/>
              <w:ind w:left="0" w:leftChars="0"/>
              <w:rPr>
                <w:rFonts w:hint="eastAsia" w:ascii="宋体" w:hAnsi="宋体" w:eastAsia="宋体" w:cs="宋体"/>
                <w:b w:val="0"/>
                <w:bCs/>
                <w:color w:val="auto"/>
                <w:sz w:val="24"/>
                <w:szCs w:val="24"/>
                <w:highlight w:val="none"/>
              </w:rPr>
            </w:pPr>
          </w:p>
        </w:tc>
      </w:tr>
    </w:tbl>
    <w:p w14:paraId="64EEE4C8">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kern w:val="2"/>
          <w:sz w:val="28"/>
          <w:szCs w:val="22"/>
          <w:lang w:val="en-US" w:eastAsia="zh-CN" w:bidi="ar-SA"/>
        </w:rPr>
      </w:pPr>
      <w:bookmarkStart w:id="22" w:name="_Toc4909"/>
      <w:r>
        <w:rPr>
          <w:rFonts w:hint="eastAsia" w:ascii="宋体" w:hAnsi="宋体" w:eastAsia="宋体" w:cs="宋体"/>
          <w:b/>
          <w:bCs/>
          <w:kern w:val="2"/>
          <w:sz w:val="28"/>
          <w:szCs w:val="22"/>
          <w:lang w:val="en-US" w:eastAsia="zh-CN" w:bidi="ar-SA"/>
        </w:rPr>
        <w:t>五、供应商的资格要求</w:t>
      </w:r>
      <w:bookmarkEnd w:id="12"/>
      <w:bookmarkEnd w:id="13"/>
      <w:bookmarkEnd w:id="22"/>
    </w:p>
    <w:p w14:paraId="552F0B5A">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24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满足《政府采购法》第二十二条第一款的规定。</w:t>
      </w:r>
    </w:p>
    <w:p w14:paraId="6F5EEEFF">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说明：依据湖南省财政厅关于政府采购促进中小企业发展有关措施的通知（湘财购〔2022〕17号），符合法定条件的供应商凭《湖南省政府采购供应商资格承诺函》（格式见附件）参与政府采购活动，无需提供财务状况、缴纳税收和社会保障资金等资格证明材料。</w:t>
      </w:r>
    </w:p>
    <w:p w14:paraId="0CDB5BB1">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b w:val="0"/>
          <w:bCs w:val="0"/>
          <w:kern w:val="2"/>
          <w:sz w:val="24"/>
          <w:szCs w:val="24"/>
          <w:lang w:val="en-US" w:eastAsia="zh-CN" w:bidi="ar-SA"/>
        </w:rPr>
        <w:t>2．</w:t>
      </w:r>
      <w:r>
        <w:rPr>
          <w:rFonts w:hint="eastAsia" w:ascii="宋体" w:hAnsi="宋体" w:eastAsia="宋体" w:cs="宋体"/>
          <w:b w:val="0"/>
          <w:bCs w:val="0"/>
          <w:sz w:val="24"/>
          <w:szCs w:val="24"/>
        </w:rPr>
        <w:t>落实政府采购政策需满足的资格要求</w:t>
      </w:r>
      <w:r>
        <w:rPr>
          <w:rFonts w:hint="eastAsia" w:ascii="宋体" w:hAnsi="宋体" w:eastAsia="宋体" w:cs="宋体"/>
          <w:sz w:val="24"/>
          <w:szCs w:val="24"/>
        </w:rPr>
        <w:t>：</w:t>
      </w:r>
    </w:p>
    <w:p w14:paraId="396F954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color w:val="auto"/>
          <w:sz w:val="24"/>
          <w:szCs w:val="24"/>
        </w:rPr>
        <w:sym w:font="Wingdings" w:char="00FE"/>
      </w:r>
      <w:r>
        <w:rPr>
          <w:rFonts w:hint="eastAsia" w:ascii="宋体" w:hAnsi="宋体" w:eastAsia="宋体" w:cs="宋体"/>
          <w:b/>
          <w:bCs/>
          <w:sz w:val="24"/>
          <w:szCs w:val="24"/>
        </w:rPr>
        <w:t>专门面向</w:t>
      </w:r>
      <w:r>
        <w:rPr>
          <w:rFonts w:hint="eastAsia" w:ascii="宋体" w:hAnsi="宋体" w:eastAsia="宋体" w:cs="宋体"/>
          <w:sz w:val="24"/>
          <w:szCs w:val="24"/>
        </w:rPr>
        <w:t>：</w:t>
      </w:r>
      <w:r>
        <w:rPr>
          <w:rFonts w:hint="eastAsia" w:ascii="宋体" w:hAnsi="宋体" w:eastAsia="宋体" w:cs="宋体"/>
          <w:color w:val="auto"/>
          <w:sz w:val="24"/>
          <w:szCs w:val="24"/>
        </w:rPr>
        <w:sym w:font="Wingdings" w:char="00FE"/>
      </w:r>
      <w:r>
        <w:rPr>
          <w:rFonts w:hint="eastAsia" w:ascii="宋体" w:hAnsi="宋体" w:eastAsia="宋体" w:cs="宋体"/>
          <w:b/>
          <w:bCs/>
          <w:sz w:val="24"/>
          <w:szCs w:val="24"/>
        </w:rPr>
        <w:t xml:space="preserve"> 中小企业</w:t>
      </w:r>
      <w:r>
        <w:rPr>
          <w:rFonts w:hint="eastAsia" w:ascii="宋体" w:hAnsi="宋体" w:eastAsia="宋体" w:cs="宋体"/>
          <w:sz w:val="24"/>
          <w:szCs w:val="24"/>
        </w:rPr>
        <w:t xml:space="preserve"> </w:t>
      </w:r>
      <w:r>
        <w:rPr>
          <w:rFonts w:hint="eastAsia" w:ascii="宋体" w:hAnsi="宋体" w:eastAsia="宋体" w:cs="宋体"/>
          <w:color w:val="auto"/>
          <w:sz w:val="24"/>
          <w:szCs w:val="24"/>
        </w:rPr>
        <w:sym w:font="Wingdings" w:char="00A8"/>
      </w:r>
      <w:r>
        <w:rPr>
          <w:rFonts w:hint="eastAsia" w:ascii="宋体" w:hAnsi="宋体" w:eastAsia="宋体" w:cs="宋体"/>
          <w:sz w:val="24"/>
          <w:szCs w:val="24"/>
        </w:rPr>
        <w:t xml:space="preserve">小微企业 </w:t>
      </w:r>
      <w:r>
        <w:rPr>
          <w:rFonts w:hint="eastAsia" w:ascii="宋体" w:hAnsi="宋体" w:eastAsia="宋体" w:cs="宋体"/>
          <w:color w:val="auto"/>
          <w:sz w:val="24"/>
          <w:szCs w:val="24"/>
        </w:rPr>
        <w:sym w:font="Wingdings" w:char="00A8"/>
      </w:r>
      <w:r>
        <w:rPr>
          <w:rFonts w:hint="eastAsia" w:ascii="宋体" w:hAnsi="宋体" w:eastAsia="宋体" w:cs="宋体"/>
          <w:sz w:val="24"/>
          <w:szCs w:val="24"/>
        </w:rPr>
        <w:t xml:space="preserve">监狱企业 </w:t>
      </w:r>
      <w:r>
        <w:rPr>
          <w:rFonts w:hint="eastAsia" w:ascii="宋体" w:hAnsi="宋体" w:eastAsia="宋体" w:cs="宋体"/>
          <w:color w:val="auto"/>
          <w:sz w:val="24"/>
          <w:szCs w:val="24"/>
        </w:rPr>
        <w:sym w:font="Wingdings" w:char="00A8"/>
      </w:r>
      <w:r>
        <w:rPr>
          <w:rFonts w:hint="eastAsia" w:ascii="宋体" w:hAnsi="宋体" w:eastAsia="宋体" w:cs="宋体"/>
          <w:sz w:val="24"/>
          <w:szCs w:val="24"/>
        </w:rPr>
        <w:t>福利性单位</w:t>
      </w:r>
    </w:p>
    <w:p w14:paraId="3448319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强制分包：大型企业应将采购份额的</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%分包给中小企业。</w:t>
      </w:r>
    </w:p>
    <w:p w14:paraId="7761307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b/>
          <w:bCs/>
          <w:sz w:val="24"/>
          <w:szCs w:val="24"/>
          <w:lang w:val="en-US" w:eastAsia="zh-CN"/>
        </w:rPr>
        <w:t>供应商特定资格条件</w:t>
      </w:r>
      <w:r>
        <w:rPr>
          <w:rFonts w:hint="eastAsia" w:ascii="宋体" w:hAnsi="宋体" w:eastAsia="宋体" w:cs="宋体"/>
          <w:sz w:val="24"/>
          <w:szCs w:val="24"/>
          <w:lang w:val="en-US" w:eastAsia="zh-CN"/>
        </w:rPr>
        <w:t>：</w:t>
      </w:r>
      <w:r>
        <w:rPr>
          <w:rFonts w:hint="eastAsia" w:ascii="宋体" w:hAnsi="宋体" w:cs="宋体"/>
          <w:color w:val="000000" w:themeColor="text1"/>
          <w:sz w:val="24"/>
          <w:szCs w:val="24"/>
          <w:highlight w:val="none"/>
          <w:lang w:val="en-US" w:eastAsia="zh-CN"/>
          <w14:textFill>
            <w14:solidFill>
              <w14:schemeClr w14:val="tx1"/>
            </w14:solidFill>
          </w14:textFill>
        </w:rPr>
        <w:t>提供《中小企业声明函》。</w:t>
      </w:r>
    </w:p>
    <w:p w14:paraId="1C48AAF0">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单位负责人为同一人或者存在直接控股、管理关系的不同供应商，不得参加同一合同项下的政府采购活动。</w:t>
      </w:r>
    </w:p>
    <w:p w14:paraId="54BBC9D9">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cs="宋体"/>
          <w:kern w:val="2"/>
          <w:sz w:val="24"/>
          <w:szCs w:val="24"/>
          <w:lang w:val="en-US" w:eastAsia="zh-CN" w:bidi="ar-SA"/>
        </w:rPr>
        <w:t>5</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为本采购项目提供整体设计、规范编制或者项目管理、监理、检测等服务的，不得再参加此项目的其他采购活动。</w:t>
      </w:r>
    </w:p>
    <w:p w14:paraId="720E27C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列入失信被执行人、重大税收违法失信主体名单、政府采购严重违法失信行为记录名单的，拒绝其参与政府采购活动。</w:t>
      </w:r>
    </w:p>
    <w:p w14:paraId="6C04AE13">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exact"/>
        <w:ind w:left="0" w:leftChars="0" w:firstLine="480" w:firstLineChars="200"/>
        <w:textAlignment w:val="auto"/>
        <w:rPr>
          <w:rFonts w:hint="eastAsia" w:ascii="宋体" w:hAnsi="宋体" w:eastAsia="宋体" w:cs="宋体"/>
          <w:sz w:val="24"/>
          <w:szCs w:val="24"/>
        </w:rPr>
      </w:pPr>
      <w:r>
        <w:rPr>
          <w:rFonts w:hint="eastAsia" w:ascii="宋体" w:hAnsi="宋体" w:cs="宋体"/>
          <w:kern w:val="2"/>
          <w:sz w:val="24"/>
          <w:szCs w:val="24"/>
          <w:lang w:val="en-US" w:eastAsia="zh-CN" w:bidi="ar-SA"/>
        </w:rPr>
        <w:t>7</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rPr>
        <w:t>联合体响应。本次响应</w:t>
      </w:r>
      <w:r>
        <w:rPr>
          <w:rFonts w:hint="eastAsia" w:ascii="宋体" w:hAnsi="宋体" w:eastAsia="宋体" w:cs="宋体"/>
          <w:sz w:val="24"/>
          <w:szCs w:val="24"/>
          <w:u w:val="single"/>
        </w:rPr>
        <w:t>不接受</w:t>
      </w:r>
      <w:r>
        <w:rPr>
          <w:rFonts w:hint="eastAsia" w:ascii="宋体" w:hAnsi="宋体" w:eastAsia="宋体" w:cs="宋体"/>
          <w:sz w:val="24"/>
          <w:szCs w:val="24"/>
        </w:rPr>
        <w:t>联合体响应。</w:t>
      </w:r>
    </w:p>
    <w:p w14:paraId="64366B78">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kern w:val="2"/>
          <w:sz w:val="28"/>
          <w:szCs w:val="22"/>
          <w:lang w:val="en-US" w:eastAsia="zh-CN" w:bidi="ar-SA"/>
        </w:rPr>
      </w:pPr>
      <w:bookmarkStart w:id="23" w:name="_Toc38"/>
      <w:bookmarkStart w:id="24" w:name="_Toc30818"/>
      <w:r>
        <w:rPr>
          <w:rFonts w:hint="eastAsia" w:ascii="宋体" w:hAnsi="宋体" w:eastAsia="宋体" w:cs="宋体"/>
          <w:b/>
          <w:bCs/>
          <w:kern w:val="2"/>
          <w:sz w:val="28"/>
          <w:szCs w:val="22"/>
          <w:lang w:val="en-US" w:eastAsia="zh-CN" w:bidi="ar-SA"/>
        </w:rPr>
        <w:t>六、获取谈判文件的时间、地点及方式</w:t>
      </w:r>
      <w:bookmarkEnd w:id="23"/>
      <w:bookmarkEnd w:id="24"/>
    </w:p>
    <w:p w14:paraId="2174CBFE">
      <w:pPr>
        <w:pStyle w:val="44"/>
        <w:keepNext w:val="0"/>
        <w:keepLines w:val="0"/>
        <w:pageBreakBefore w:val="0"/>
        <w:widowControl w:val="0"/>
        <w:kinsoku/>
        <w:wordWrap w:val="0"/>
        <w:overflowPunct/>
        <w:topLinePunct w:val="0"/>
        <w:autoSpaceDE/>
        <w:autoSpaceDN/>
        <w:bidi w:val="0"/>
        <w:adjustRightInd w:val="0"/>
        <w:snapToGrid w:val="0"/>
        <w:spacing w:before="0" w:beforeLines="0" w:line="360" w:lineRule="exact"/>
        <w:ind w:firstLine="480"/>
        <w:textAlignment w:val="auto"/>
        <w:rPr>
          <w:rFonts w:hint="eastAsia" w:ascii="宋体" w:hAnsi="宋体" w:eastAsia="宋体" w:cs="宋体"/>
          <w:color w:val="000000" w:themeColor="text1"/>
          <w:lang w:eastAsia="zh-CN"/>
          <w14:textFill>
            <w14:solidFill>
              <w14:schemeClr w14:val="tx1"/>
            </w14:solidFill>
          </w14:textFill>
        </w:rPr>
      </w:pPr>
      <w:bookmarkStart w:id="25" w:name="_Toc22201059"/>
      <w:bookmarkStart w:id="26" w:name="_Toc40166569"/>
      <w:r>
        <w:rPr>
          <w:rFonts w:hint="eastAsia" w:ascii="宋体" w:hAnsi="宋体" w:eastAsia="宋体" w:cs="宋体"/>
          <w:color w:val="000000" w:themeColor="text1"/>
          <w14:textFill>
            <w14:solidFill>
              <w14:schemeClr w14:val="tx1"/>
            </w14:solidFill>
          </w14:textFill>
        </w:rPr>
        <w:t>获本采购邀请供应商，请于</w:t>
      </w:r>
      <w:r>
        <w:rPr>
          <w:rFonts w:hint="eastAsia" w:ascii="宋体" w:hAnsi="宋体" w:cs="宋体"/>
          <w:color w:val="FF0000"/>
          <w:u w:val="single"/>
          <w:lang w:eastAsia="zh-CN"/>
        </w:rPr>
        <w:t>2026年07月03日至2026年07月13日</w:t>
      </w:r>
      <w:r>
        <w:rPr>
          <w:rFonts w:hint="eastAsia" w:ascii="宋体" w:hAnsi="宋体" w:eastAsia="宋体" w:cs="宋体"/>
          <w:color w:val="000000" w:themeColor="text1"/>
          <w14:textFill>
            <w14:solidFill>
              <w14:schemeClr w14:val="tx1"/>
            </w14:solidFill>
          </w14:textFill>
        </w:rPr>
        <w:t>，每日</w:t>
      </w:r>
      <w:r>
        <w:rPr>
          <w:rFonts w:hint="eastAsia" w:ascii="宋体" w:hAnsi="宋体" w:eastAsia="宋体" w:cs="宋体"/>
          <w:color w:val="000000" w:themeColor="text1"/>
          <w:u w:val="single"/>
          <w14:textFill>
            <w14:solidFill>
              <w14:schemeClr w14:val="tx1"/>
            </w14:solidFill>
          </w14:textFill>
        </w:rPr>
        <w:t>08时00分到1</w:t>
      </w:r>
      <w:r>
        <w:rPr>
          <w:rFonts w:hint="eastAsia" w:ascii="宋体" w:hAnsi="宋体" w:eastAsia="宋体" w:cs="宋体"/>
          <w:color w:val="000000" w:themeColor="text1"/>
          <w:u w:val="single"/>
          <w:lang w:val="en-US" w:eastAsia="zh-CN"/>
          <w14:textFill>
            <w14:solidFill>
              <w14:schemeClr w14:val="tx1"/>
            </w14:solidFill>
          </w14:textFill>
        </w:rPr>
        <w:t>7</w:t>
      </w:r>
      <w:r>
        <w:rPr>
          <w:rFonts w:hint="eastAsia" w:ascii="宋体" w:hAnsi="宋体" w:eastAsia="宋体" w:cs="宋体"/>
          <w:color w:val="000000" w:themeColor="text1"/>
          <w:u w:val="single"/>
          <w14:textFill>
            <w14:solidFill>
              <w14:schemeClr w14:val="tx1"/>
            </w14:solidFill>
          </w14:textFill>
        </w:rPr>
        <w:t>时</w:t>
      </w:r>
      <w:r>
        <w:rPr>
          <w:rFonts w:hint="eastAsia" w:ascii="宋体" w:hAnsi="宋体" w:cs="宋体"/>
          <w:color w:val="000000" w:themeColor="text1"/>
          <w:u w:val="single"/>
          <w:lang w:val="en-US" w:eastAsia="zh-CN"/>
          <w14:textFill>
            <w14:solidFill>
              <w14:schemeClr w14:val="tx1"/>
            </w14:solidFill>
          </w14:textFill>
        </w:rPr>
        <w:t>30</w:t>
      </w:r>
      <w:r>
        <w:rPr>
          <w:rFonts w:hint="eastAsia" w:ascii="宋体" w:hAnsi="宋体" w:eastAsia="宋体" w:cs="宋体"/>
          <w:color w:val="000000" w:themeColor="text1"/>
          <w:u w:val="single"/>
          <w14:textFill>
            <w14:solidFill>
              <w14:schemeClr w14:val="tx1"/>
            </w14:solidFill>
          </w14:textFill>
        </w:rPr>
        <w:t>分</w:t>
      </w:r>
      <w:r>
        <w:rPr>
          <w:rFonts w:hint="eastAsia" w:ascii="宋体" w:hAnsi="宋体" w:eastAsia="宋体" w:cs="宋体"/>
          <w:color w:val="000000" w:themeColor="text1"/>
          <w14:textFill>
            <w14:solidFill>
              <w14:schemeClr w14:val="tx1"/>
            </w14:solidFill>
          </w14:textFill>
        </w:rPr>
        <w:t>（北京时间），</w:t>
      </w:r>
      <w:r>
        <w:rPr>
          <w:rFonts w:hint="eastAsia" w:ascii="宋体" w:hAnsi="宋体" w:cs="宋体"/>
          <w:color w:val="000000" w:themeColor="text1"/>
          <w:lang w:eastAsia="zh-CN"/>
          <w14:textFill>
            <w14:solidFill>
              <w14:schemeClr w14:val="tx1"/>
            </w14:solidFill>
          </w14:textFill>
        </w:rPr>
        <w:t>在张家界公共资源交易网“产权交易系统（https://www.zjjggzy.cn/portal/index）”栏进行网上下载/获取采购文件，逾期将不能获取文件。修改、澄清后的采购文件请供应商按以上方式登录网站自行下载，恕不另行通知，如有遗漏供应商自行承担全部责任。本项目采用线上招标投标方式，供应商须办理数字证书Ukey，在张家界市公共资源交易中心产权交易系统（https://www.zjjggzy.cn/portal/index）进行注册登记和CA认证。</w:t>
      </w:r>
    </w:p>
    <w:bookmarkEnd w:id="25"/>
    <w:bookmarkEnd w:id="26"/>
    <w:p w14:paraId="2155F75F">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color w:val="000000" w:themeColor="text1"/>
          <w:kern w:val="2"/>
          <w:sz w:val="28"/>
          <w:szCs w:val="22"/>
          <w:lang w:val="en-US" w:eastAsia="zh-CN" w:bidi="ar-SA"/>
          <w14:textFill>
            <w14:solidFill>
              <w14:schemeClr w14:val="tx1"/>
            </w14:solidFill>
          </w14:textFill>
        </w:rPr>
      </w:pPr>
      <w:bookmarkStart w:id="27" w:name="_Toc31063"/>
      <w:bookmarkStart w:id="28" w:name="_Toc5824"/>
      <w:r>
        <w:rPr>
          <w:rFonts w:hint="eastAsia" w:ascii="宋体" w:hAnsi="宋体" w:eastAsia="宋体" w:cs="宋体"/>
          <w:b/>
          <w:bCs/>
          <w:color w:val="000000" w:themeColor="text1"/>
          <w:kern w:val="2"/>
          <w:sz w:val="28"/>
          <w:szCs w:val="22"/>
          <w:lang w:val="en-US" w:eastAsia="zh-CN" w:bidi="ar-SA"/>
          <w14:textFill>
            <w14:solidFill>
              <w14:schemeClr w14:val="tx1"/>
            </w14:solidFill>
          </w14:textFill>
        </w:rPr>
        <w:t>七、提交首次响应文件的截止时间、谈判时间及地点</w:t>
      </w:r>
      <w:bookmarkEnd w:id="27"/>
      <w:bookmarkEnd w:id="28"/>
    </w:p>
    <w:p w14:paraId="4D045A0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firstLine="480"/>
        <w:textAlignment w:val="auto"/>
        <w:rPr>
          <w:rFonts w:hint="eastAsia" w:ascii="宋体" w:hAnsi="宋体" w:eastAsia="宋体" w:cs="宋体"/>
          <w:color w:val="000000" w:themeColor="text1"/>
          <w:highlight w:val="none"/>
          <w:lang w:eastAsia="zh-CN"/>
          <w14:textFill>
            <w14:solidFill>
              <w14:schemeClr w14:val="tx1"/>
            </w14:solidFill>
          </w14:textFill>
        </w:rPr>
      </w:pPr>
      <w:bookmarkStart w:id="29" w:name="_Toc22201060"/>
      <w:bookmarkStart w:id="30" w:name="_Toc40166570"/>
      <w:r>
        <w:rPr>
          <w:rFonts w:hint="eastAsia" w:ascii="宋体" w:hAnsi="宋体" w:eastAsia="宋体" w:cs="宋体"/>
          <w:color w:val="000000" w:themeColor="text1"/>
          <w:highlight w:val="none"/>
          <w14:textFill>
            <w14:solidFill>
              <w14:schemeClr w14:val="tx1"/>
            </w14:solidFill>
          </w14:textFill>
        </w:rPr>
        <w:t>1、提交首次响应文件的截止时间：</w:t>
      </w:r>
      <w:r>
        <w:rPr>
          <w:rFonts w:hint="eastAsia" w:ascii="宋体" w:hAnsi="宋体" w:cs="宋体"/>
          <w:color w:val="auto"/>
          <w:highlight w:val="none"/>
          <w:u w:val="single"/>
          <w:lang w:eastAsia="zh-CN"/>
        </w:rPr>
        <w:t>2026年07月14日09时00分</w:t>
      </w:r>
      <w:r>
        <w:rPr>
          <w:rFonts w:hint="eastAsia" w:ascii="宋体" w:hAnsi="宋体" w:eastAsia="宋体" w:cs="宋体"/>
          <w:color w:val="000000" w:themeColor="text1"/>
          <w:highlight w:val="none"/>
          <w14:textFill>
            <w14:solidFill>
              <w14:schemeClr w14:val="tx1"/>
            </w14:solidFill>
          </w14:textFill>
        </w:rPr>
        <w:t>（北京时间）</w:t>
      </w:r>
      <w:r>
        <w:rPr>
          <w:rFonts w:hint="eastAsia" w:ascii="宋体" w:hAnsi="宋体" w:cs="宋体"/>
          <w:color w:val="000000" w:themeColor="text1"/>
          <w:highlight w:val="none"/>
          <w:lang w:eastAsia="zh-CN"/>
          <w14:textFill>
            <w14:solidFill>
              <w14:schemeClr w14:val="tx1"/>
            </w14:solidFill>
          </w14:textFill>
        </w:rPr>
        <w:t>。</w:t>
      </w:r>
    </w:p>
    <w:p w14:paraId="21CC741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firstLine="48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2、谈判时间：</w:t>
      </w:r>
      <w:r>
        <w:rPr>
          <w:rFonts w:hint="eastAsia" w:ascii="宋体" w:hAnsi="宋体" w:cs="宋体"/>
          <w:color w:val="000000" w:themeColor="text1"/>
          <w:highlight w:val="none"/>
          <w:u w:val="single"/>
          <w:lang w:eastAsia="zh-CN"/>
          <w14:textFill>
            <w14:solidFill>
              <w14:schemeClr w14:val="tx1"/>
            </w14:solidFill>
          </w14:textFill>
        </w:rPr>
        <w:t>2026年07月14日09时00分</w:t>
      </w:r>
      <w:r>
        <w:rPr>
          <w:rFonts w:hint="eastAsia" w:ascii="宋体" w:hAnsi="宋体" w:eastAsia="宋体" w:cs="宋体"/>
          <w:color w:val="000000" w:themeColor="text1"/>
          <w:highlight w:val="none"/>
          <w14:textFill>
            <w14:solidFill>
              <w14:schemeClr w14:val="tx1"/>
            </w14:solidFill>
          </w14:textFill>
        </w:rPr>
        <w:t>（北京时间）。</w:t>
      </w:r>
    </w:p>
    <w:p w14:paraId="292EDAB6">
      <w:pPr>
        <w:pStyle w:val="44"/>
        <w:keepNext w:val="0"/>
        <w:keepLines w:val="0"/>
        <w:pageBreakBefore w:val="0"/>
        <w:widowControl w:val="0"/>
        <w:kinsoku/>
        <w:wordWrap w:val="0"/>
        <w:overflowPunct/>
        <w:topLinePunct w:val="0"/>
        <w:autoSpaceDE/>
        <w:autoSpaceDN/>
        <w:bidi w:val="0"/>
        <w:adjustRightInd w:val="0"/>
        <w:snapToGrid w:val="0"/>
        <w:spacing w:before="0" w:beforeLines="0" w:line="360" w:lineRule="exact"/>
        <w:ind w:firstLine="480"/>
        <w:textAlignment w:val="auto"/>
        <w:rPr>
          <w:rFonts w:hint="eastAsia" w:ascii="宋体" w:hAnsi="宋体" w:eastAsia="宋体" w:cs="宋体"/>
        </w:rPr>
      </w:pPr>
      <w:r>
        <w:rPr>
          <w:rFonts w:hint="eastAsia" w:ascii="宋体" w:hAnsi="宋体" w:eastAsia="宋体" w:cs="宋体"/>
        </w:rPr>
        <w:t>3、谈判地点：湖南省张家界市永定区永定办事处子午路220号（张家界市公共资源交易中心）。</w:t>
      </w:r>
      <w:r>
        <w:rPr>
          <w:rFonts w:hint="eastAsia" w:ascii="宋体" w:hAnsi="宋体" w:eastAsia="宋体" w:cs="宋体"/>
          <w:lang w:val="en-US" w:eastAsia="zh-CN"/>
        </w:rPr>
        <w:t>供应商应</w:t>
      </w:r>
      <w:r>
        <w:rPr>
          <w:rFonts w:hint="eastAsia" w:ascii="宋体" w:hAnsi="宋体" w:eastAsia="宋体" w:cs="宋体"/>
        </w:rPr>
        <w:t>线上</w:t>
      </w:r>
      <w:r>
        <w:rPr>
          <w:rFonts w:hint="eastAsia" w:ascii="宋体" w:hAnsi="宋体" w:eastAsia="宋体" w:cs="宋体"/>
          <w:lang w:val="en-US" w:eastAsia="zh-CN"/>
        </w:rPr>
        <w:t>提交响应文件，</w:t>
      </w:r>
      <w:r>
        <w:rPr>
          <w:rFonts w:hint="eastAsia" w:ascii="宋体" w:hAnsi="宋体" w:eastAsia="宋体" w:cs="宋体"/>
        </w:rPr>
        <w:t>具体操作为</w:t>
      </w:r>
      <w:r>
        <w:rPr>
          <w:rFonts w:hint="eastAsia" w:ascii="宋体" w:hAnsi="宋体" w:eastAsia="宋体" w:cs="宋体"/>
          <w:lang w:val="en-US" w:eastAsia="zh-CN"/>
        </w:rPr>
        <w:t>供应商</w:t>
      </w:r>
      <w:r>
        <w:rPr>
          <w:rFonts w:hint="eastAsia" w:ascii="宋体" w:hAnsi="宋体" w:eastAsia="宋体" w:cs="宋体"/>
        </w:rPr>
        <w:t>在“张家界市公共资源交易服务平台”的其他交易平台，登录“张家界市公共资源交易中心产权交易系统（</w:t>
      </w:r>
      <w:r>
        <w:rPr>
          <w:rFonts w:hint="eastAsia" w:ascii="宋体" w:hAnsi="宋体" w:cs="宋体"/>
          <w:lang w:eastAsia="zh-CN"/>
        </w:rPr>
        <w:t>https://www.zjjggzy.cn/portal/index</w:t>
      </w:r>
      <w:r>
        <w:rPr>
          <w:rFonts w:hint="eastAsia" w:ascii="宋体" w:hAnsi="宋体" w:eastAsia="宋体" w:cs="宋体"/>
        </w:rPr>
        <w:t>）”上传投标文件。</w:t>
      </w:r>
    </w:p>
    <w:bookmarkEnd w:id="29"/>
    <w:bookmarkEnd w:id="30"/>
    <w:p w14:paraId="0D1CDDE9">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kern w:val="2"/>
          <w:sz w:val="28"/>
          <w:szCs w:val="22"/>
          <w:lang w:val="en-US" w:eastAsia="zh-CN" w:bidi="ar-SA"/>
        </w:rPr>
      </w:pPr>
      <w:bookmarkStart w:id="31" w:name="_Toc15058"/>
      <w:bookmarkStart w:id="32" w:name="_Toc10799"/>
      <w:bookmarkStart w:id="33" w:name="_Toc22201061"/>
      <w:bookmarkStart w:id="34" w:name="_Toc40166571"/>
      <w:r>
        <w:rPr>
          <w:rFonts w:hint="eastAsia" w:ascii="宋体" w:hAnsi="宋体" w:eastAsia="宋体" w:cs="宋体"/>
          <w:b/>
          <w:bCs/>
          <w:kern w:val="2"/>
          <w:sz w:val="28"/>
          <w:szCs w:val="22"/>
          <w:lang w:val="en-US" w:eastAsia="zh-CN" w:bidi="ar-SA"/>
        </w:rPr>
        <w:t>八、询问及质疑</w:t>
      </w:r>
      <w:bookmarkEnd w:id="31"/>
      <w:bookmarkEnd w:id="32"/>
    </w:p>
    <w:p w14:paraId="066D424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firstLine="480"/>
        <w:textAlignment w:val="auto"/>
        <w:rPr>
          <w:rFonts w:hint="eastAsia" w:ascii="宋体" w:hAnsi="宋体" w:eastAsia="宋体" w:cs="宋体"/>
        </w:rPr>
      </w:pPr>
      <w:r>
        <w:rPr>
          <w:rFonts w:hint="eastAsia" w:ascii="宋体" w:hAnsi="宋体" w:cs="宋体"/>
          <w:lang w:val="en-US" w:eastAsia="zh-CN"/>
        </w:rPr>
        <w:t>1、</w:t>
      </w:r>
      <w:r>
        <w:rPr>
          <w:rFonts w:hint="eastAsia" w:ascii="宋体" w:hAnsi="宋体" w:eastAsia="宋体" w:cs="宋体"/>
        </w:rPr>
        <w:t>供应商对政府采购活动事项如有疑问的，可以向采购人、采购代理机构提出询问。采购人、采购代理机构将在3个工作日内作出答复。</w:t>
      </w:r>
    </w:p>
    <w:p w14:paraId="4DC447D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exact"/>
        <w:ind w:firstLine="480"/>
        <w:textAlignment w:val="auto"/>
        <w:rPr>
          <w:rFonts w:hint="eastAsia" w:ascii="宋体" w:hAnsi="宋体" w:eastAsia="宋体" w:cs="宋体"/>
        </w:rPr>
      </w:pPr>
      <w:r>
        <w:rPr>
          <w:rFonts w:hint="eastAsia" w:ascii="宋体" w:hAnsi="宋体" w:cs="宋体"/>
          <w:lang w:val="en-US" w:eastAsia="zh-CN"/>
        </w:rPr>
        <w:t>2、</w:t>
      </w:r>
      <w:r>
        <w:rPr>
          <w:rFonts w:hint="eastAsia" w:ascii="宋体" w:hAnsi="宋体" w:eastAsia="宋体" w:cs="宋体"/>
        </w:rPr>
        <w:t>供应商认为谈判文件使自己的合法权益受到损害的，可以在收到谈判文件之日起7个工作日内，按《湖南省财政厅关于印发〈政府采购质疑答复和投诉处理操作规程〉的通知》（</w:t>
      </w:r>
      <w:r>
        <w:rPr>
          <w:rFonts w:hint="eastAsia" w:ascii="宋体" w:hAnsi="宋体" w:cs="宋体"/>
          <w:lang w:eastAsia="zh-CN"/>
        </w:rPr>
        <w:t>湘财购〔2024〕67号</w:t>
      </w:r>
      <w:r>
        <w:rPr>
          <w:rFonts w:hint="eastAsia" w:ascii="宋体" w:hAnsi="宋体" w:eastAsia="宋体" w:cs="宋体"/>
        </w:rPr>
        <w:t>）规定，以书面形式向采购人、采购代理机构提出质疑。</w:t>
      </w:r>
    </w:p>
    <w:bookmarkEnd w:id="33"/>
    <w:bookmarkEnd w:id="34"/>
    <w:p w14:paraId="45AA0B55">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240" w:lineRule="auto"/>
        <w:jc w:val="both"/>
        <w:textAlignment w:val="auto"/>
        <w:rPr>
          <w:rFonts w:hint="eastAsia" w:ascii="宋体" w:hAnsi="宋体" w:eastAsia="宋体" w:cs="宋体"/>
          <w:b/>
          <w:bCs/>
          <w:kern w:val="2"/>
          <w:sz w:val="28"/>
          <w:szCs w:val="22"/>
          <w:lang w:val="en-US" w:eastAsia="zh-CN" w:bidi="ar-SA"/>
        </w:rPr>
      </w:pPr>
      <w:bookmarkStart w:id="35" w:name="_Toc27694"/>
      <w:bookmarkStart w:id="36" w:name="_Toc27304"/>
      <w:r>
        <w:rPr>
          <w:rFonts w:hint="eastAsia" w:ascii="宋体" w:hAnsi="宋体" w:eastAsia="宋体" w:cs="宋体"/>
          <w:b/>
          <w:bCs/>
          <w:kern w:val="2"/>
          <w:sz w:val="28"/>
          <w:szCs w:val="22"/>
          <w:lang w:val="en-US" w:eastAsia="zh-CN" w:bidi="ar-SA"/>
        </w:rPr>
        <w:t>九、采购项目联系人姓名和电话</w:t>
      </w:r>
      <w:bookmarkEnd w:id="35"/>
      <w:bookmarkEnd w:id="36"/>
    </w:p>
    <w:p w14:paraId="53AD9E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kern w:val="2"/>
          <w:sz w:val="24"/>
          <w:szCs w:val="22"/>
          <w:lang w:val="en-US" w:eastAsia="zh-CN" w:bidi="ar-SA"/>
        </w:rPr>
      </w:pPr>
      <w:r>
        <w:rPr>
          <w:rFonts w:hint="eastAsia" w:ascii="宋体" w:hAnsi="宋体" w:cs="宋体"/>
          <w:kern w:val="2"/>
          <w:sz w:val="24"/>
          <w:szCs w:val="22"/>
          <w:lang w:val="en-US" w:eastAsia="zh-CN" w:bidi="ar-SA"/>
        </w:rPr>
        <w:t>1、采购项目</w:t>
      </w:r>
    </w:p>
    <w:p w14:paraId="41DC24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2"/>
          <w:lang w:val="en-US" w:eastAsia="zh-CN" w:bidi="ar-SA"/>
        </w:rPr>
      </w:pPr>
      <w:r>
        <w:rPr>
          <w:rFonts w:hint="eastAsia" w:ascii="宋体" w:hAnsi="宋体" w:cs="宋体"/>
          <w:color w:val="auto"/>
          <w:kern w:val="2"/>
          <w:sz w:val="24"/>
          <w:szCs w:val="22"/>
          <w:lang w:val="en-US" w:eastAsia="zh-CN" w:bidi="ar-SA"/>
        </w:rPr>
        <w:t>（1）</w:t>
      </w:r>
      <w:r>
        <w:rPr>
          <w:rFonts w:hint="eastAsia" w:ascii="宋体" w:hAnsi="宋体" w:eastAsia="宋体" w:cs="宋体"/>
          <w:color w:val="auto"/>
          <w:spacing w:val="0"/>
          <w:kern w:val="0"/>
          <w:sz w:val="24"/>
          <w:szCs w:val="22"/>
          <w:fitText w:val="1200" w:id="317084926"/>
          <w:lang w:val="en-US" w:eastAsia="zh-CN" w:bidi="ar-SA"/>
        </w:rPr>
        <w:t>联系人姓名</w:t>
      </w:r>
      <w:r>
        <w:rPr>
          <w:rFonts w:hint="eastAsia" w:ascii="宋体" w:hAnsi="宋体" w:eastAsia="宋体" w:cs="宋体"/>
          <w:color w:val="auto"/>
          <w:kern w:val="2"/>
          <w:sz w:val="24"/>
          <w:szCs w:val="22"/>
          <w:lang w:val="en-US" w:eastAsia="zh-CN" w:bidi="ar-SA"/>
        </w:rPr>
        <w:t>：</w:t>
      </w:r>
      <w:r>
        <w:rPr>
          <w:rFonts w:hint="eastAsia" w:ascii="宋体" w:hAnsi="宋体" w:cs="宋体"/>
          <w:color w:val="auto"/>
          <w:kern w:val="2"/>
          <w:sz w:val="24"/>
          <w:szCs w:val="22"/>
          <w:lang w:val="en-US" w:eastAsia="zh-CN" w:bidi="ar-SA"/>
        </w:rPr>
        <w:t>唐先生</w:t>
      </w:r>
    </w:p>
    <w:p w14:paraId="0C3939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2"/>
          <w:lang w:val="en-US" w:eastAsia="zh-CN" w:bidi="ar-SA"/>
        </w:rPr>
      </w:pPr>
      <w:r>
        <w:rPr>
          <w:rFonts w:hint="eastAsia" w:ascii="宋体" w:hAnsi="宋体" w:cs="宋体"/>
          <w:color w:val="auto"/>
          <w:kern w:val="2"/>
          <w:sz w:val="24"/>
          <w:szCs w:val="22"/>
          <w:lang w:val="en-US" w:eastAsia="zh-CN" w:bidi="ar-SA"/>
        </w:rPr>
        <w:t>（2）</w:t>
      </w:r>
      <w:r>
        <w:rPr>
          <w:rFonts w:hint="eastAsia" w:ascii="宋体" w:hAnsi="宋体" w:eastAsia="宋体" w:cs="宋体"/>
          <w:color w:val="auto"/>
          <w:spacing w:val="360"/>
          <w:kern w:val="0"/>
          <w:sz w:val="24"/>
          <w:szCs w:val="22"/>
          <w:fitText w:val="1200" w:id="1897534585"/>
          <w:lang w:val="en-US" w:eastAsia="zh-CN" w:bidi="ar-SA"/>
        </w:rPr>
        <w:t>电</w:t>
      </w:r>
      <w:r>
        <w:rPr>
          <w:rFonts w:hint="eastAsia" w:ascii="宋体" w:hAnsi="宋体" w:eastAsia="宋体" w:cs="宋体"/>
          <w:color w:val="auto"/>
          <w:spacing w:val="0"/>
          <w:kern w:val="0"/>
          <w:sz w:val="24"/>
          <w:szCs w:val="22"/>
          <w:fitText w:val="1200" w:id="1897534585"/>
          <w:lang w:val="en-US" w:eastAsia="zh-CN" w:bidi="ar-SA"/>
        </w:rPr>
        <w:t>话</w:t>
      </w:r>
      <w:r>
        <w:rPr>
          <w:rFonts w:hint="eastAsia" w:ascii="宋体" w:hAnsi="宋体" w:eastAsia="宋体" w:cs="宋体"/>
          <w:color w:val="auto"/>
          <w:kern w:val="2"/>
          <w:sz w:val="24"/>
          <w:szCs w:val="22"/>
          <w:lang w:val="en-US" w:eastAsia="zh-CN" w:bidi="ar-SA"/>
        </w:rPr>
        <w:t>：</w:t>
      </w:r>
      <w:r>
        <w:rPr>
          <w:rFonts w:hint="eastAsia" w:ascii="宋体" w:hAnsi="宋体" w:cs="宋体"/>
          <w:color w:val="auto"/>
          <w:kern w:val="2"/>
          <w:sz w:val="24"/>
          <w:szCs w:val="22"/>
          <w:lang w:val="en-US" w:eastAsia="zh-CN" w:bidi="ar-SA"/>
        </w:rPr>
        <w:t>13762191160</w:t>
      </w:r>
    </w:p>
    <w:p w14:paraId="259972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、采购人信息</w:t>
      </w:r>
    </w:p>
    <w:p w14:paraId="46D0CA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（1）</w:t>
      </w:r>
      <w:r>
        <w:rPr>
          <w:rFonts w:hint="eastAsia" w:ascii="宋体" w:hAnsi="宋体" w:eastAsia="宋体" w:cs="宋体"/>
          <w:color w:val="auto"/>
          <w:spacing w:val="240"/>
          <w:kern w:val="0"/>
          <w:highlight w:val="none"/>
          <w:fitText w:val="960" w:id="942305967"/>
        </w:rPr>
        <w:t>名</w:t>
      </w:r>
      <w:r>
        <w:rPr>
          <w:rFonts w:hint="eastAsia" w:ascii="宋体" w:hAnsi="宋体" w:eastAsia="宋体" w:cs="宋体"/>
          <w:color w:val="auto"/>
          <w:spacing w:val="0"/>
          <w:kern w:val="0"/>
          <w:highlight w:val="none"/>
          <w:fitText w:val="960" w:id="942305967"/>
        </w:rPr>
        <w:t>称</w:t>
      </w:r>
      <w:r>
        <w:rPr>
          <w:rFonts w:hint="eastAsia" w:ascii="宋体" w:hAnsi="宋体" w:eastAsia="宋体" w:cs="宋体"/>
          <w:color w:val="auto"/>
          <w:highlight w:val="none"/>
        </w:rPr>
        <w:t>：</w:t>
      </w:r>
      <w:r>
        <w:rPr>
          <w:rFonts w:hint="eastAsia" w:ascii="宋体" w:hAnsi="宋体" w:cs="宋体"/>
          <w:color w:val="auto"/>
          <w:highlight w:val="none"/>
          <w:lang w:eastAsia="zh-CN"/>
        </w:rPr>
        <w:t>张家界市文化旅游广电体育局</w:t>
      </w:r>
    </w:p>
    <w:p w14:paraId="1FA7E6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pacing w:val="240"/>
          <w:kern w:val="0"/>
          <w:highlight w:val="none"/>
          <w:fitText w:val="960" w:id="1050292791"/>
        </w:rPr>
        <w:t>地</w:t>
      </w:r>
      <w:r>
        <w:rPr>
          <w:rFonts w:hint="eastAsia" w:ascii="宋体" w:hAnsi="宋体" w:eastAsia="宋体" w:cs="宋体"/>
          <w:color w:val="auto"/>
          <w:spacing w:val="0"/>
          <w:kern w:val="0"/>
          <w:highlight w:val="none"/>
          <w:fitText w:val="960" w:id="1050292791"/>
        </w:rPr>
        <w:t>址</w:t>
      </w:r>
      <w:r>
        <w:rPr>
          <w:rFonts w:hint="eastAsia" w:ascii="宋体" w:hAnsi="宋体" w:eastAsia="宋体" w:cs="宋体"/>
          <w:color w:val="auto"/>
          <w:highlight w:val="none"/>
        </w:rPr>
        <w:t>：</w:t>
      </w:r>
      <w:r>
        <w:rPr>
          <w:rFonts w:hint="eastAsia" w:ascii="宋体" w:hAnsi="宋体" w:cs="宋体"/>
          <w:color w:val="auto"/>
          <w:highlight w:val="none"/>
          <w:lang w:val="en-US" w:eastAsia="zh-CN"/>
        </w:rPr>
        <w:t>张家界市永定区南庄路30号</w:t>
      </w:r>
    </w:p>
    <w:p w14:paraId="1259EE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（3）</w:t>
      </w:r>
      <w:r>
        <w:rPr>
          <w:rFonts w:hint="eastAsia" w:ascii="宋体" w:hAnsi="宋体" w:eastAsia="宋体" w:cs="宋体"/>
          <w:color w:val="auto"/>
          <w:spacing w:val="60"/>
          <w:kern w:val="0"/>
          <w:highlight w:val="none"/>
          <w:fitText w:val="960" w:id="470053768"/>
        </w:rPr>
        <w:t>联系</w:t>
      </w:r>
      <w:r>
        <w:rPr>
          <w:rFonts w:hint="eastAsia" w:ascii="宋体" w:hAnsi="宋体" w:eastAsia="宋体" w:cs="宋体"/>
          <w:color w:val="auto"/>
          <w:spacing w:val="0"/>
          <w:kern w:val="0"/>
          <w:highlight w:val="none"/>
          <w:fitText w:val="960" w:id="470053768"/>
        </w:rPr>
        <w:t>人</w:t>
      </w:r>
      <w:r>
        <w:rPr>
          <w:rFonts w:hint="eastAsia" w:ascii="宋体" w:hAnsi="宋体" w:eastAsia="宋体" w:cs="宋体"/>
          <w:color w:val="auto"/>
          <w:highlight w:val="none"/>
        </w:rPr>
        <w:t>：</w:t>
      </w:r>
      <w:r>
        <w:rPr>
          <w:rFonts w:hint="eastAsia" w:ascii="宋体" w:hAnsi="宋体" w:cs="宋体"/>
          <w:color w:val="auto"/>
          <w:highlight w:val="none"/>
          <w:lang w:eastAsia="zh-CN"/>
        </w:rPr>
        <w:t>唐先生</w:t>
      </w:r>
    </w:p>
    <w:p w14:paraId="25E2C7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spacing w:val="240"/>
          <w:kern w:val="0"/>
          <w:highlight w:val="none"/>
          <w:fitText w:val="960" w:id="641671338"/>
        </w:rPr>
        <w:t>邮</w:t>
      </w:r>
      <w:r>
        <w:rPr>
          <w:rFonts w:hint="eastAsia" w:ascii="宋体" w:hAnsi="宋体" w:eastAsia="宋体" w:cs="宋体"/>
          <w:color w:val="auto"/>
          <w:spacing w:val="0"/>
          <w:kern w:val="0"/>
          <w:highlight w:val="none"/>
          <w:fitText w:val="960" w:id="641671338"/>
        </w:rPr>
        <w:t>编</w:t>
      </w:r>
      <w:r>
        <w:rPr>
          <w:rFonts w:hint="eastAsia" w:ascii="宋体" w:hAnsi="宋体" w:eastAsia="宋体" w:cs="宋体"/>
          <w:color w:val="auto"/>
          <w:highlight w:val="none"/>
        </w:rPr>
        <w:t>：427000</w:t>
      </w:r>
    </w:p>
    <w:p w14:paraId="54A296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pacing w:val="240"/>
          <w:kern w:val="0"/>
          <w:highlight w:val="none"/>
          <w:fitText w:val="960" w:id="1934182641"/>
        </w:rPr>
        <w:t>电</w:t>
      </w:r>
      <w:r>
        <w:rPr>
          <w:rFonts w:hint="eastAsia" w:ascii="宋体" w:hAnsi="宋体" w:eastAsia="宋体" w:cs="宋体"/>
          <w:color w:val="auto"/>
          <w:spacing w:val="0"/>
          <w:kern w:val="0"/>
          <w:highlight w:val="none"/>
          <w:fitText w:val="960" w:id="1934182641"/>
        </w:rPr>
        <w:t>话</w:t>
      </w:r>
      <w:r>
        <w:rPr>
          <w:rFonts w:hint="eastAsia" w:ascii="宋体" w:hAnsi="宋体" w:eastAsia="宋体" w:cs="宋体"/>
          <w:color w:val="auto"/>
          <w:highlight w:val="none"/>
        </w:rPr>
        <w:t>：</w:t>
      </w:r>
      <w:r>
        <w:rPr>
          <w:rFonts w:hint="eastAsia" w:ascii="宋体" w:hAnsi="宋体" w:cs="宋体"/>
          <w:color w:val="auto"/>
          <w:highlight w:val="none"/>
          <w:lang w:eastAsia="zh-CN"/>
        </w:rPr>
        <w:t>13762191160</w:t>
      </w:r>
    </w:p>
    <w:p w14:paraId="110177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spacing w:val="0"/>
          <w:kern w:val="0"/>
          <w:highlight w:val="none"/>
          <w:fitText w:val="960" w:id="958614754"/>
        </w:rPr>
        <w:t>电子邮箱</w:t>
      </w:r>
      <w:r>
        <w:rPr>
          <w:rFonts w:hint="eastAsia" w:ascii="宋体" w:hAnsi="宋体" w:eastAsia="宋体" w:cs="宋体"/>
          <w:color w:val="auto"/>
          <w:highlight w:val="none"/>
        </w:rPr>
        <w:t>：/</w:t>
      </w:r>
    </w:p>
    <w:p w14:paraId="4D1FBC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、采购代理机构信息</w:t>
      </w:r>
    </w:p>
    <w:p w14:paraId="617E10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pacing w:val="240"/>
          <w:kern w:val="0"/>
          <w:highlight w:val="none"/>
          <w:fitText w:val="960" w:id="1828872438"/>
        </w:rPr>
        <w:t>名</w:t>
      </w:r>
      <w:r>
        <w:rPr>
          <w:rFonts w:hint="eastAsia" w:ascii="宋体" w:hAnsi="宋体" w:eastAsia="宋体" w:cs="宋体"/>
          <w:color w:val="auto"/>
          <w:spacing w:val="0"/>
          <w:kern w:val="0"/>
          <w:highlight w:val="none"/>
          <w:fitText w:val="960" w:id="1828872438"/>
        </w:rPr>
        <w:t>称</w:t>
      </w:r>
      <w:r>
        <w:rPr>
          <w:rFonts w:hint="eastAsia" w:ascii="宋体" w:hAnsi="宋体" w:eastAsia="宋体" w:cs="宋体"/>
          <w:color w:val="auto"/>
          <w:highlight w:val="none"/>
        </w:rPr>
        <w:t>：</w:t>
      </w:r>
      <w:r>
        <w:rPr>
          <w:rFonts w:hint="eastAsia" w:ascii="宋体" w:hAnsi="宋体" w:cs="宋体"/>
          <w:color w:val="auto"/>
          <w:highlight w:val="none"/>
          <w:lang w:eastAsia="zh-CN"/>
        </w:rPr>
        <w:t>湖南泛华项目管理有限公司</w:t>
      </w:r>
    </w:p>
    <w:p w14:paraId="2F8F06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（2）</w:t>
      </w:r>
      <w:r>
        <w:rPr>
          <w:rFonts w:hint="eastAsia" w:ascii="宋体" w:hAnsi="宋体" w:eastAsia="宋体" w:cs="宋体"/>
          <w:color w:val="auto"/>
          <w:spacing w:val="240"/>
          <w:kern w:val="0"/>
          <w:highlight w:val="none"/>
          <w:fitText w:val="960" w:id="1279086196"/>
        </w:rPr>
        <w:t>地</w:t>
      </w:r>
      <w:r>
        <w:rPr>
          <w:rFonts w:hint="eastAsia" w:ascii="宋体" w:hAnsi="宋体" w:eastAsia="宋体" w:cs="宋体"/>
          <w:color w:val="auto"/>
          <w:spacing w:val="0"/>
          <w:kern w:val="0"/>
          <w:highlight w:val="none"/>
          <w:fitText w:val="960" w:id="1279086196"/>
        </w:rPr>
        <w:t>址</w:t>
      </w:r>
      <w:r>
        <w:rPr>
          <w:rFonts w:hint="eastAsia" w:ascii="宋体" w:hAnsi="宋体" w:eastAsia="宋体" w:cs="宋体"/>
          <w:color w:val="auto"/>
          <w:highlight w:val="none"/>
        </w:rPr>
        <w:t>：</w:t>
      </w:r>
      <w:r>
        <w:rPr>
          <w:rFonts w:hint="eastAsia" w:ascii="宋体" w:hAnsi="宋体" w:cs="宋体"/>
          <w:color w:val="auto"/>
          <w:highlight w:val="none"/>
          <w:lang w:eastAsia="zh-CN"/>
        </w:rPr>
        <w:t>张家界市永定区大桥路五号民航小区三栋一单元302室</w:t>
      </w:r>
    </w:p>
    <w:p w14:paraId="426C5D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（3）</w:t>
      </w:r>
      <w:r>
        <w:rPr>
          <w:rFonts w:hint="eastAsia" w:ascii="宋体" w:hAnsi="宋体" w:eastAsia="宋体" w:cs="宋体"/>
          <w:color w:val="auto"/>
          <w:spacing w:val="60"/>
          <w:kern w:val="0"/>
          <w:highlight w:val="none"/>
          <w:fitText w:val="960" w:id="1283145188"/>
        </w:rPr>
        <w:t>联系</w:t>
      </w:r>
      <w:r>
        <w:rPr>
          <w:rFonts w:hint="eastAsia" w:ascii="宋体" w:hAnsi="宋体" w:eastAsia="宋体" w:cs="宋体"/>
          <w:color w:val="auto"/>
          <w:spacing w:val="0"/>
          <w:kern w:val="0"/>
          <w:highlight w:val="none"/>
          <w:fitText w:val="960" w:id="1283145188"/>
        </w:rPr>
        <w:t>人</w:t>
      </w:r>
      <w:r>
        <w:rPr>
          <w:rFonts w:hint="eastAsia" w:ascii="宋体" w:hAnsi="宋体" w:eastAsia="宋体" w:cs="宋体"/>
          <w:color w:val="auto"/>
          <w:highlight w:val="none"/>
        </w:rPr>
        <w:t>：</w:t>
      </w:r>
      <w:r>
        <w:rPr>
          <w:rFonts w:hint="eastAsia" w:ascii="宋体" w:hAnsi="宋体" w:cs="宋体"/>
          <w:color w:val="auto"/>
          <w:highlight w:val="none"/>
          <w:lang w:val="en-US" w:eastAsia="zh-CN"/>
        </w:rPr>
        <w:t>李淑娟</w:t>
      </w:r>
    </w:p>
    <w:p w14:paraId="7911F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spacing w:val="240"/>
          <w:kern w:val="0"/>
          <w:highlight w:val="none"/>
          <w:fitText w:val="960" w:id="2048403649"/>
        </w:rPr>
        <w:t>邮</w:t>
      </w:r>
      <w:r>
        <w:rPr>
          <w:rFonts w:hint="eastAsia" w:ascii="宋体" w:hAnsi="宋体" w:eastAsia="宋体" w:cs="宋体"/>
          <w:color w:val="auto"/>
          <w:spacing w:val="0"/>
          <w:kern w:val="0"/>
          <w:highlight w:val="none"/>
          <w:fitText w:val="960" w:id="2048403649"/>
        </w:rPr>
        <w:t>编</w:t>
      </w:r>
      <w:r>
        <w:rPr>
          <w:rFonts w:hint="eastAsia" w:ascii="宋体" w:hAnsi="宋体" w:eastAsia="宋体" w:cs="宋体"/>
          <w:color w:val="auto"/>
          <w:highlight w:val="none"/>
        </w:rPr>
        <w:t>：427000</w:t>
      </w:r>
    </w:p>
    <w:p w14:paraId="3BA96B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（5）</w:t>
      </w:r>
      <w:r>
        <w:rPr>
          <w:rFonts w:hint="eastAsia" w:ascii="宋体" w:hAnsi="宋体" w:eastAsia="宋体" w:cs="宋体"/>
          <w:color w:val="auto"/>
          <w:spacing w:val="240"/>
          <w:kern w:val="0"/>
          <w:highlight w:val="none"/>
          <w:fitText w:val="960" w:id="1521967219"/>
        </w:rPr>
        <w:t>电</w:t>
      </w:r>
      <w:r>
        <w:rPr>
          <w:rFonts w:hint="eastAsia" w:ascii="宋体" w:hAnsi="宋体" w:eastAsia="宋体" w:cs="宋体"/>
          <w:color w:val="auto"/>
          <w:spacing w:val="0"/>
          <w:kern w:val="0"/>
          <w:highlight w:val="none"/>
          <w:fitText w:val="960" w:id="1521967219"/>
        </w:rPr>
        <w:t>话</w:t>
      </w:r>
      <w:r>
        <w:rPr>
          <w:rFonts w:hint="eastAsia" w:ascii="宋体" w:hAnsi="宋体" w:eastAsia="宋体" w:cs="宋体"/>
          <w:color w:val="auto"/>
          <w:highlight w:val="none"/>
        </w:rPr>
        <w:t>：</w:t>
      </w:r>
      <w:r>
        <w:rPr>
          <w:rFonts w:hint="eastAsia" w:ascii="宋体" w:hAnsi="宋体" w:cs="宋体"/>
          <w:color w:val="auto"/>
          <w:highlight w:val="none"/>
          <w:lang w:val="en-US" w:eastAsia="zh-CN"/>
        </w:rPr>
        <w:t>13974452222</w:t>
      </w:r>
    </w:p>
    <w:p w14:paraId="410FFA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highlight w:val="none"/>
        </w:rPr>
      </w:pPr>
      <w:r>
        <w:rPr>
          <w:rFonts w:hint="eastAsia" w:ascii="宋体" w:hAnsi="宋体" w:eastAsia="宋体" w:cs="宋体"/>
          <w:color w:val="auto"/>
          <w:highlight w:val="none"/>
        </w:rPr>
        <w:t>（6）</w:t>
      </w:r>
      <w:r>
        <w:rPr>
          <w:rFonts w:hint="eastAsia" w:ascii="宋体" w:hAnsi="宋体" w:eastAsia="宋体" w:cs="宋体"/>
          <w:color w:val="auto"/>
          <w:spacing w:val="0"/>
          <w:kern w:val="0"/>
          <w:highlight w:val="none"/>
          <w:fitText w:val="960" w:id="1332836035"/>
        </w:rPr>
        <w:t>电子邮箱</w:t>
      </w:r>
      <w:r>
        <w:rPr>
          <w:rFonts w:hint="eastAsia" w:ascii="宋体" w:hAnsi="宋体" w:eastAsia="宋体" w:cs="宋体"/>
          <w:color w:val="auto"/>
          <w:highlight w:val="none"/>
        </w:rPr>
        <w:t>：</w:t>
      </w:r>
      <w:r>
        <w:rPr>
          <w:rFonts w:hint="eastAsia" w:ascii="宋体" w:hAnsi="宋体" w:cs="宋体"/>
          <w:color w:val="auto"/>
          <w:highlight w:val="none"/>
          <w:lang w:val="en-US" w:eastAsia="zh-CN"/>
        </w:rPr>
        <w:t>3124804193</w:t>
      </w:r>
      <w:r>
        <w:rPr>
          <w:rFonts w:hint="eastAsia" w:ascii="宋体" w:hAnsi="宋体" w:eastAsia="宋体" w:cs="宋体"/>
          <w:color w:val="auto"/>
          <w:highlight w:val="none"/>
        </w:rPr>
        <w:t>@qq.com</w:t>
      </w:r>
      <w:r>
        <w:rPr>
          <w:rFonts w:hint="eastAsia"/>
          <w:color w:val="auto"/>
          <w:highlight w:val="none"/>
        </w:rPr>
        <w:br w:type="page"/>
      </w:r>
    </w:p>
    <w:p w14:paraId="1BAF7C2B">
      <w:pPr>
        <w:pStyle w:val="2"/>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b/>
          <w:bCs w:val="0"/>
          <w:color w:val="auto"/>
          <w:highlight w:val="none"/>
        </w:rPr>
      </w:pPr>
      <w:bookmarkStart w:id="37" w:name="_Toc6539"/>
      <w:r>
        <w:rPr>
          <w:rFonts w:hint="eastAsia" w:ascii="宋体" w:hAnsi="宋体" w:eastAsia="宋体" w:cs="宋体"/>
          <w:b/>
          <w:bCs w:val="0"/>
          <w:color w:val="auto"/>
          <w:highlight w:val="none"/>
        </w:rPr>
        <w:t xml:space="preserve">第二章 </w:t>
      </w:r>
      <w:r>
        <w:rPr>
          <w:rFonts w:hint="eastAsia" w:ascii="宋体" w:hAnsi="宋体" w:eastAsia="宋体" w:cs="宋体"/>
          <w:b/>
          <w:bCs w:val="0"/>
          <w:color w:val="auto"/>
          <w:highlight w:val="none"/>
          <w:lang w:eastAsia="zh-CN"/>
        </w:rPr>
        <w:t>供应商</w:t>
      </w:r>
      <w:r>
        <w:rPr>
          <w:rFonts w:hint="eastAsia" w:ascii="宋体" w:hAnsi="宋体" w:eastAsia="宋体" w:cs="宋体"/>
          <w:b/>
          <w:bCs w:val="0"/>
          <w:color w:val="auto"/>
          <w:highlight w:val="none"/>
        </w:rPr>
        <w:t>须知</w:t>
      </w:r>
      <w:bookmarkEnd w:id="7"/>
      <w:bookmarkEnd w:id="37"/>
    </w:p>
    <w:p w14:paraId="28A39402">
      <w:pPr>
        <w:pStyle w:val="3"/>
        <w:keepNext/>
        <w:keepLines/>
        <w:pageBreakBefore w:val="0"/>
        <w:widowControl w:val="0"/>
        <w:kinsoku/>
        <w:wordWrap/>
        <w:overflowPunct/>
        <w:topLinePunct w:val="0"/>
        <w:autoSpaceDE/>
        <w:autoSpaceDN/>
        <w:bidi w:val="0"/>
        <w:adjustRightInd/>
        <w:snapToGrid/>
        <w:spacing w:before="0" w:beforeLines="0" w:after="0" w:line="240" w:lineRule="auto"/>
        <w:jc w:val="center"/>
        <w:textAlignment w:val="auto"/>
        <w:rPr>
          <w:rFonts w:hint="eastAsia" w:ascii="宋体" w:hAnsi="宋体" w:eastAsia="宋体" w:cs="宋体"/>
          <w:b/>
          <w:bCs/>
          <w:color w:val="auto"/>
          <w:highlight w:val="none"/>
        </w:rPr>
      </w:pPr>
      <w:bookmarkStart w:id="38" w:name="_Toc9105"/>
      <w:bookmarkStart w:id="39" w:name="_Toc32216"/>
      <w:bookmarkStart w:id="40" w:name="_Toc9369"/>
      <w:bookmarkStart w:id="41" w:name="_Toc7188"/>
      <w:r>
        <w:rPr>
          <w:rFonts w:hint="eastAsia" w:ascii="宋体" w:hAnsi="宋体" w:eastAsia="宋体" w:cs="宋体"/>
          <w:b/>
          <w:bCs/>
          <w:color w:val="auto"/>
          <w:highlight w:val="none"/>
        </w:rPr>
        <w:t xml:space="preserve">第一节 </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须知前附表</w:t>
      </w:r>
      <w:bookmarkEnd w:id="38"/>
      <w:bookmarkEnd w:id="39"/>
      <w:bookmarkEnd w:id="40"/>
      <w:bookmarkEnd w:id="41"/>
    </w:p>
    <w:tbl>
      <w:tblPr>
        <w:tblStyle w:val="33"/>
        <w:tblW w:w="5723"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1855"/>
        <w:gridCol w:w="6586"/>
      </w:tblGrid>
      <w:tr w14:paraId="1B83BE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676" w:type="pct"/>
            <w:tcBorders>
              <w:tl2br w:val="nil"/>
              <w:tr2bl w:val="nil"/>
            </w:tcBorders>
            <w:shd w:val="pct10" w:color="ADB9CA" w:fill="D6DCE5"/>
            <w:vAlign w:val="center"/>
          </w:tcPr>
          <w:p w14:paraId="7C8079CD">
            <w:pPr>
              <w:pStyle w:val="43"/>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条款号</w:t>
            </w:r>
          </w:p>
        </w:tc>
        <w:tc>
          <w:tcPr>
            <w:tcW w:w="950" w:type="pct"/>
            <w:tcBorders>
              <w:tl2br w:val="nil"/>
              <w:tr2bl w:val="nil"/>
            </w:tcBorders>
            <w:shd w:val="pct10" w:color="ADB9CA" w:fill="D6DCE5"/>
            <w:vAlign w:val="center"/>
          </w:tcPr>
          <w:p w14:paraId="14717449">
            <w:pPr>
              <w:pStyle w:val="43"/>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条款名称</w:t>
            </w:r>
          </w:p>
        </w:tc>
        <w:tc>
          <w:tcPr>
            <w:tcW w:w="3373" w:type="pct"/>
            <w:tcBorders>
              <w:tl2br w:val="nil"/>
              <w:tr2bl w:val="nil"/>
            </w:tcBorders>
            <w:shd w:val="pct10" w:color="ADB9CA" w:fill="D6DCE5"/>
            <w:vAlign w:val="center"/>
          </w:tcPr>
          <w:p w14:paraId="02B934FF">
            <w:pPr>
              <w:pStyle w:val="43"/>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编列内容规定</w:t>
            </w:r>
          </w:p>
        </w:tc>
      </w:tr>
      <w:tr w14:paraId="3BF918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pct"/>
            <w:tcBorders>
              <w:tl2br w:val="nil"/>
              <w:tr2bl w:val="nil"/>
            </w:tcBorders>
            <w:vAlign w:val="center"/>
          </w:tcPr>
          <w:p w14:paraId="5EDE7F33">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第三条第1款</w:t>
            </w:r>
          </w:p>
        </w:tc>
        <w:tc>
          <w:tcPr>
            <w:tcW w:w="950" w:type="pct"/>
            <w:tcBorders>
              <w:tl2br w:val="nil"/>
              <w:tr2bl w:val="nil"/>
            </w:tcBorders>
            <w:vAlign w:val="center"/>
          </w:tcPr>
          <w:p w14:paraId="022F6B58">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采购人</w:t>
            </w:r>
            <w:r>
              <w:rPr>
                <w:rFonts w:hint="eastAsia" w:ascii="宋体" w:hAnsi="宋体" w:eastAsia="宋体" w:cs="宋体"/>
                <w:b w:val="0"/>
                <w:bCs w:val="0"/>
                <w:color w:val="auto"/>
                <w:sz w:val="21"/>
                <w:szCs w:val="21"/>
                <w:highlight w:val="none"/>
              </w:rPr>
              <w:t>名称、地址、电话、联系人</w:t>
            </w:r>
          </w:p>
        </w:tc>
        <w:tc>
          <w:tcPr>
            <w:tcW w:w="3373" w:type="pct"/>
            <w:tcBorders>
              <w:tl2br w:val="nil"/>
              <w:tr2bl w:val="nil"/>
            </w:tcBorders>
            <w:vAlign w:val="center"/>
          </w:tcPr>
          <w:p w14:paraId="3CF0B953">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  称：</w:t>
            </w:r>
            <w:r>
              <w:rPr>
                <w:rFonts w:hint="eastAsia" w:eastAsia="宋体" w:cs="宋体"/>
                <w:color w:val="auto"/>
                <w:sz w:val="21"/>
                <w:szCs w:val="21"/>
                <w:highlight w:val="none"/>
                <w:lang w:eastAsia="zh-CN"/>
              </w:rPr>
              <w:t>张家界市文化旅游广电体育局</w:t>
            </w:r>
          </w:p>
          <w:p w14:paraId="4368A34B">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eastAsia="宋体" w:cs="宋体"/>
                <w:color w:val="auto"/>
                <w:sz w:val="21"/>
                <w:szCs w:val="21"/>
                <w:highlight w:val="none"/>
                <w:lang w:val="en-US" w:eastAsia="zh-CN"/>
              </w:rPr>
              <w:t>张家界市永定区南庄路30号</w:t>
            </w:r>
            <w:r>
              <w:rPr>
                <w:rFonts w:hint="eastAsia" w:ascii="宋体" w:hAnsi="宋体" w:eastAsia="宋体" w:cs="宋体"/>
                <w:color w:val="auto"/>
                <w:sz w:val="21"/>
                <w:szCs w:val="21"/>
                <w:highlight w:val="none"/>
                <w:lang w:val="en-US" w:eastAsia="zh-CN"/>
              </w:rPr>
              <w:t xml:space="preserve"> </w:t>
            </w:r>
          </w:p>
          <w:p w14:paraId="182C8462">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eastAsia="宋体" w:cs="宋体"/>
                <w:color w:val="auto"/>
                <w:sz w:val="21"/>
                <w:szCs w:val="21"/>
                <w:highlight w:val="none"/>
                <w:lang w:eastAsia="zh-CN"/>
              </w:rPr>
              <w:t>唐先生</w:t>
            </w:r>
          </w:p>
          <w:p w14:paraId="59557DF0">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eastAsia="宋体" w:cs="宋体"/>
                <w:color w:val="auto"/>
                <w:sz w:val="21"/>
                <w:szCs w:val="21"/>
                <w:highlight w:val="none"/>
                <w:lang w:val="en-US" w:eastAsia="zh-CN"/>
              </w:rPr>
              <w:t>13762191160</w:t>
            </w:r>
          </w:p>
        </w:tc>
      </w:tr>
      <w:tr w14:paraId="15C549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676" w:type="pct"/>
            <w:tcBorders>
              <w:tl2br w:val="nil"/>
              <w:tr2bl w:val="nil"/>
            </w:tcBorders>
            <w:vAlign w:val="center"/>
          </w:tcPr>
          <w:p w14:paraId="5EF94151">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第三条第2款</w:t>
            </w:r>
          </w:p>
        </w:tc>
        <w:tc>
          <w:tcPr>
            <w:tcW w:w="950" w:type="pct"/>
            <w:tcBorders>
              <w:tl2br w:val="nil"/>
              <w:tr2bl w:val="nil"/>
            </w:tcBorders>
            <w:vAlign w:val="center"/>
          </w:tcPr>
          <w:p w14:paraId="662916A6">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采购代理</w:t>
            </w:r>
            <w:r>
              <w:rPr>
                <w:rFonts w:hint="eastAsia" w:ascii="宋体" w:hAnsi="宋体" w:eastAsia="宋体" w:cs="宋体"/>
                <w:b w:val="0"/>
                <w:bCs w:val="0"/>
                <w:color w:val="auto"/>
                <w:sz w:val="21"/>
                <w:szCs w:val="21"/>
                <w:highlight w:val="none"/>
              </w:rPr>
              <w:t>机构名称、地址、电话、项目联系人</w:t>
            </w:r>
          </w:p>
        </w:tc>
        <w:tc>
          <w:tcPr>
            <w:tcW w:w="3373" w:type="pct"/>
            <w:tcBorders>
              <w:tl2br w:val="nil"/>
              <w:tr2bl w:val="nil"/>
            </w:tcBorders>
            <w:vAlign w:val="center"/>
          </w:tcPr>
          <w:p w14:paraId="56FAAD94">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w:t>
            </w:r>
            <w:r>
              <w:rPr>
                <w:rFonts w:hint="eastAsia" w:eastAsia="宋体" w:cs="宋体"/>
                <w:color w:val="auto"/>
                <w:sz w:val="21"/>
                <w:szCs w:val="21"/>
                <w:highlight w:val="none"/>
                <w:lang w:eastAsia="zh-CN"/>
              </w:rPr>
              <w:t>湖南泛华项目管理有限公司</w:t>
            </w:r>
          </w:p>
          <w:p w14:paraId="349C069B">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eastAsia="宋体" w:cs="宋体"/>
                <w:color w:val="auto"/>
                <w:sz w:val="21"/>
                <w:szCs w:val="21"/>
                <w:highlight w:val="none"/>
                <w:lang w:eastAsia="zh-CN"/>
              </w:rPr>
              <w:t>张家界市永定区大桥路五号民航小区三栋一单元302室</w:t>
            </w:r>
          </w:p>
          <w:p w14:paraId="634AFF05">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eastAsia="宋体" w:cs="宋体"/>
                <w:color w:val="auto"/>
                <w:sz w:val="21"/>
                <w:szCs w:val="21"/>
                <w:highlight w:val="none"/>
                <w:lang w:val="en-US" w:eastAsia="zh-CN"/>
              </w:rPr>
              <w:t>李淑娟</w:t>
            </w:r>
          </w:p>
          <w:p w14:paraId="59C3208F">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eastAsia="宋体" w:cs="宋体"/>
                <w:color w:val="auto"/>
                <w:sz w:val="21"/>
                <w:szCs w:val="21"/>
                <w:highlight w:val="none"/>
                <w:lang w:val="en-US" w:eastAsia="zh-CN"/>
              </w:rPr>
              <w:t>13974452222</w:t>
            </w:r>
          </w:p>
        </w:tc>
      </w:tr>
      <w:tr w14:paraId="02EF10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6" w:type="pct"/>
            <w:tcBorders>
              <w:tl2br w:val="nil"/>
              <w:tr2bl w:val="nil"/>
            </w:tcBorders>
            <w:vAlign w:val="center"/>
          </w:tcPr>
          <w:p w14:paraId="2F74EC17">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第三条</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款（</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w:t>
            </w:r>
          </w:p>
        </w:tc>
        <w:tc>
          <w:tcPr>
            <w:tcW w:w="950" w:type="pct"/>
            <w:tcBorders>
              <w:tl2br w:val="nil"/>
              <w:tr2bl w:val="nil"/>
            </w:tcBorders>
            <w:shd w:val="clear" w:color="auto" w:fill="auto"/>
            <w:vAlign w:val="center"/>
          </w:tcPr>
          <w:p w14:paraId="7668B451">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highlight w:val="none"/>
              </w:rPr>
              <w:t>是否为专门面向中小企业采购</w:t>
            </w:r>
          </w:p>
        </w:tc>
        <w:tc>
          <w:tcPr>
            <w:tcW w:w="3373" w:type="pct"/>
            <w:tcBorders>
              <w:tl2br w:val="nil"/>
              <w:tr2bl w:val="nil"/>
            </w:tcBorders>
            <w:shd w:val="clear" w:color="auto" w:fill="auto"/>
            <w:vAlign w:val="center"/>
          </w:tcPr>
          <w:p w14:paraId="3B5B5DE7">
            <w:pPr>
              <w:pStyle w:val="4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kern w:val="2"/>
                <w:sz w:val="21"/>
                <w:szCs w:val="21"/>
                <w:lang w:val="en-US" w:eastAsia="zh-CN" w:bidi="ar-SA"/>
              </w:rPr>
            </w:pPr>
            <w:r>
              <w:rPr>
                <w:rFonts w:hint="eastAsia" w:ascii="宋体" w:hAnsi="宋体" w:eastAsia="宋体" w:cs="宋体"/>
                <w:b w:val="0"/>
                <w:color w:val="auto"/>
                <w:sz w:val="21"/>
                <w:szCs w:val="21"/>
              </w:rPr>
              <w:sym w:font="Wingdings" w:char="00FE"/>
            </w:r>
            <w:r>
              <w:rPr>
                <w:rFonts w:hint="eastAsia" w:ascii="宋体" w:hAnsi="宋体" w:eastAsia="宋体" w:cs="宋体"/>
                <w:b/>
                <w:bCs/>
                <w:sz w:val="21"/>
                <w:szCs w:val="21"/>
              </w:rPr>
              <w:t xml:space="preserve">是 </w:t>
            </w:r>
            <w:r>
              <w:rPr>
                <w:rFonts w:hint="eastAsia" w:ascii="宋体" w:hAnsi="宋体" w:eastAsia="宋体" w:cs="宋体"/>
                <w:b/>
                <w:bCs/>
                <w:sz w:val="21"/>
                <w:szCs w:val="21"/>
                <w:lang w:val="en-US" w:eastAsia="zh-CN"/>
              </w:rPr>
              <w:t xml:space="preserve">  </w:t>
            </w:r>
            <w:r>
              <w:rPr>
                <w:rFonts w:hint="eastAsia" w:ascii="宋体" w:hAnsi="宋体" w:eastAsia="宋体" w:cs="宋体"/>
                <w:b w:val="0"/>
                <w:color w:val="auto"/>
                <w:sz w:val="21"/>
                <w:szCs w:val="21"/>
              </w:rPr>
              <w:sym w:font="Wingdings" w:char="00A8"/>
            </w:r>
            <w:r>
              <w:rPr>
                <w:rFonts w:hint="eastAsia" w:ascii="宋体" w:hAnsi="宋体" w:eastAsia="宋体" w:cs="宋体"/>
                <w:b w:val="0"/>
                <w:bCs w:val="0"/>
                <w:sz w:val="21"/>
                <w:szCs w:val="21"/>
              </w:rPr>
              <w:t>否</w:t>
            </w:r>
          </w:p>
        </w:tc>
      </w:tr>
      <w:tr w14:paraId="7C85E1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6" w:type="pct"/>
            <w:tcBorders>
              <w:tl2br w:val="nil"/>
              <w:tr2bl w:val="nil"/>
            </w:tcBorders>
            <w:vAlign w:val="center"/>
          </w:tcPr>
          <w:p w14:paraId="0A50CD57">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第三条</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款（</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w:t>
            </w:r>
          </w:p>
        </w:tc>
        <w:tc>
          <w:tcPr>
            <w:tcW w:w="950" w:type="pct"/>
            <w:tcBorders>
              <w:tl2br w:val="nil"/>
              <w:tr2bl w:val="nil"/>
            </w:tcBorders>
            <w:shd w:val="clear" w:color="auto" w:fill="auto"/>
            <w:vAlign w:val="center"/>
          </w:tcPr>
          <w:p w14:paraId="06E6CBE7">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采购进口产品</w:t>
            </w:r>
          </w:p>
        </w:tc>
        <w:tc>
          <w:tcPr>
            <w:tcW w:w="3373" w:type="pct"/>
            <w:tcBorders>
              <w:tl2br w:val="nil"/>
              <w:tr2bl w:val="nil"/>
            </w:tcBorders>
            <w:shd w:val="clear" w:color="auto" w:fill="auto"/>
            <w:vAlign w:val="center"/>
          </w:tcPr>
          <w:p w14:paraId="68F57B4A">
            <w:pPr>
              <w:pStyle w:val="4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bCs/>
                <w:sz w:val="21"/>
                <w:szCs w:val="21"/>
              </w:rPr>
            </w:pPr>
            <w:r>
              <w:rPr>
                <w:rFonts w:hint="eastAsia" w:ascii="宋体" w:hAnsi="宋体" w:eastAsia="宋体" w:cs="宋体"/>
                <w:b w:val="0"/>
                <w:color w:val="auto"/>
                <w:sz w:val="21"/>
                <w:szCs w:val="21"/>
              </w:rPr>
              <w:sym w:font="Wingdings" w:char="00A8"/>
            </w:r>
            <w:r>
              <w:rPr>
                <w:rFonts w:hint="eastAsia" w:ascii="宋体" w:hAnsi="宋体" w:eastAsia="宋体" w:cs="宋体"/>
                <w:b w:val="0"/>
                <w:bCs/>
                <w:sz w:val="21"/>
                <w:szCs w:val="21"/>
              </w:rPr>
              <w:t>接受</w:t>
            </w:r>
            <w:r>
              <w:rPr>
                <w:rFonts w:hint="eastAsia" w:ascii="宋体" w:hAnsi="宋体" w:eastAsia="宋体" w:cs="宋体"/>
                <w:sz w:val="21"/>
                <w:szCs w:val="21"/>
              </w:rPr>
              <w:t xml:space="preserve"> </w:t>
            </w:r>
            <w:r>
              <w:rPr>
                <w:rFonts w:hint="eastAsia" w:ascii="宋体" w:hAnsi="宋体" w:eastAsia="宋体" w:cs="宋体"/>
                <w:b w:val="0"/>
                <w:color w:val="auto"/>
                <w:sz w:val="21"/>
                <w:szCs w:val="21"/>
              </w:rPr>
              <w:sym w:font="Wingdings" w:char="00FE"/>
            </w:r>
            <w:r>
              <w:rPr>
                <w:rFonts w:hint="eastAsia" w:ascii="宋体" w:hAnsi="宋体" w:eastAsia="宋体" w:cs="宋体"/>
                <w:sz w:val="21"/>
                <w:szCs w:val="21"/>
              </w:rPr>
              <w:t>拒绝</w:t>
            </w:r>
          </w:p>
        </w:tc>
      </w:tr>
      <w:tr w14:paraId="5BF938D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6" w:type="pct"/>
            <w:tcBorders>
              <w:tl2br w:val="nil"/>
              <w:tr2bl w:val="nil"/>
            </w:tcBorders>
            <w:vAlign w:val="center"/>
          </w:tcPr>
          <w:p w14:paraId="65B0F032">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第三条</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款</w:t>
            </w:r>
          </w:p>
        </w:tc>
        <w:tc>
          <w:tcPr>
            <w:tcW w:w="950" w:type="pct"/>
            <w:tcBorders>
              <w:tl2br w:val="nil"/>
              <w:tr2bl w:val="nil"/>
            </w:tcBorders>
            <w:vAlign w:val="center"/>
          </w:tcPr>
          <w:p w14:paraId="197C8D60">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是否允许联合体</w:t>
            </w:r>
            <w:r>
              <w:rPr>
                <w:rFonts w:hint="eastAsia" w:ascii="宋体" w:hAnsi="宋体" w:eastAsia="宋体" w:cs="宋体"/>
                <w:b w:val="0"/>
                <w:bCs w:val="0"/>
                <w:color w:val="auto"/>
                <w:sz w:val="21"/>
                <w:szCs w:val="21"/>
                <w:highlight w:val="none"/>
                <w:lang w:val="en-US" w:eastAsia="zh-CN"/>
              </w:rPr>
              <w:t>投标</w:t>
            </w:r>
          </w:p>
        </w:tc>
        <w:tc>
          <w:tcPr>
            <w:tcW w:w="3373" w:type="pct"/>
            <w:tcBorders>
              <w:tl2br w:val="nil"/>
              <w:tr2bl w:val="nil"/>
            </w:tcBorders>
            <w:vAlign w:val="center"/>
          </w:tcPr>
          <w:p w14:paraId="360077F6">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rPr>
              <w:sym w:font="Wingdings" w:char="00A8"/>
            </w:r>
            <w:r>
              <w:rPr>
                <w:rFonts w:hint="eastAsia" w:ascii="宋体" w:hAnsi="宋体" w:eastAsia="宋体" w:cs="宋体"/>
                <w:color w:val="auto"/>
                <w:sz w:val="21"/>
                <w:szCs w:val="21"/>
                <w:highlight w:val="none"/>
              </w:rPr>
              <w:t xml:space="preserve">接受  </w:t>
            </w:r>
            <w:r>
              <w:rPr>
                <w:rFonts w:hint="eastAsia" w:ascii="宋体" w:hAnsi="宋体" w:eastAsia="宋体" w:cs="宋体"/>
                <w:b/>
                <w:color w:val="auto"/>
                <w:sz w:val="21"/>
                <w:szCs w:val="21"/>
              </w:rPr>
              <w:sym w:font="Wingdings" w:char="00FE"/>
            </w:r>
            <w:r>
              <w:rPr>
                <w:rFonts w:hint="eastAsia" w:ascii="宋体" w:hAnsi="宋体" w:eastAsia="宋体" w:cs="宋体"/>
                <w:color w:val="auto"/>
                <w:sz w:val="21"/>
                <w:szCs w:val="21"/>
                <w:highlight w:val="none"/>
              </w:rPr>
              <w:t>不接受</w:t>
            </w:r>
          </w:p>
        </w:tc>
      </w:tr>
      <w:tr w14:paraId="294882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jc w:val="center"/>
        </w:trPr>
        <w:tc>
          <w:tcPr>
            <w:tcW w:w="676" w:type="pct"/>
            <w:tcBorders>
              <w:tl2br w:val="nil"/>
              <w:tr2bl w:val="nil"/>
            </w:tcBorders>
            <w:vAlign w:val="center"/>
          </w:tcPr>
          <w:p w14:paraId="2FAE3BD7">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w:t>
            </w:r>
            <w:r>
              <w:rPr>
                <w:rFonts w:hint="eastAsia" w:ascii="宋体" w:hAnsi="宋体" w:eastAsia="宋体" w:cs="宋体"/>
                <w:b w:val="0"/>
                <w:bCs w:val="0"/>
                <w:color w:val="auto"/>
                <w:sz w:val="21"/>
                <w:szCs w:val="21"/>
                <w:highlight w:val="none"/>
                <w:lang w:val="en-US" w:eastAsia="zh-CN"/>
              </w:rPr>
              <w:t>八</w:t>
            </w:r>
            <w:r>
              <w:rPr>
                <w:rFonts w:hint="eastAsia" w:ascii="宋体" w:hAnsi="宋体" w:eastAsia="宋体" w:cs="宋体"/>
                <w:b w:val="0"/>
                <w:bCs w:val="0"/>
                <w:color w:val="auto"/>
                <w:sz w:val="21"/>
                <w:szCs w:val="21"/>
                <w:highlight w:val="none"/>
              </w:rPr>
              <w:t>条第</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款</w:t>
            </w:r>
          </w:p>
        </w:tc>
        <w:tc>
          <w:tcPr>
            <w:tcW w:w="950" w:type="pct"/>
            <w:tcBorders>
              <w:tl2br w:val="nil"/>
              <w:tr2bl w:val="nil"/>
            </w:tcBorders>
            <w:vAlign w:val="center"/>
          </w:tcPr>
          <w:p w14:paraId="699BAB34">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现场考察</w:t>
            </w:r>
          </w:p>
        </w:tc>
        <w:tc>
          <w:tcPr>
            <w:tcW w:w="3373" w:type="pct"/>
            <w:tcBorders>
              <w:tl2br w:val="nil"/>
              <w:tr2bl w:val="nil"/>
            </w:tcBorders>
            <w:vAlign w:val="center"/>
          </w:tcPr>
          <w:p w14:paraId="2C78E168">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rPr>
              <w:sym w:font="Wingdings" w:char="00FE"/>
            </w:r>
            <w:r>
              <w:rPr>
                <w:rFonts w:hint="eastAsia" w:ascii="宋体" w:hAnsi="宋体" w:eastAsia="宋体" w:cs="宋体"/>
                <w:color w:val="auto"/>
                <w:sz w:val="21"/>
                <w:szCs w:val="21"/>
                <w:highlight w:val="none"/>
              </w:rPr>
              <w:t>不组织，</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自行考察</w:t>
            </w:r>
          </w:p>
          <w:p w14:paraId="2C1117C6">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rPr>
              <w:sym w:font="Wingdings" w:char="00A8"/>
            </w:r>
            <w:r>
              <w:rPr>
                <w:rFonts w:hint="eastAsia" w:ascii="宋体" w:hAnsi="宋体" w:eastAsia="宋体" w:cs="宋体"/>
                <w:color w:val="auto"/>
                <w:sz w:val="21"/>
                <w:szCs w:val="21"/>
                <w:highlight w:val="none"/>
              </w:rPr>
              <w:t>统一组织</w:t>
            </w:r>
          </w:p>
          <w:p w14:paraId="327124CB">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时间：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年  月  日  时  分</w:t>
            </w:r>
          </w:p>
          <w:p w14:paraId="496BF094">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地点：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262A03B9">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现场考察联系人及联系电话： </w:t>
            </w:r>
            <w:r>
              <w:rPr>
                <w:rFonts w:hint="eastAsia" w:ascii="宋体" w:hAnsi="宋体" w:eastAsia="宋体" w:cs="宋体"/>
                <w:color w:val="auto"/>
                <w:sz w:val="21"/>
                <w:szCs w:val="21"/>
                <w:highlight w:val="none"/>
              </w:rPr>
              <w:tab/>
            </w:r>
          </w:p>
          <w:p w14:paraId="67805730">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未参加</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统一组织的现场考察，视同放弃现场考察，由此引起的一切责任由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w:t>
            </w:r>
          </w:p>
        </w:tc>
      </w:tr>
      <w:tr w14:paraId="1643B7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76" w:type="pct"/>
            <w:tcBorders>
              <w:tl2br w:val="nil"/>
              <w:tr2bl w:val="nil"/>
            </w:tcBorders>
            <w:vAlign w:val="center"/>
          </w:tcPr>
          <w:p w14:paraId="030E49A4">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第十条</w:t>
            </w:r>
          </w:p>
        </w:tc>
        <w:tc>
          <w:tcPr>
            <w:tcW w:w="950" w:type="pct"/>
            <w:tcBorders>
              <w:tl2br w:val="nil"/>
              <w:tr2bl w:val="nil"/>
            </w:tcBorders>
            <w:vAlign w:val="center"/>
          </w:tcPr>
          <w:p w14:paraId="34F872C4">
            <w:pPr>
              <w:pStyle w:val="4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询问截止时间</w:t>
            </w:r>
          </w:p>
        </w:tc>
        <w:tc>
          <w:tcPr>
            <w:tcW w:w="3373" w:type="pct"/>
            <w:tcBorders>
              <w:tl2br w:val="nil"/>
              <w:tr2bl w:val="nil"/>
            </w:tcBorders>
            <w:vAlign w:val="center"/>
          </w:tcPr>
          <w:p w14:paraId="59C5DB5D">
            <w:pPr>
              <w:pStyle w:val="57"/>
              <w:keepNext w:val="0"/>
              <w:keepLines w:val="0"/>
              <w:pageBreakBefore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eastAsia="宋体" w:cs="宋体"/>
                <w:color w:val="FF0000"/>
                <w:sz w:val="21"/>
                <w:szCs w:val="21"/>
                <w:highlight w:val="none"/>
                <w:u w:val="single"/>
                <w:lang w:val="en-US" w:eastAsia="zh-CN"/>
              </w:rPr>
              <w:t>2026年07月13日17时00分</w:t>
            </w:r>
          </w:p>
        </w:tc>
      </w:tr>
      <w:tr w14:paraId="05E045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676" w:type="pct"/>
            <w:tcBorders>
              <w:tl2br w:val="nil"/>
              <w:tr2bl w:val="nil"/>
            </w:tcBorders>
            <w:vAlign w:val="center"/>
          </w:tcPr>
          <w:p w14:paraId="2734C980">
            <w:pPr>
              <w:pStyle w:val="4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第十</w:t>
            </w: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rPr>
              <w:t>条</w:t>
            </w:r>
          </w:p>
        </w:tc>
        <w:tc>
          <w:tcPr>
            <w:tcW w:w="950" w:type="pct"/>
            <w:tcBorders>
              <w:tl2br w:val="nil"/>
              <w:tr2bl w:val="nil"/>
            </w:tcBorders>
            <w:shd w:val="clear" w:color="auto" w:fill="auto"/>
            <w:vAlign w:val="center"/>
          </w:tcPr>
          <w:p w14:paraId="55DF84F8">
            <w:pPr>
              <w:pStyle w:val="4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rPr>
              <w:t>包别划分</w:t>
            </w:r>
          </w:p>
        </w:tc>
        <w:tc>
          <w:tcPr>
            <w:tcW w:w="3373" w:type="pct"/>
            <w:tcBorders>
              <w:tl2br w:val="nil"/>
              <w:tr2bl w:val="nil"/>
            </w:tcBorders>
            <w:shd w:val="clear" w:color="auto" w:fill="auto"/>
            <w:vAlign w:val="center"/>
          </w:tcPr>
          <w:p w14:paraId="2CD33293">
            <w:pPr>
              <w:pStyle w:val="4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b w:val="0"/>
                <w:color w:val="auto"/>
                <w:sz w:val="21"/>
                <w:szCs w:val="21"/>
              </w:rPr>
              <w:sym w:font="Wingdings" w:char="00FE"/>
            </w:r>
            <w:r>
              <w:rPr>
                <w:rFonts w:hint="eastAsia" w:ascii="宋体" w:hAnsi="宋体" w:eastAsia="宋体" w:cs="宋体"/>
                <w:b w:val="0"/>
                <w:bCs w:val="0"/>
                <w:sz w:val="21"/>
                <w:szCs w:val="21"/>
              </w:rPr>
              <w:t>不分包</w:t>
            </w:r>
          </w:p>
          <w:p w14:paraId="58FEB63A">
            <w:pPr>
              <w:pStyle w:val="4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sz w:val="21"/>
                <w:szCs w:val="21"/>
              </w:rPr>
            </w:pPr>
            <w:r>
              <w:rPr>
                <w:rFonts w:hint="eastAsia" w:ascii="宋体" w:hAnsi="宋体" w:eastAsia="宋体" w:cs="宋体"/>
                <w:b w:val="0"/>
                <w:color w:val="auto"/>
                <w:sz w:val="21"/>
                <w:szCs w:val="21"/>
              </w:rPr>
              <w:sym w:font="Wingdings" w:char="00A8"/>
            </w:r>
            <w:r>
              <w:rPr>
                <w:rFonts w:hint="eastAsia" w:ascii="宋体" w:hAnsi="宋体" w:eastAsia="宋体" w:cs="宋体"/>
                <w:b w:val="0"/>
                <w:bCs w:val="0"/>
                <w:sz w:val="21"/>
                <w:szCs w:val="21"/>
              </w:rPr>
              <w:t>分为</w:t>
            </w:r>
            <w:r>
              <w:rPr>
                <w:rFonts w:hint="eastAsia" w:ascii="宋体" w:hAnsi="宋体" w:eastAsia="宋体" w:cs="宋体"/>
                <w:b w:val="0"/>
                <w:bCs w:val="0"/>
                <w:sz w:val="21"/>
                <w:szCs w:val="21"/>
                <w:u w:val="single"/>
                <w:lang w:val="en-US" w:eastAsia="zh-CN"/>
              </w:rPr>
              <w:t xml:space="preserve"> / </w:t>
            </w:r>
            <w:r>
              <w:rPr>
                <w:rFonts w:hint="eastAsia" w:ascii="宋体" w:hAnsi="宋体" w:eastAsia="宋体" w:cs="宋体"/>
                <w:b w:val="0"/>
                <w:bCs w:val="0"/>
                <w:sz w:val="21"/>
                <w:szCs w:val="21"/>
              </w:rPr>
              <w:t>个包</w:t>
            </w:r>
          </w:p>
          <w:p w14:paraId="1223F062">
            <w:pPr>
              <w:pStyle w:val="4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rPr>
                <w:rFonts w:hint="eastAsia" w:ascii="宋体" w:hAnsi="宋体" w:eastAsia="宋体" w:cs="宋体"/>
                <w:b/>
                <w:bCs/>
                <w:kern w:val="2"/>
                <w:sz w:val="21"/>
                <w:szCs w:val="21"/>
                <w:lang w:val="en-US" w:eastAsia="zh-CN" w:bidi="ar-SA"/>
              </w:rPr>
            </w:pPr>
            <w:r>
              <w:rPr>
                <w:rFonts w:hint="eastAsia" w:ascii="宋体" w:hAnsi="宋体" w:eastAsia="宋体" w:cs="宋体"/>
                <w:color w:val="000000" w:themeColor="text1"/>
                <w:sz w:val="21"/>
                <w:szCs w:val="21"/>
                <w14:textFill>
                  <w14:solidFill>
                    <w14:schemeClr w14:val="tx1"/>
                  </w14:solidFill>
                </w14:textFill>
              </w:rPr>
              <w:t>供应商参加多个包谈判的成交包数规定：</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u w:val="single"/>
                <w:lang w:val="en-US" w:eastAsia="zh-CN"/>
                <w14:textFill>
                  <w14:solidFill>
                    <w14:schemeClr w14:val="tx1"/>
                  </w14:solidFill>
                </w14:textFill>
              </w:rPr>
              <w:t xml:space="preserve">/ </w:t>
            </w:r>
          </w:p>
        </w:tc>
      </w:tr>
      <w:tr w14:paraId="4405D7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26" w:hRule="atLeast"/>
          <w:jc w:val="center"/>
        </w:trPr>
        <w:tc>
          <w:tcPr>
            <w:tcW w:w="676" w:type="pct"/>
            <w:tcBorders>
              <w:tl2br w:val="nil"/>
              <w:tr2bl w:val="nil"/>
            </w:tcBorders>
            <w:vAlign w:val="center"/>
          </w:tcPr>
          <w:p w14:paraId="459BB467">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第十五条</w:t>
            </w:r>
          </w:p>
        </w:tc>
        <w:tc>
          <w:tcPr>
            <w:tcW w:w="950" w:type="pct"/>
            <w:tcBorders>
              <w:tl2br w:val="nil"/>
              <w:tr2bl w:val="nil"/>
            </w:tcBorders>
            <w:vAlign w:val="center"/>
          </w:tcPr>
          <w:p w14:paraId="35758AB1">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谈判</w:t>
            </w:r>
            <w:r>
              <w:rPr>
                <w:rFonts w:hint="eastAsia" w:ascii="宋体" w:hAnsi="宋体" w:eastAsia="宋体" w:cs="宋体"/>
                <w:b w:val="0"/>
                <w:bCs w:val="0"/>
                <w:color w:val="auto"/>
                <w:sz w:val="21"/>
                <w:szCs w:val="21"/>
                <w:highlight w:val="none"/>
              </w:rPr>
              <w:t>保证金</w:t>
            </w:r>
          </w:p>
        </w:tc>
        <w:tc>
          <w:tcPr>
            <w:tcW w:w="3373" w:type="pct"/>
            <w:tcBorders>
              <w:tl2br w:val="nil"/>
              <w:tr2bl w:val="nil"/>
            </w:tcBorders>
            <w:vAlign w:val="center"/>
          </w:tcPr>
          <w:p w14:paraId="4117082A">
            <w:pPr>
              <w:pStyle w:val="5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不要求提供</w:t>
            </w:r>
          </w:p>
          <w:p w14:paraId="3728B5B2">
            <w:pPr>
              <w:pStyle w:val="5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sym w:font="Wingdings" w:char="00FE"/>
            </w:r>
            <w:r>
              <w:rPr>
                <w:rFonts w:hint="eastAsia" w:ascii="宋体" w:hAnsi="宋体" w:eastAsia="宋体" w:cs="宋体"/>
                <w:b/>
                <w:bCs/>
                <w:color w:val="auto"/>
                <w:sz w:val="21"/>
                <w:szCs w:val="21"/>
                <w:highlight w:val="none"/>
              </w:rPr>
              <w:t>要求提供</w:t>
            </w:r>
          </w:p>
          <w:p w14:paraId="2915E9FB">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lang w:val="en-US" w:eastAsia="zh-CN" w:bidi="ar-SA"/>
              </w:rPr>
              <w:t>1．</w:t>
            </w:r>
            <w:r>
              <w:rPr>
                <w:rFonts w:hint="eastAsia" w:ascii="宋体" w:hAnsi="宋体" w:eastAsia="宋体" w:cs="宋体"/>
                <w:b/>
                <w:bCs/>
                <w:color w:val="auto"/>
                <w:sz w:val="21"/>
                <w:szCs w:val="21"/>
                <w:highlight w:val="none"/>
                <w:lang w:val="en-US" w:eastAsia="zh-CN"/>
              </w:rPr>
              <w:t>谈判</w:t>
            </w:r>
            <w:r>
              <w:rPr>
                <w:rFonts w:hint="eastAsia" w:ascii="宋体" w:hAnsi="宋体" w:eastAsia="宋体" w:cs="宋体"/>
                <w:b/>
                <w:bCs/>
                <w:color w:val="auto"/>
                <w:sz w:val="21"/>
                <w:szCs w:val="21"/>
                <w:highlight w:val="none"/>
              </w:rPr>
              <w:t>保证金金额：人民币</w:t>
            </w:r>
            <w:r>
              <w:rPr>
                <w:rFonts w:hint="eastAsia" w:ascii="宋体" w:hAnsi="宋体" w:eastAsia="宋体" w:cs="宋体"/>
                <w:b/>
                <w:bCs/>
                <w:color w:val="auto"/>
                <w:sz w:val="21"/>
                <w:szCs w:val="21"/>
                <w:highlight w:val="none"/>
                <w:u w:val="single"/>
                <w:lang w:val="en-US" w:eastAsia="zh-CN"/>
              </w:rPr>
              <w:t xml:space="preserve"> 壹元</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bCs/>
                <w:color w:val="auto"/>
                <w:sz w:val="21"/>
                <w:szCs w:val="21"/>
                <w:highlight w:val="none"/>
              </w:rPr>
              <w:t>整；</w:t>
            </w:r>
          </w:p>
          <w:p w14:paraId="68BD8E95">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rPr>
              <w:t>保证金到账截止时间：同响应文件递交截止时间；</w:t>
            </w:r>
          </w:p>
          <w:p w14:paraId="057634B9">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b w:val="0"/>
                <w:bCs w:val="0"/>
                <w:color w:val="auto"/>
                <w:kern w:val="2"/>
                <w:sz w:val="21"/>
                <w:szCs w:val="21"/>
                <w:lang w:val="en-US" w:eastAsia="zh-CN" w:bidi="ar-SA"/>
              </w:rPr>
              <w:t>3．</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rPr>
              <w:t>保证金缴纳方式：</w:t>
            </w:r>
          </w:p>
          <w:p w14:paraId="6D9B572A">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sym w:font="Wingdings" w:char="00FE"/>
            </w:r>
            <w:r>
              <w:rPr>
                <w:rFonts w:hint="eastAsia" w:ascii="宋体" w:hAnsi="宋体" w:eastAsia="宋体" w:cs="宋体"/>
                <w:b/>
                <w:bCs/>
                <w:color w:val="auto"/>
                <w:sz w:val="21"/>
                <w:szCs w:val="21"/>
                <w:highlight w:val="none"/>
                <w:lang w:val="en-US" w:eastAsia="zh-CN"/>
              </w:rPr>
              <w:t>银行</w:t>
            </w:r>
            <w:r>
              <w:rPr>
                <w:rFonts w:hint="eastAsia" w:ascii="宋体" w:hAnsi="宋体" w:eastAsia="宋体" w:cs="宋体"/>
                <w:b/>
                <w:bCs/>
                <w:color w:val="auto"/>
                <w:sz w:val="21"/>
                <w:szCs w:val="21"/>
                <w:highlight w:val="none"/>
              </w:rPr>
              <w:t>转账</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sym w:font="Wingdings" w:char="00A8"/>
            </w:r>
            <w:r>
              <w:rPr>
                <w:rFonts w:hint="eastAsia" w:ascii="宋体" w:hAnsi="宋体" w:eastAsia="宋体" w:cs="宋体"/>
                <w:b/>
                <w:bCs/>
                <w:color w:val="auto"/>
                <w:sz w:val="21"/>
                <w:szCs w:val="21"/>
                <w:highlight w:val="none"/>
              </w:rPr>
              <w:t>支票</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sym w:font="Wingdings" w:char="00A8"/>
            </w:r>
            <w:r>
              <w:rPr>
                <w:rFonts w:hint="eastAsia" w:ascii="宋体" w:hAnsi="宋体" w:eastAsia="宋体" w:cs="宋体"/>
                <w:b/>
                <w:bCs/>
                <w:color w:val="auto"/>
                <w:sz w:val="21"/>
                <w:szCs w:val="21"/>
                <w:highlight w:val="none"/>
              </w:rPr>
              <w:t>汇票</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sym w:font="Wingdings" w:char="00A8"/>
            </w:r>
            <w:r>
              <w:rPr>
                <w:rFonts w:hint="eastAsia" w:ascii="宋体" w:hAnsi="宋体" w:eastAsia="宋体" w:cs="宋体"/>
                <w:b/>
                <w:bCs/>
                <w:color w:val="auto"/>
                <w:sz w:val="21"/>
                <w:szCs w:val="21"/>
                <w:highlight w:val="none"/>
              </w:rPr>
              <w:t>本票</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sym w:font="Wingdings" w:char="00A8"/>
            </w:r>
            <w:r>
              <w:rPr>
                <w:rFonts w:hint="eastAsia" w:ascii="宋体" w:hAnsi="宋体" w:eastAsia="宋体" w:cs="宋体"/>
                <w:b/>
                <w:bCs/>
                <w:color w:val="auto"/>
                <w:sz w:val="21"/>
                <w:szCs w:val="21"/>
                <w:highlight w:val="none"/>
                <w:lang w:val="en-US" w:eastAsia="zh-CN"/>
              </w:rPr>
              <w:t>银行</w:t>
            </w:r>
            <w:r>
              <w:rPr>
                <w:rFonts w:hint="eastAsia" w:ascii="宋体" w:hAnsi="宋体" w:eastAsia="宋体" w:cs="宋体"/>
                <w:b/>
                <w:bCs/>
                <w:color w:val="auto"/>
                <w:sz w:val="21"/>
                <w:szCs w:val="21"/>
                <w:highlight w:val="none"/>
              </w:rPr>
              <w:t>保函</w:t>
            </w:r>
          </w:p>
          <w:p w14:paraId="5E779F6B">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备注：采用支票、汇票、本票、银行保函缴纳保证金的应按</w:t>
            </w:r>
            <w:r>
              <w:rPr>
                <w:rFonts w:hint="eastAsia" w:ascii="宋体" w:hAnsi="宋体" w:eastAsia="宋体" w:cs="宋体"/>
                <w:b w:val="0"/>
                <w:bCs/>
                <w:color w:val="auto"/>
                <w:sz w:val="21"/>
                <w:szCs w:val="21"/>
                <w:lang w:eastAsia="zh-CN"/>
              </w:rPr>
              <w:t>银行转账</w:t>
            </w:r>
            <w:r>
              <w:rPr>
                <w:rFonts w:hint="eastAsia" w:ascii="宋体" w:hAnsi="宋体" w:eastAsia="宋体" w:cs="宋体"/>
                <w:b w:val="0"/>
                <w:bCs/>
                <w:color w:val="auto"/>
                <w:sz w:val="21"/>
                <w:szCs w:val="21"/>
                <w:lang w:val="en-US" w:eastAsia="zh-CN"/>
              </w:rPr>
              <w:t>+支票</w:t>
            </w:r>
            <w:r>
              <w:rPr>
                <w:rFonts w:hint="eastAsia" w:ascii="宋体" w:hAnsi="宋体" w:eastAsia="宋体" w:cs="宋体"/>
                <w:b w:val="0"/>
                <w:bCs/>
                <w:color w:val="auto"/>
                <w:sz w:val="21"/>
                <w:szCs w:val="21"/>
                <w:u w:val="none" w:color="auto"/>
                <w:lang w:val="en-US" w:eastAsia="zh-CN"/>
              </w:rPr>
              <w:t>/</w:t>
            </w:r>
            <w:r>
              <w:rPr>
                <w:rFonts w:hint="eastAsia" w:ascii="宋体" w:hAnsi="宋体" w:eastAsia="宋体" w:cs="宋体"/>
                <w:b w:val="0"/>
                <w:bCs/>
                <w:color w:val="auto"/>
                <w:sz w:val="21"/>
                <w:szCs w:val="21"/>
                <w:lang w:val="en-US" w:eastAsia="zh-CN"/>
              </w:rPr>
              <w:t>汇票</w:t>
            </w:r>
            <w:r>
              <w:rPr>
                <w:rFonts w:hint="eastAsia" w:ascii="宋体" w:hAnsi="宋体" w:eastAsia="宋体" w:cs="宋体"/>
                <w:b w:val="0"/>
                <w:bCs/>
                <w:color w:val="auto"/>
                <w:sz w:val="21"/>
                <w:szCs w:val="21"/>
                <w:u w:val="none" w:color="auto"/>
                <w:lang w:val="en-US" w:eastAsia="zh-CN"/>
              </w:rPr>
              <w:t>/</w:t>
            </w:r>
            <w:r>
              <w:rPr>
                <w:rFonts w:hint="eastAsia" w:ascii="宋体" w:hAnsi="宋体" w:eastAsia="宋体" w:cs="宋体"/>
                <w:b w:val="0"/>
                <w:bCs/>
                <w:color w:val="auto"/>
                <w:sz w:val="21"/>
                <w:szCs w:val="21"/>
                <w:lang w:val="en-US" w:eastAsia="zh-CN"/>
              </w:rPr>
              <w:t>本票</w:t>
            </w:r>
            <w:r>
              <w:rPr>
                <w:rFonts w:hint="eastAsia" w:ascii="宋体" w:hAnsi="宋体" w:eastAsia="宋体" w:cs="宋体"/>
                <w:b w:val="0"/>
                <w:bCs/>
                <w:color w:val="auto"/>
                <w:sz w:val="21"/>
                <w:szCs w:val="21"/>
                <w:u w:val="none" w:color="auto"/>
                <w:lang w:val="en-US" w:eastAsia="zh-CN"/>
              </w:rPr>
              <w:t>/银行</w:t>
            </w:r>
            <w:r>
              <w:rPr>
                <w:rFonts w:hint="eastAsia" w:ascii="宋体" w:hAnsi="宋体" w:eastAsia="宋体" w:cs="宋体"/>
                <w:b w:val="0"/>
                <w:bCs/>
                <w:color w:val="auto"/>
                <w:sz w:val="21"/>
                <w:szCs w:val="21"/>
                <w:lang w:val="en-US" w:eastAsia="zh-CN"/>
              </w:rPr>
              <w:t>保函组合缴纳方式，相应凭证复印件请放在投标文件中。具体如下：</w:t>
            </w:r>
          </w:p>
          <w:p w14:paraId="4FF41C8F">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lang w:val="en-US" w:eastAsia="zh-CN"/>
              </w:rPr>
              <w:t>因系统设置银行转账额度不能少于1元钱，但实际银行转账额度可大于或等于1元钱，采用银行转账+银行保函组合方式缴纳投标保证金的供应商，两项合计金额应等于投标保证金。项目结束后按保证金程序退还。</w:t>
            </w:r>
          </w:p>
          <w:p w14:paraId="7D9C8071">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kern w:val="2"/>
                <w:sz w:val="21"/>
                <w:szCs w:val="21"/>
                <w:lang w:val="en-US" w:eastAsia="zh-CN" w:bidi="ar-SA"/>
              </w:rPr>
              <w:t>4．</w:t>
            </w:r>
            <w:r>
              <w:rPr>
                <w:rFonts w:hint="eastAsia" w:ascii="宋体" w:hAnsi="宋体" w:eastAsia="宋体" w:cs="宋体"/>
                <w:color w:val="auto"/>
                <w:sz w:val="21"/>
                <w:szCs w:val="21"/>
                <w:highlight w:val="none"/>
              </w:rPr>
              <w:t>保证金缴纳账号：</w:t>
            </w:r>
            <w:r>
              <w:rPr>
                <w:rFonts w:hint="eastAsia" w:ascii="宋体" w:hAnsi="宋体" w:eastAsia="宋体" w:cs="宋体"/>
                <w:color w:val="auto"/>
                <w:sz w:val="21"/>
                <w:szCs w:val="21"/>
                <w:highlight w:val="none"/>
                <w:lang w:val="en-US" w:eastAsia="zh-CN"/>
              </w:rPr>
              <w:t>供应商登录</w:t>
            </w:r>
            <w:r>
              <w:rPr>
                <w:rFonts w:hint="eastAsia" w:ascii="宋体" w:hAnsi="宋体" w:eastAsia="宋体" w:cs="宋体"/>
                <w:color w:val="auto"/>
                <w:sz w:val="21"/>
                <w:szCs w:val="21"/>
                <w:highlight w:val="none"/>
                <w:lang w:eastAsia="zh-CN"/>
              </w:rPr>
              <w:t>张家界市公共资源交易中心产权交易系统</w:t>
            </w:r>
            <w:r>
              <w:rPr>
                <w:rFonts w:hint="eastAsia" w:ascii="宋体" w:hAnsi="宋体" w:eastAsia="宋体" w:cs="宋体"/>
                <w:color w:val="auto"/>
                <w:sz w:val="21"/>
                <w:szCs w:val="21"/>
                <w:highlight w:val="none"/>
              </w:rPr>
              <w:t>（</w:t>
            </w:r>
            <w:r>
              <w:rPr>
                <w:rFonts w:hint="eastAsia" w:eastAsia="宋体" w:cs="宋体"/>
                <w:color w:val="auto"/>
                <w:sz w:val="21"/>
                <w:szCs w:val="21"/>
                <w:highlight w:val="none"/>
                <w:lang w:eastAsia="zh-CN"/>
              </w:rPr>
              <w:t>https://www.zjjggzy.cn/portal/index</w:t>
            </w:r>
            <w:r>
              <w:rPr>
                <w:rFonts w:hint="eastAsia" w:ascii="宋体" w:hAnsi="宋体" w:eastAsia="宋体" w:cs="宋体"/>
                <w:color w:val="auto"/>
                <w:sz w:val="21"/>
                <w:szCs w:val="21"/>
                <w:highlight w:val="none"/>
              </w:rPr>
              <w:t>），即可浏览、查阅和下载相关项目</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文件，对意向项目点击“</w:t>
            </w:r>
            <w:r>
              <w:rPr>
                <w:rFonts w:hint="eastAsia" w:ascii="宋体" w:hAnsi="宋体" w:eastAsia="宋体" w:cs="宋体"/>
                <w:color w:val="auto"/>
                <w:sz w:val="21"/>
                <w:szCs w:val="21"/>
                <w:highlight w:val="none"/>
                <w:lang w:eastAsia="zh-CN"/>
              </w:rPr>
              <w:t>竞买申请</w:t>
            </w:r>
            <w:r>
              <w:rPr>
                <w:rFonts w:hint="eastAsia" w:ascii="宋体" w:hAnsi="宋体" w:eastAsia="宋体" w:cs="宋体"/>
                <w:color w:val="auto"/>
                <w:sz w:val="21"/>
                <w:szCs w:val="21"/>
                <w:highlight w:val="none"/>
              </w:rPr>
              <w:t>”按钮，网上填报《竞</w:t>
            </w:r>
            <w:r>
              <w:rPr>
                <w:rFonts w:hint="eastAsia" w:ascii="宋体" w:hAnsi="宋体" w:eastAsia="宋体" w:cs="宋体"/>
                <w:color w:val="auto"/>
                <w:sz w:val="21"/>
                <w:szCs w:val="21"/>
                <w:highlight w:val="none"/>
                <w:lang w:eastAsia="zh-CN"/>
              </w:rPr>
              <w:t>买</w:t>
            </w:r>
            <w:r>
              <w:rPr>
                <w:rFonts w:hint="eastAsia" w:ascii="宋体" w:hAnsi="宋体" w:eastAsia="宋体" w:cs="宋体"/>
                <w:color w:val="auto"/>
                <w:sz w:val="21"/>
                <w:szCs w:val="21"/>
                <w:highlight w:val="none"/>
              </w:rPr>
              <w:t>申请书》，点击银行获取我中心在该银行开设账户的随机子账号。</w:t>
            </w:r>
          </w:p>
          <w:p w14:paraId="78B92DCF">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lang w:val="en-US" w:eastAsia="zh-CN"/>
              </w:rPr>
              <w:t>5.各供应商出具的银行保函应为见索即付保函。</w:t>
            </w:r>
          </w:p>
        </w:tc>
      </w:tr>
      <w:tr w14:paraId="12CE63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676" w:type="pct"/>
            <w:tcBorders>
              <w:tl2br w:val="nil"/>
              <w:tr2bl w:val="nil"/>
            </w:tcBorders>
            <w:vAlign w:val="center"/>
          </w:tcPr>
          <w:p w14:paraId="65EEAE24">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第十六条</w:t>
            </w:r>
          </w:p>
        </w:tc>
        <w:tc>
          <w:tcPr>
            <w:tcW w:w="950" w:type="pct"/>
            <w:tcBorders>
              <w:tl2br w:val="nil"/>
              <w:tr2bl w:val="nil"/>
            </w:tcBorders>
            <w:vAlign w:val="center"/>
          </w:tcPr>
          <w:p w14:paraId="696A5913">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响应有效期</w:t>
            </w:r>
          </w:p>
        </w:tc>
        <w:tc>
          <w:tcPr>
            <w:tcW w:w="3373" w:type="pct"/>
            <w:tcBorders>
              <w:tl2br w:val="nil"/>
              <w:tr2bl w:val="nil"/>
            </w:tcBorders>
            <w:vAlign w:val="center"/>
          </w:tcPr>
          <w:p w14:paraId="47E7AA0D">
            <w:pPr>
              <w:pStyle w:val="5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90</w:t>
            </w:r>
            <w:r>
              <w:rPr>
                <w:rFonts w:hint="eastAsia" w:ascii="宋体" w:hAnsi="宋体" w:eastAsia="宋体" w:cs="宋体"/>
                <w:color w:val="auto"/>
                <w:sz w:val="21"/>
                <w:szCs w:val="21"/>
                <w:highlight w:val="none"/>
              </w:rPr>
              <w:t>日历日</w:t>
            </w:r>
          </w:p>
        </w:tc>
      </w:tr>
      <w:tr w14:paraId="0EDFD03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676" w:type="pct"/>
            <w:tcBorders>
              <w:tl2br w:val="nil"/>
              <w:tr2bl w:val="nil"/>
            </w:tcBorders>
            <w:vAlign w:val="center"/>
          </w:tcPr>
          <w:p w14:paraId="3775884F">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第十七条</w:t>
            </w:r>
          </w:p>
        </w:tc>
        <w:tc>
          <w:tcPr>
            <w:tcW w:w="950" w:type="pct"/>
            <w:tcBorders>
              <w:tl2br w:val="nil"/>
              <w:tr2bl w:val="nil"/>
            </w:tcBorders>
            <w:vAlign w:val="center"/>
          </w:tcPr>
          <w:p w14:paraId="34FEE9CE">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网上报名截止时间</w:t>
            </w:r>
          </w:p>
        </w:tc>
        <w:tc>
          <w:tcPr>
            <w:tcW w:w="3373" w:type="pct"/>
            <w:tcBorders>
              <w:tl2br w:val="nil"/>
              <w:tr2bl w:val="nil"/>
            </w:tcBorders>
            <w:vAlign w:val="center"/>
          </w:tcPr>
          <w:p w14:paraId="5F4DC65D">
            <w:pPr>
              <w:pStyle w:val="5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eastAsia="宋体" w:cs="宋体"/>
                <w:color w:val="FF0000"/>
                <w:sz w:val="21"/>
                <w:szCs w:val="21"/>
                <w:highlight w:val="none"/>
                <w:u w:val="single"/>
                <w:lang w:val="en-US" w:eastAsia="zh-CN"/>
              </w:rPr>
              <w:t>2026年07月13日17时00分</w:t>
            </w:r>
            <w:r>
              <w:rPr>
                <w:rFonts w:hint="eastAsia" w:ascii="宋体" w:hAnsi="宋体" w:eastAsia="宋体" w:cs="宋体"/>
                <w:color w:val="FF0000"/>
                <w:sz w:val="21"/>
                <w:szCs w:val="21"/>
                <w:highlight w:val="none"/>
              </w:rPr>
              <w:t>（北京时间）</w:t>
            </w:r>
          </w:p>
        </w:tc>
      </w:tr>
      <w:tr w14:paraId="2C7F8EC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94" w:hRule="atLeast"/>
          <w:jc w:val="center"/>
        </w:trPr>
        <w:tc>
          <w:tcPr>
            <w:tcW w:w="676" w:type="pct"/>
            <w:tcBorders>
              <w:tl2br w:val="nil"/>
              <w:tr2bl w:val="nil"/>
            </w:tcBorders>
            <w:vAlign w:val="center"/>
          </w:tcPr>
          <w:p w14:paraId="1787680A">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第二十五条</w:t>
            </w:r>
          </w:p>
        </w:tc>
        <w:tc>
          <w:tcPr>
            <w:tcW w:w="950" w:type="pct"/>
            <w:tcBorders>
              <w:tl2br w:val="nil"/>
              <w:tr2bl w:val="nil"/>
            </w:tcBorders>
            <w:vAlign w:val="center"/>
          </w:tcPr>
          <w:p w14:paraId="1F41D0BE">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履约</w:t>
            </w:r>
            <w:r>
              <w:rPr>
                <w:rFonts w:hint="eastAsia" w:ascii="宋体" w:hAnsi="宋体" w:eastAsia="宋体" w:cs="宋体"/>
                <w:b w:val="0"/>
                <w:bCs w:val="0"/>
                <w:color w:val="auto"/>
                <w:sz w:val="21"/>
                <w:szCs w:val="21"/>
                <w:highlight w:val="none"/>
                <w:lang w:eastAsia="zh-CN"/>
              </w:rPr>
              <w:t>保证</w:t>
            </w:r>
            <w:r>
              <w:rPr>
                <w:rFonts w:hint="eastAsia" w:ascii="宋体" w:hAnsi="宋体" w:eastAsia="宋体" w:cs="宋体"/>
                <w:b w:val="0"/>
                <w:bCs w:val="0"/>
                <w:color w:val="auto"/>
                <w:sz w:val="21"/>
                <w:szCs w:val="21"/>
                <w:highlight w:val="none"/>
              </w:rPr>
              <w:t>金</w:t>
            </w:r>
          </w:p>
        </w:tc>
        <w:tc>
          <w:tcPr>
            <w:tcW w:w="3373" w:type="pct"/>
            <w:tcBorders>
              <w:tl2br w:val="nil"/>
              <w:tr2bl w:val="nil"/>
            </w:tcBorders>
            <w:vAlign w:val="center"/>
          </w:tcPr>
          <w:p w14:paraId="3CE27C34">
            <w:pPr>
              <w:pStyle w:val="57"/>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rPr>
              <w:sym w:font="Wingdings" w:char="00A8"/>
            </w:r>
            <w:r>
              <w:rPr>
                <w:rFonts w:hint="eastAsia" w:ascii="宋体" w:hAnsi="宋体" w:eastAsia="宋体" w:cs="宋体"/>
                <w:b w:val="0"/>
                <w:bCs w:val="0"/>
                <w:color w:val="auto"/>
                <w:sz w:val="21"/>
                <w:szCs w:val="21"/>
                <w:highlight w:val="none"/>
              </w:rPr>
              <w:t>不要求提供</w:t>
            </w:r>
          </w:p>
          <w:p w14:paraId="180DE0D8">
            <w:pPr>
              <w:pStyle w:val="57"/>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rPr>
              <w:sym w:font="Wingdings" w:char="00FE"/>
            </w:r>
            <w:r>
              <w:rPr>
                <w:rFonts w:hint="eastAsia" w:ascii="宋体" w:hAnsi="宋体" w:eastAsia="宋体" w:cs="宋体"/>
                <w:b/>
                <w:bCs/>
                <w:color w:val="auto"/>
                <w:sz w:val="21"/>
                <w:szCs w:val="21"/>
                <w:highlight w:val="none"/>
              </w:rPr>
              <w:t>要求提供</w:t>
            </w:r>
          </w:p>
          <w:p w14:paraId="17627904">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金额：</w:t>
            </w:r>
            <w:r>
              <w:rPr>
                <w:rFonts w:hint="default" w:eastAsia="宋体" w:cs="宋体"/>
                <w:color w:val="auto"/>
                <w:sz w:val="21"/>
                <w:szCs w:val="21"/>
                <w:highlight w:val="none"/>
              </w:rPr>
              <w:t>当</w:t>
            </w:r>
            <w:r>
              <w:rPr>
                <w:rFonts w:hint="eastAsia" w:ascii="宋体" w:hAnsi="宋体" w:eastAsia="宋体" w:cs="宋体"/>
                <w:color w:val="auto"/>
                <w:sz w:val="21"/>
                <w:szCs w:val="21"/>
                <w:highlight w:val="none"/>
              </w:rPr>
              <w:t>中标、成交金额降价幅度不超过采购预算10%的，履约保证金为中标、成交金额的10%</w:t>
            </w:r>
            <w:r>
              <w:rPr>
                <w:rFonts w:hint="eastAsia" w:ascii="宋体" w:hAnsi="宋体" w:eastAsia="宋体" w:cs="宋体"/>
                <w:color w:val="auto"/>
                <w:sz w:val="21"/>
                <w:szCs w:val="21"/>
                <w:highlight w:val="none"/>
                <w:lang w:eastAsia="zh-CN"/>
              </w:rPr>
              <w:t>；</w:t>
            </w:r>
            <w:r>
              <w:rPr>
                <w:rFonts w:hint="default" w:eastAsia="宋体" w:cs="宋体"/>
                <w:color w:val="auto"/>
                <w:sz w:val="21"/>
                <w:szCs w:val="21"/>
                <w:highlight w:val="none"/>
                <w:lang w:eastAsia="zh-CN"/>
              </w:rPr>
              <w:t>当</w:t>
            </w:r>
            <w:r>
              <w:rPr>
                <w:rFonts w:hint="eastAsia" w:ascii="宋体" w:hAnsi="宋体" w:eastAsia="宋体" w:cs="宋体"/>
                <w:color w:val="auto"/>
                <w:sz w:val="21"/>
                <w:szCs w:val="21"/>
                <w:highlight w:val="none"/>
              </w:rPr>
              <w:t>中标、成交金额降价幅度超过采购预算10%以上的，履约保证金为采购预算减去中标、成交金额的差额。</w:t>
            </w:r>
          </w:p>
          <w:p w14:paraId="1FC815C7">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支付方式：</w:t>
            </w:r>
            <w:r>
              <w:rPr>
                <w:rFonts w:hint="eastAsia" w:ascii="宋体" w:hAnsi="宋体" w:eastAsia="宋体" w:cs="宋体"/>
                <w:b/>
                <w:color w:val="auto"/>
                <w:sz w:val="21"/>
                <w:szCs w:val="21"/>
              </w:rPr>
              <w:sym w:font="Wingdings" w:char="00FE"/>
            </w:r>
            <w:r>
              <w:rPr>
                <w:rFonts w:hint="eastAsia" w:ascii="宋体" w:hAnsi="宋体" w:eastAsia="宋体" w:cs="宋体"/>
                <w:b/>
                <w:bCs/>
                <w:color w:val="auto"/>
                <w:sz w:val="21"/>
                <w:szCs w:val="21"/>
                <w:highlight w:val="none"/>
              </w:rPr>
              <w:t xml:space="preserve">银行转账 </w:t>
            </w:r>
            <w:r>
              <w:rPr>
                <w:rFonts w:hint="eastAsia" w:ascii="宋体" w:hAnsi="宋体" w:eastAsia="宋体" w:cs="宋体"/>
                <w:b/>
                <w:color w:val="auto"/>
                <w:sz w:val="21"/>
                <w:szCs w:val="21"/>
              </w:rPr>
              <w:sym w:font="Wingdings" w:char="00FE"/>
            </w:r>
            <w:r>
              <w:rPr>
                <w:rFonts w:hint="eastAsia" w:ascii="宋体" w:hAnsi="宋体" w:eastAsia="宋体" w:cs="宋体"/>
                <w:b/>
                <w:bCs/>
                <w:color w:val="auto"/>
                <w:sz w:val="21"/>
                <w:szCs w:val="21"/>
                <w:highlight w:val="none"/>
              </w:rPr>
              <w:t>支票</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rPr>
              <w:sym w:font="Wingdings" w:char="00FE"/>
            </w:r>
            <w:r>
              <w:rPr>
                <w:rFonts w:hint="eastAsia" w:ascii="宋体" w:hAnsi="宋体" w:eastAsia="宋体" w:cs="宋体"/>
                <w:b/>
                <w:bCs/>
                <w:color w:val="auto"/>
                <w:sz w:val="21"/>
                <w:szCs w:val="21"/>
                <w:highlight w:val="none"/>
              </w:rPr>
              <w:t>汇票</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rPr>
              <w:sym w:font="Wingdings" w:char="00FE"/>
            </w:r>
            <w:r>
              <w:rPr>
                <w:rFonts w:hint="eastAsia" w:ascii="宋体" w:hAnsi="宋体" w:eastAsia="宋体" w:cs="宋体"/>
                <w:b/>
                <w:bCs/>
                <w:color w:val="auto"/>
                <w:sz w:val="21"/>
                <w:szCs w:val="21"/>
                <w:highlight w:val="none"/>
              </w:rPr>
              <w:t>本票</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rPr>
              <w:sym w:font="Wingdings" w:char="00FE"/>
            </w:r>
            <w:r>
              <w:rPr>
                <w:rFonts w:hint="eastAsia" w:ascii="宋体" w:hAnsi="宋体" w:eastAsia="宋体" w:cs="宋体"/>
                <w:b/>
                <w:bCs/>
                <w:color w:val="000000" w:themeColor="text1"/>
                <w:sz w:val="21"/>
                <w:szCs w:val="21"/>
                <w:highlight w:val="none"/>
                <w:lang w:eastAsia="zh-CN"/>
                <w14:textFill>
                  <w14:solidFill>
                    <w14:schemeClr w14:val="tx1"/>
                  </w14:solidFill>
                </w14:textFill>
              </w:rPr>
              <w:t>银行</w:t>
            </w:r>
            <w:r>
              <w:rPr>
                <w:rFonts w:hint="eastAsia" w:ascii="宋体" w:hAnsi="宋体" w:eastAsia="宋体" w:cs="宋体"/>
                <w:b/>
                <w:bCs/>
                <w:color w:val="000000" w:themeColor="text1"/>
                <w:sz w:val="21"/>
                <w:szCs w:val="21"/>
                <w:highlight w:val="none"/>
                <w14:textFill>
                  <w14:solidFill>
                    <w14:schemeClr w14:val="tx1"/>
                  </w14:solidFill>
                </w14:textFill>
              </w:rPr>
              <w:t>保函</w:t>
            </w:r>
          </w:p>
          <w:p w14:paraId="36557B8C">
            <w:pPr>
              <w:pStyle w:val="57"/>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提交保函的要求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供应商提交的银行保函，在项目交付使用前不可撤销、不可转让、见索即付，履约担保责任至对应项目交付使用之日终止。银行保函应当是</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注册地或者项目所在地市域内的银行出具的保函。银行保函由采购人负责核验，报市公共资源交易中心登记</w:t>
            </w:r>
            <w:r>
              <w:rPr>
                <w:rFonts w:hint="eastAsia" w:ascii="宋体" w:hAnsi="宋体" w:eastAsia="宋体" w:cs="宋体"/>
                <w:color w:val="auto"/>
                <w:sz w:val="21"/>
                <w:szCs w:val="21"/>
                <w:highlight w:val="none"/>
                <w:lang w:eastAsia="zh-CN"/>
              </w:rPr>
              <w:t>。</w:t>
            </w:r>
          </w:p>
          <w:p w14:paraId="35AF2B91">
            <w:pPr>
              <w:pStyle w:val="57"/>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收取单位：</w:t>
            </w:r>
            <w:r>
              <w:rPr>
                <w:rFonts w:hint="eastAsia" w:eastAsia="宋体" w:cs="宋体"/>
                <w:color w:val="auto"/>
                <w:sz w:val="21"/>
                <w:szCs w:val="21"/>
                <w:highlight w:val="none"/>
                <w:u w:val="single"/>
                <w:lang w:eastAsia="zh-CN"/>
              </w:rPr>
              <w:t>张家界市文化旅游广电体育局</w:t>
            </w:r>
          </w:p>
          <w:p w14:paraId="1E31362A">
            <w:pPr>
              <w:pStyle w:val="57"/>
              <w:keepNext w:val="0"/>
              <w:keepLines w:val="0"/>
              <w:pageBreakBefore w:val="0"/>
              <w:widowControl/>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缴纳</w:t>
            </w:r>
            <w:r>
              <w:rPr>
                <w:rFonts w:hint="eastAsia" w:ascii="宋体" w:hAnsi="宋体" w:eastAsia="宋体" w:cs="宋体"/>
                <w:color w:val="auto"/>
                <w:sz w:val="21"/>
                <w:szCs w:val="21"/>
                <w:highlight w:val="none"/>
                <w:lang w:val="en-US" w:eastAsia="zh-CN"/>
              </w:rPr>
              <w:t>期限</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提交履约保证金的期限应当在采购文件中进行约定。供应商自领取中标、成交通知书后7个工作日内提交履约保证金，最长不超过14个工作日。若供应商未在规定时间内提交履约保证金，视为放弃中标成交资格。采购人应当取消其中标、成交资格，供应商的投标保证金不予退还，并将其列入张家界市“严重失信企业名单”实行联合惩戒，3年内不接受其参与市域内政府采购项目的投标</w:t>
            </w:r>
            <w:r>
              <w:rPr>
                <w:rFonts w:hint="eastAsia" w:ascii="宋体" w:hAnsi="宋体" w:eastAsia="宋体" w:cs="宋体"/>
                <w:color w:val="auto"/>
                <w:sz w:val="21"/>
                <w:szCs w:val="21"/>
                <w:highlight w:val="none"/>
              </w:rPr>
              <w:t>。</w:t>
            </w:r>
          </w:p>
        </w:tc>
      </w:tr>
      <w:tr w14:paraId="1B6BEA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676" w:type="pct"/>
            <w:tcBorders>
              <w:tl2br w:val="nil"/>
              <w:tr2bl w:val="nil"/>
            </w:tcBorders>
            <w:vAlign w:val="center"/>
          </w:tcPr>
          <w:p w14:paraId="104FA330">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第</w:t>
            </w:r>
            <w:r>
              <w:rPr>
                <w:rFonts w:hint="eastAsia" w:ascii="宋体" w:hAnsi="宋体" w:eastAsia="宋体" w:cs="宋体"/>
                <w:b w:val="0"/>
                <w:bCs w:val="0"/>
                <w:color w:val="auto"/>
                <w:sz w:val="21"/>
                <w:szCs w:val="21"/>
                <w:highlight w:val="none"/>
                <w:lang w:val="en-US" w:eastAsia="zh-CN"/>
              </w:rPr>
              <w:t>二十九</w:t>
            </w:r>
            <w:r>
              <w:rPr>
                <w:rFonts w:hint="eastAsia" w:ascii="宋体" w:hAnsi="宋体" w:eastAsia="宋体" w:cs="宋体"/>
                <w:b w:val="0"/>
                <w:bCs w:val="0"/>
                <w:color w:val="auto"/>
                <w:sz w:val="21"/>
                <w:szCs w:val="21"/>
                <w:highlight w:val="none"/>
              </w:rPr>
              <w:t>条</w:t>
            </w:r>
          </w:p>
        </w:tc>
        <w:tc>
          <w:tcPr>
            <w:tcW w:w="950" w:type="pct"/>
            <w:tcBorders>
              <w:tl2br w:val="nil"/>
              <w:tr2bl w:val="nil"/>
            </w:tcBorders>
            <w:vAlign w:val="center"/>
          </w:tcPr>
          <w:p w14:paraId="0A5292F3">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询问及</w:t>
            </w:r>
            <w:r>
              <w:rPr>
                <w:rFonts w:hint="eastAsia" w:ascii="宋体" w:hAnsi="宋体" w:eastAsia="宋体" w:cs="宋体"/>
                <w:b w:val="0"/>
                <w:bCs w:val="0"/>
                <w:color w:val="auto"/>
                <w:sz w:val="21"/>
                <w:szCs w:val="21"/>
                <w:highlight w:val="none"/>
              </w:rPr>
              <w:t>质疑</w:t>
            </w:r>
          </w:p>
        </w:tc>
        <w:tc>
          <w:tcPr>
            <w:tcW w:w="3373" w:type="pct"/>
            <w:tcBorders>
              <w:tl2br w:val="nil"/>
              <w:tr2bl w:val="nil"/>
            </w:tcBorders>
            <w:vAlign w:val="center"/>
          </w:tcPr>
          <w:p w14:paraId="5E65BA64">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质疑函递交方式：书面递交</w:t>
            </w:r>
          </w:p>
          <w:p w14:paraId="58C14E32">
            <w:pPr>
              <w:pStyle w:val="5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联系部门：</w:t>
            </w:r>
            <w:r>
              <w:rPr>
                <w:rFonts w:hint="eastAsia" w:eastAsia="宋体" w:cs="宋体"/>
                <w:color w:val="auto"/>
                <w:sz w:val="21"/>
                <w:szCs w:val="21"/>
                <w:highlight w:val="none"/>
                <w:lang w:eastAsia="zh-CN"/>
              </w:rPr>
              <w:t>湖南泛华项目管理有限公司</w:t>
            </w:r>
          </w:p>
          <w:p w14:paraId="15631531">
            <w:pPr>
              <w:pStyle w:val="5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eastAsia" w:eastAsia="宋体" w:cs="宋体"/>
                <w:color w:val="auto"/>
                <w:sz w:val="21"/>
                <w:szCs w:val="21"/>
                <w:highlight w:val="none"/>
                <w:lang w:eastAsia="zh-CN"/>
              </w:rPr>
            </w:pPr>
            <w:r>
              <w:rPr>
                <w:rFonts w:hint="eastAsia" w:ascii="宋体" w:hAnsi="宋体" w:eastAsia="宋体" w:cs="宋体"/>
                <w:color w:val="auto"/>
                <w:sz w:val="21"/>
                <w:szCs w:val="21"/>
                <w:highlight w:val="none"/>
              </w:rPr>
              <w:t>联系电话：</w:t>
            </w:r>
            <w:r>
              <w:rPr>
                <w:rFonts w:hint="eastAsia" w:eastAsia="宋体" w:cs="宋体"/>
                <w:color w:val="auto"/>
                <w:sz w:val="21"/>
                <w:szCs w:val="21"/>
                <w:highlight w:val="none"/>
                <w:lang w:eastAsia="zh-CN"/>
              </w:rPr>
              <w:t>0744-8882138</w:t>
            </w:r>
          </w:p>
          <w:p w14:paraId="73570E5B">
            <w:pPr>
              <w:pStyle w:val="5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通信地址：</w:t>
            </w:r>
            <w:r>
              <w:rPr>
                <w:rFonts w:hint="eastAsia" w:eastAsia="宋体" w:cs="宋体"/>
                <w:color w:val="auto"/>
                <w:sz w:val="21"/>
                <w:szCs w:val="21"/>
                <w:lang w:eastAsia="zh-CN"/>
              </w:rPr>
              <w:t>张家界市永定区大桥路五号民航小区三栋一单元302室</w:t>
            </w:r>
          </w:p>
        </w:tc>
      </w:tr>
      <w:tr w14:paraId="438946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6" w:type="pct"/>
            <w:tcBorders>
              <w:tl2br w:val="nil"/>
              <w:tr2bl w:val="nil"/>
            </w:tcBorders>
            <w:shd w:val="clear" w:color="auto" w:fill="auto"/>
            <w:vAlign w:val="center"/>
          </w:tcPr>
          <w:p w14:paraId="3C2F7381">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第三十一条</w:t>
            </w:r>
          </w:p>
        </w:tc>
        <w:tc>
          <w:tcPr>
            <w:tcW w:w="950" w:type="pct"/>
            <w:tcBorders>
              <w:tl2br w:val="nil"/>
              <w:tr2bl w:val="nil"/>
            </w:tcBorders>
            <w:shd w:val="clear" w:color="auto" w:fill="auto"/>
            <w:vAlign w:val="center"/>
          </w:tcPr>
          <w:p w14:paraId="6C517670">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采购代理服务费</w:t>
            </w:r>
          </w:p>
        </w:tc>
        <w:tc>
          <w:tcPr>
            <w:tcW w:w="3373" w:type="pct"/>
            <w:tcBorders>
              <w:tl2br w:val="nil"/>
              <w:tr2bl w:val="nil"/>
            </w:tcBorders>
            <w:shd w:val="clear" w:color="auto" w:fill="auto"/>
            <w:vAlign w:val="center"/>
          </w:tcPr>
          <w:p w14:paraId="549CEE3E">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采购代理服务费金额：</w:t>
            </w:r>
            <w:r>
              <w:rPr>
                <w:rFonts w:hint="eastAsia" w:ascii="宋体" w:hAnsi="宋体" w:eastAsia="宋体" w:cs="宋体"/>
                <w:b w:val="0"/>
                <w:bCs w:val="0"/>
                <w:color w:val="auto"/>
                <w:sz w:val="21"/>
                <w:szCs w:val="21"/>
                <w:highlight w:val="none"/>
                <w:u w:val="single"/>
                <w:lang w:val="en-US" w:eastAsia="zh-CN"/>
              </w:rPr>
              <w:t>5880.00元</w:t>
            </w:r>
            <w:r>
              <w:rPr>
                <w:rFonts w:hint="eastAsia" w:ascii="宋体" w:hAnsi="宋体" w:eastAsia="宋体" w:cs="宋体"/>
                <w:b w:val="0"/>
                <w:bCs w:val="0"/>
                <w:color w:val="auto"/>
                <w:sz w:val="21"/>
                <w:szCs w:val="21"/>
                <w:highlight w:val="none"/>
                <w:lang w:val="en-US" w:eastAsia="zh-CN"/>
              </w:rPr>
              <w:t>（不含专家评审费）</w:t>
            </w:r>
            <w:r>
              <w:rPr>
                <w:rFonts w:hint="eastAsia" w:ascii="宋体" w:hAnsi="宋体" w:eastAsia="宋体" w:cs="宋体"/>
                <w:b w:val="0"/>
                <w:bCs w:val="0"/>
                <w:color w:val="auto"/>
                <w:sz w:val="21"/>
                <w:szCs w:val="21"/>
                <w:highlight w:val="none"/>
              </w:rPr>
              <w:t>，由采购人支付。</w:t>
            </w:r>
          </w:p>
        </w:tc>
      </w:tr>
      <w:tr w14:paraId="094852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93" w:hRule="atLeast"/>
          <w:jc w:val="center"/>
        </w:trPr>
        <w:tc>
          <w:tcPr>
            <w:tcW w:w="676" w:type="pct"/>
            <w:tcBorders>
              <w:tl2br w:val="nil"/>
              <w:tr2bl w:val="nil"/>
            </w:tcBorders>
            <w:shd w:val="clear" w:color="auto" w:fill="auto"/>
            <w:vAlign w:val="center"/>
          </w:tcPr>
          <w:p w14:paraId="73A44FF2">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第三十三条</w:t>
            </w:r>
          </w:p>
        </w:tc>
        <w:tc>
          <w:tcPr>
            <w:tcW w:w="950" w:type="pct"/>
            <w:tcBorders>
              <w:tl2br w:val="nil"/>
              <w:tr2bl w:val="nil"/>
            </w:tcBorders>
            <w:shd w:val="clear" w:color="auto" w:fill="auto"/>
            <w:vAlign w:val="center"/>
          </w:tcPr>
          <w:p w14:paraId="5A7276B3">
            <w:pPr>
              <w:pStyle w:val="47"/>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其他</w:t>
            </w:r>
          </w:p>
        </w:tc>
        <w:tc>
          <w:tcPr>
            <w:tcW w:w="3373" w:type="pct"/>
            <w:tcBorders>
              <w:tl2br w:val="nil"/>
              <w:tr2bl w:val="nil"/>
            </w:tcBorders>
            <w:shd w:val="clear" w:color="auto" w:fill="auto"/>
            <w:vAlign w:val="center"/>
          </w:tcPr>
          <w:p w14:paraId="21CC7721">
            <w:pPr>
              <w:pStyle w:val="57"/>
              <w:keepNext w:val="0"/>
              <w:keepLines w:val="0"/>
              <w:pageBreakBefore w:val="0"/>
              <w:numPr>
                <w:ilvl w:val="0"/>
                <w:numId w:val="5"/>
              </w:numPr>
              <w:kinsoku/>
              <w:wordWrap/>
              <w:overflowPunct/>
              <w:topLinePunct w:val="0"/>
              <w:autoSpaceDE/>
              <w:autoSpaceDN/>
              <w:bidi w:val="0"/>
              <w:adjustRightInd/>
              <w:snapToGrid/>
              <w:spacing w:line="240" w:lineRule="auto"/>
              <w:ind w:left="0" w:leftChars="0" w:right="0" w:rightChars="0" w:firstLine="0" w:firstLineChars="0"/>
              <w:jc w:val="both"/>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异常低价投标（响应）审查</w:t>
            </w:r>
          </w:p>
          <w:p w14:paraId="0C493079">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1.根据财库〔2026〕2号文件</w:t>
            </w:r>
            <w:r>
              <w:rPr>
                <w:rFonts w:hint="default" w:ascii="宋体" w:hAnsi="宋体" w:eastAsia="宋体" w:cs="宋体"/>
                <w:b w:val="0"/>
                <w:color w:val="auto"/>
                <w:kern w:val="2"/>
                <w:sz w:val="21"/>
                <w:szCs w:val="21"/>
                <w:highlight w:val="none"/>
                <w:lang w:val="en-US" w:eastAsia="zh-CN" w:bidi="ar-SA"/>
              </w:rPr>
              <w:t>，政府采购评审中出现下列情形之一的，评审委员会应当启动异常低价投标（响应）审查程序：</w:t>
            </w:r>
          </w:p>
          <w:p w14:paraId="7206EBE2">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1</w:t>
            </w: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投标（响应）报价低于全部通过符合性审查供应商投标（响应）报价平均值50%的，即投标（响应）报价&lt;全部通过符合性审查供应商投标（响应）报价平均值×50%；</w:t>
            </w:r>
          </w:p>
          <w:p w14:paraId="1BAB3850">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2</w:t>
            </w: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投标（响应）报价低于通过符合性审查的次低报价供应商投标（响应）报价50%的，即投标（响应）报价&lt;通过符合性审查的次低报价供应商投标（响应）报价×50%；</w:t>
            </w:r>
          </w:p>
          <w:p w14:paraId="6FB30C4B">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3</w:t>
            </w: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投标（响应）报价低于采购项目最高限价45%的，即投标（响应）报价&lt;采购项目最高限价×45%；</w:t>
            </w:r>
          </w:p>
          <w:p w14:paraId="11B9FB85">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4</w:t>
            </w: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评审委员会基于专业判断，认为供应商报价过低，有可能影响产品质量或者不能诚信履约的其他情形。</w:t>
            </w:r>
          </w:p>
          <w:p w14:paraId="5BC65898">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default" w:ascii="宋体" w:hAnsi="宋体" w:eastAsia="宋体" w:cs="宋体"/>
                <w:b w:val="0"/>
                <w:color w:val="auto"/>
                <w:kern w:val="2"/>
                <w:sz w:val="21"/>
                <w:szCs w:val="21"/>
                <w:highlight w:val="none"/>
                <w:lang w:val="en-US" w:eastAsia="zh-CN" w:bidi="ar-SA"/>
              </w:rPr>
              <w:t>相关法律法规对供应商报价有规定的，从其规定。</w:t>
            </w:r>
          </w:p>
          <w:p w14:paraId="6E67271A">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default" w:ascii="宋体" w:hAnsi="宋体" w:eastAsia="宋体" w:cs="宋体"/>
                <w:b w:val="0"/>
                <w:color w:val="auto"/>
                <w:kern w:val="2"/>
                <w:sz w:val="21"/>
                <w:szCs w:val="21"/>
                <w:highlight w:val="none"/>
                <w:lang w:val="en-US" w:eastAsia="zh-CN" w:bidi="ar-SA"/>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val="0"/>
                <w:color w:val="auto"/>
                <w:kern w:val="2"/>
                <w:sz w:val="21"/>
                <w:szCs w:val="21"/>
                <w:highlight w:val="none"/>
                <w:lang w:val="en-US" w:eastAsia="zh-CN" w:bidi="ar-SA"/>
              </w:rPr>
              <w:t>(时间自投标人收到采购人或采购代理机构电话通知时起算，投标人将证明材料递交到采购人或采购代理机构时截止)</w:t>
            </w:r>
            <w:r>
              <w:rPr>
                <w:rFonts w:hint="default" w:ascii="宋体" w:hAnsi="宋体" w:eastAsia="宋体" w:cs="宋体"/>
                <w:b w:val="0"/>
                <w:color w:val="auto"/>
                <w:kern w:val="2"/>
                <w:sz w:val="21"/>
                <w:szCs w:val="21"/>
                <w:highlight w:val="none"/>
                <w:lang w:val="en-US" w:eastAsia="zh-CN" w:bidi="ar-SA"/>
              </w:rPr>
              <w:t>。</w:t>
            </w:r>
          </w:p>
          <w:p w14:paraId="19850850">
            <w:pPr>
              <w:pStyle w:val="47"/>
              <w:numPr>
                <w:ilvl w:val="0"/>
                <w:numId w:val="0"/>
              </w:numPr>
              <w:adjustRightInd/>
              <w:snapToGrid/>
              <w:ind w:firstLine="420" w:firstLineChars="200"/>
              <w:jc w:val="left"/>
              <w:textAlignment w:val="baseline"/>
              <w:rPr>
                <w:rFonts w:hint="default" w:ascii="宋体" w:hAnsi="宋体" w:eastAsia="宋体" w:cs="宋体"/>
                <w:b w:val="0"/>
                <w:color w:val="auto"/>
                <w:kern w:val="2"/>
                <w:sz w:val="21"/>
                <w:szCs w:val="21"/>
                <w:highlight w:val="none"/>
                <w:lang w:val="en-US" w:eastAsia="zh-CN" w:bidi="ar-SA"/>
              </w:rPr>
            </w:pPr>
            <w:r>
              <w:rPr>
                <w:rFonts w:hint="default" w:ascii="宋体" w:hAnsi="宋体" w:eastAsia="宋体" w:cs="宋体"/>
                <w:b w:val="0"/>
                <w:color w:val="auto"/>
                <w:kern w:val="2"/>
                <w:sz w:val="21"/>
                <w:szCs w:val="21"/>
                <w:highlight w:val="none"/>
                <w:lang w:val="en-US" w:eastAsia="zh-CN" w:bidi="ar-SA"/>
              </w:rPr>
              <w:t>其中，属于第3项情形，供应商已随投标（响应）文件一并提交相关书面说明及必要的证明材料的，在评审现场可不再重复提交。</w:t>
            </w:r>
          </w:p>
          <w:p w14:paraId="14831774">
            <w:pPr>
              <w:pStyle w:val="57"/>
              <w:keepNext w:val="0"/>
              <w:keepLines w:val="0"/>
              <w:pageBreakBefore w:val="0"/>
              <w:widowControl/>
              <w:numPr>
                <w:ilvl w:val="0"/>
                <w:numId w:val="0"/>
              </w:numPr>
              <w:tabs>
                <w:tab w:val="clear" w:pos="0"/>
                <w:tab w:val="clear" w:pos="33"/>
              </w:tabs>
              <w:kinsoku/>
              <w:wordWrap/>
              <w:overflowPunct/>
              <w:topLinePunct w:val="0"/>
              <w:autoSpaceDE/>
              <w:autoSpaceDN/>
              <w:bidi w:val="0"/>
              <w:adjustRightInd/>
              <w:snapToGrid/>
              <w:spacing w:line="240" w:lineRule="auto"/>
              <w:ind w:left="0" w:leftChars="0" w:right="0" w:rightChars="0" w:firstLine="478" w:firstLineChars="228"/>
              <w:jc w:val="both"/>
              <w:rPr>
                <w:rFonts w:hint="default" w:ascii="宋体" w:hAnsi="宋体" w:eastAsia="微软雅黑" w:cs="宋体"/>
                <w:b w:val="0"/>
                <w:color w:val="auto"/>
                <w:kern w:val="2"/>
                <w:sz w:val="22"/>
                <w:szCs w:val="24"/>
                <w:highlight w:val="none"/>
                <w:lang w:val="en-US" w:eastAsia="zh-CN" w:bidi="ar-SA"/>
              </w:rPr>
            </w:pPr>
            <w:r>
              <w:rPr>
                <w:rFonts w:hint="default" w:ascii="宋体" w:hAnsi="宋体" w:eastAsia="宋体" w:cs="宋体"/>
                <w:b w:val="0"/>
                <w:color w:val="auto"/>
                <w:kern w:val="2"/>
                <w:sz w:val="21"/>
                <w:szCs w:val="21"/>
                <w:highlight w:val="none"/>
                <w:lang w:val="en-US" w:eastAsia="zh-CN" w:bidi="ar-SA"/>
              </w:rPr>
              <w:t>3.评审委员会依据专业经验，参考同类项目中标（成交）价格、类似产品市场价格水平、行业人工费用标准、国家有关部门指导行业协会发布的行业平均成本等情况，对报价合理性进行判断。投标（响应</w:t>
            </w:r>
            <w:r>
              <w:rPr>
                <w:rFonts w:hint="eastAsia" w:ascii="宋体" w:hAnsi="宋体" w:eastAsia="宋体" w:cs="宋体"/>
                <w:b w:val="0"/>
                <w:color w:val="auto"/>
                <w:kern w:val="2"/>
                <w:sz w:val="21"/>
                <w:szCs w:val="21"/>
                <w:highlight w:val="none"/>
                <w:lang w:val="en-US" w:eastAsia="zh-CN" w:bidi="ar-SA"/>
              </w:rPr>
              <w:t>)</w:t>
            </w:r>
            <w:r>
              <w:rPr>
                <w:rFonts w:hint="default" w:ascii="宋体" w:hAnsi="宋体" w:eastAsia="宋体" w:cs="宋体"/>
                <w:b w:val="0"/>
                <w:color w:val="auto"/>
                <w:kern w:val="2"/>
                <w:sz w:val="21"/>
                <w:szCs w:val="21"/>
                <w:highlight w:val="none"/>
                <w:lang w:val="en-US" w:eastAsia="zh-CN" w:bidi="ar-SA"/>
              </w:rPr>
              <w:t>供应商不能提供书面说明、证明材料，或者提供的书面说明、证明材料不能证明其报价合理性的，评审委员会应当将其作为无效投标（响应）处理。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7AABCEC">
            <w:pPr>
              <w:pStyle w:val="57"/>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rPr>
                <w:rFonts w:hint="eastAsia" w:ascii="宋体" w:hAnsi="宋体" w:eastAsia="宋体" w:cs="宋体"/>
                <w:b w:val="0"/>
                <w:bCs w:val="0"/>
                <w:color w:val="auto"/>
                <w:sz w:val="21"/>
                <w:szCs w:val="21"/>
                <w:highlight w:val="none"/>
                <w:lang w:val="en-US" w:eastAsia="zh-CN"/>
              </w:rPr>
            </w:pPr>
            <w:r>
              <w:rPr>
                <w:rFonts w:hint="eastAsia"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本项目领取中标、成交通知书时间为成交结果公告后7个工作日内。成交供应商应在领取中标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成交</w:t>
            </w:r>
            <w:r>
              <w:rPr>
                <w:rFonts w:hint="eastAsia" w:ascii="宋体" w:hAnsi="宋体" w:eastAsia="宋体" w:cs="宋体"/>
                <w:color w:val="auto"/>
                <w:sz w:val="21"/>
                <w:szCs w:val="21"/>
                <w:highlight w:val="none"/>
              </w:rPr>
              <w:t>通知书前向采购人提供与电子投标文件一致且加盖单位公章的响应文件纸质版</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份，当纸质版与电子交易平台上的电子投标文件不一致时，以平台中的电子投标文件为准。</w:t>
            </w:r>
          </w:p>
        </w:tc>
      </w:tr>
    </w:tbl>
    <w:p w14:paraId="20A29286">
      <w:pPr>
        <w:rPr>
          <w:color w:val="auto"/>
          <w:highlight w:val="none"/>
        </w:rPr>
      </w:pPr>
      <w:r>
        <w:rPr>
          <w:rFonts w:hint="eastAsia"/>
          <w:color w:val="auto"/>
          <w:highlight w:val="none"/>
        </w:rPr>
        <w:br w:type="page"/>
      </w:r>
    </w:p>
    <w:p w14:paraId="0776A7DC">
      <w:pPr>
        <w:pStyle w:val="3"/>
        <w:keepNext/>
        <w:keepLines/>
        <w:pageBreakBefore w:val="0"/>
        <w:widowControl w:val="0"/>
        <w:kinsoku/>
        <w:wordWrap/>
        <w:overflowPunct/>
        <w:topLinePunct w:val="0"/>
        <w:autoSpaceDE/>
        <w:autoSpaceDN/>
        <w:bidi w:val="0"/>
        <w:adjustRightInd/>
        <w:snapToGrid/>
        <w:spacing w:before="0" w:beforeLines="0" w:after="0" w:line="240" w:lineRule="auto"/>
        <w:jc w:val="center"/>
        <w:textAlignment w:val="auto"/>
        <w:rPr>
          <w:rFonts w:hint="eastAsia" w:ascii="宋体" w:hAnsi="宋体" w:eastAsia="宋体" w:cs="宋体"/>
          <w:b/>
          <w:bCs/>
          <w:color w:val="auto"/>
          <w:highlight w:val="none"/>
        </w:rPr>
      </w:pPr>
      <w:bookmarkStart w:id="42" w:name="_Toc5598"/>
      <w:bookmarkStart w:id="43" w:name="_Toc17012"/>
      <w:bookmarkStart w:id="44" w:name="_Toc15273"/>
      <w:bookmarkStart w:id="45" w:name="_Toc21546"/>
      <w:r>
        <w:rPr>
          <w:rFonts w:hint="eastAsia" w:ascii="宋体" w:hAnsi="宋体" w:eastAsia="宋体" w:cs="宋体"/>
          <w:b/>
          <w:bCs/>
          <w:color w:val="auto"/>
          <w:highlight w:val="none"/>
        </w:rPr>
        <w:t xml:space="preserve">第二节 </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须知正文</w:t>
      </w:r>
      <w:bookmarkEnd w:id="42"/>
      <w:bookmarkEnd w:id="43"/>
      <w:bookmarkEnd w:id="44"/>
      <w:bookmarkEnd w:id="45"/>
    </w:p>
    <w:p w14:paraId="50EC7C7F">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bookmarkStart w:id="46" w:name="_Toc24182"/>
      <w:bookmarkStart w:id="47" w:name="_Toc25461"/>
      <w:r>
        <w:rPr>
          <w:rFonts w:hint="eastAsia" w:ascii="Calibri" w:hAnsi="Calibri" w:eastAsia="宋体" w:cs="宋体"/>
          <w:b/>
          <w:bCs/>
          <w:color w:val="auto"/>
          <w:kern w:val="2"/>
          <w:sz w:val="24"/>
          <w:szCs w:val="24"/>
          <w:lang w:val="en-US" w:eastAsia="zh-CN" w:bidi="ar-SA"/>
        </w:rPr>
        <w:t>一、适用范围及谈判原则</w:t>
      </w:r>
    </w:p>
    <w:p w14:paraId="489D306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1．本谈判文件仅适用于本次谈判所述的项目采购。</w:t>
      </w:r>
    </w:p>
    <w:p w14:paraId="42819FA1">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kern w:val="2"/>
          <w:sz w:val="24"/>
          <w:szCs w:val="22"/>
          <w:lang w:val="en-US" w:eastAsia="zh-CN" w:bidi="ar-SA"/>
        </w:rPr>
      </w:pPr>
      <w:r>
        <w:rPr>
          <w:rFonts w:hint="eastAsia" w:ascii="宋体" w:hAnsi="宋体" w:eastAsia="宋体" w:cs="宋体"/>
          <w:color w:val="auto"/>
          <w:kern w:val="2"/>
          <w:sz w:val="24"/>
          <w:szCs w:val="22"/>
          <w:lang w:val="en-US" w:eastAsia="zh-CN" w:bidi="ar-SA"/>
        </w:rPr>
        <w:t>2．本次竞争性谈判遵循“公开、公平、公正”和“诚实信用”原则，适用“起始价规则”并按“价低者得”原则确定成交供应商。</w:t>
      </w:r>
    </w:p>
    <w:p w14:paraId="02882D4E">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二、定义</w:t>
      </w:r>
    </w:p>
    <w:p w14:paraId="7C4EEA9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货物：系指各种形态和种类的物品，包括原材料、燃料、设备、产品等。</w:t>
      </w:r>
    </w:p>
    <w:p w14:paraId="515035BF">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服务：系指除货物和工程以外的其他政府采购对象，包括咨询、调研、评估、规划、设计、监理、审计、保险、租赁、印刷、维修、物业管理等。</w:t>
      </w:r>
    </w:p>
    <w:p w14:paraId="64F8CDED">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color w:val="auto"/>
          <w:highlight w:val="none"/>
        </w:rPr>
        <w:t>工程</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系指建设工程，包括建筑物和构筑物的新建、改建、扩建、装修、拆除、修缮等</w:t>
      </w:r>
      <w:r>
        <w:rPr>
          <w:rFonts w:hint="eastAsia" w:ascii="宋体" w:hAnsi="宋体" w:eastAsia="宋体" w:cs="宋体"/>
          <w:color w:val="auto"/>
          <w:highlight w:val="none"/>
          <w:lang w:eastAsia="zh-CN"/>
        </w:rPr>
        <w:t>。</w:t>
      </w:r>
    </w:p>
    <w:p w14:paraId="0181FDBF">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时限（年份、月份等）计算：系指从</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之日向前追溯 X 年/月（“X”为“一”及以后整数）起算。</w:t>
      </w:r>
    </w:p>
    <w:p w14:paraId="137CE81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5．</w:t>
      </w:r>
      <w:r>
        <w:rPr>
          <w:rFonts w:hint="eastAsia" w:ascii="宋体" w:hAnsi="宋体" w:eastAsia="宋体" w:cs="宋体"/>
          <w:color w:val="auto"/>
          <w:highlight w:val="none"/>
        </w:rPr>
        <w:t>业绩：除非本谈判文件中另有规定，业绩系指符合本谈判文件规定且已供货（安装）完毕的与最终用户签订的合同。供应商与其关联公司（如母公司、控股公司、分公司、子公司、同一法定代表人的公司等）之间签订的合同，均不予认可。</w:t>
      </w:r>
    </w:p>
    <w:p w14:paraId="098EBAE2">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Chars="0" w:firstLine="480" w:firstLineChars="200"/>
        <w:textAlignment w:val="auto"/>
        <w:rPr>
          <w:rFonts w:hint="eastAsia" w:ascii="宋体" w:hAnsi="宋体" w:eastAsia="宋体" w:cs="宋体"/>
          <w:color w:val="auto"/>
          <w:highlight w:val="none"/>
        </w:rPr>
      </w:pPr>
      <w:r>
        <w:rPr>
          <w:rFonts w:hint="eastAsia" w:ascii="宋体" w:hAnsi="宋体" w:eastAsia="宋体" w:cs="宋体"/>
        </w:rPr>
        <w:t>除非本谈判文件中另有规定，否则业绩均为已供货（安装）完毕的业绩，业绩时间均以合同签订之日为追溯节点</w:t>
      </w:r>
      <w:r>
        <w:rPr>
          <w:rFonts w:hint="eastAsia" w:ascii="宋体" w:hAnsi="宋体" w:eastAsia="宋体" w:cs="宋体"/>
          <w:color w:val="auto"/>
          <w:highlight w:val="none"/>
        </w:rPr>
        <w:t>。</w:t>
      </w:r>
    </w:p>
    <w:p w14:paraId="71869CE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6．</w:t>
      </w:r>
      <w:r>
        <w:rPr>
          <w:rFonts w:hint="eastAsia" w:ascii="宋体" w:hAnsi="宋体" w:eastAsia="宋体" w:cs="宋体"/>
        </w:rPr>
        <w:t>谈判文件中没有提及采购货物来源地的，根据《中华人民共和国政府采购法》的相关规定均应是本国货物，优先采购节能、环保产品。谈判的货物必须是合法生产的符合国家有关标准要求的货物，并满足谈判文件规定的规格、参数、质量、价格、有效期、售后服务等要求</w:t>
      </w:r>
      <w:r>
        <w:rPr>
          <w:rFonts w:hint="eastAsia" w:ascii="宋体" w:hAnsi="宋体" w:eastAsia="宋体" w:cs="宋体"/>
          <w:color w:val="auto"/>
          <w:highlight w:val="none"/>
        </w:rPr>
        <w:t>。</w:t>
      </w:r>
    </w:p>
    <w:p w14:paraId="76AFE07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谈判文件所采购的货物、产品、配件等全部标的，均应是全新、未使用过的，是完全符合相应质量标准的原装正品。无论谈判文件是否列明，供应商所提供的货物、产品、配件均须符合国家产品质量、安全、卫生、环保、检疫检验、生产经营许可等现行法律法规的规定。</w:t>
      </w:r>
    </w:p>
    <w:p w14:paraId="222C72AD">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Chars="0" w:firstLine="48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本谈判文件所要求的证书、认证、资质，均应当是有权机构颁发，且在有效期内的</w:t>
      </w:r>
      <w:r>
        <w:rPr>
          <w:rFonts w:hint="eastAsia" w:ascii="宋体" w:hAnsi="宋体" w:eastAsia="宋体" w:cs="宋体"/>
          <w:color w:val="auto"/>
          <w:highlight w:val="none"/>
          <w:lang w:eastAsia="zh-CN"/>
        </w:rPr>
        <w:t>。</w:t>
      </w:r>
    </w:p>
    <w:p w14:paraId="0FC4A90B">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三、采购人、采购代理机构及供应商</w:t>
      </w:r>
    </w:p>
    <w:p w14:paraId="297AB4B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1．</w:t>
      </w:r>
      <w:r>
        <w:rPr>
          <w:rFonts w:hint="eastAsia"/>
          <w:color w:val="auto"/>
          <w:highlight w:val="none"/>
          <w:lang w:eastAsia="zh-CN"/>
        </w:rPr>
        <w:t>采购人</w:t>
      </w:r>
      <w:r>
        <w:rPr>
          <w:rFonts w:hint="eastAsia"/>
          <w:color w:val="auto"/>
          <w:highlight w:val="none"/>
        </w:rPr>
        <w:t>：</w:t>
      </w:r>
      <w:r>
        <w:rPr>
          <w:rFonts w:hint="eastAsia"/>
        </w:rPr>
        <w:t>是指依法开展政府采购活动的国家机关、事业单位、团体组织。本项目的采购人见</w:t>
      </w:r>
      <w:r>
        <w:rPr>
          <w:rFonts w:hint="eastAsia"/>
          <w:b/>
        </w:rPr>
        <w:t>【供应商须知前附表】</w:t>
      </w:r>
      <w:r>
        <w:rPr>
          <w:rFonts w:hint="eastAsia"/>
          <w:b/>
          <w:bCs/>
          <w:color w:val="auto"/>
          <w:highlight w:val="none"/>
        </w:rPr>
        <w:t>。</w:t>
      </w:r>
    </w:p>
    <w:p w14:paraId="0E42E248">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2．</w:t>
      </w:r>
      <w:r>
        <w:rPr>
          <w:rFonts w:hint="eastAsia"/>
        </w:rPr>
        <w:t>采购代理机构：是指集中采购机构或从事采购代理业务的社会中介机构。本项目的采购代理机构见</w:t>
      </w:r>
      <w:r>
        <w:rPr>
          <w:rFonts w:hint="eastAsia"/>
          <w:b/>
        </w:rPr>
        <w:t>【供应商须知前附表】</w:t>
      </w:r>
      <w:r>
        <w:rPr>
          <w:rFonts w:hint="eastAsia"/>
          <w:b/>
          <w:bCs/>
          <w:color w:val="auto"/>
          <w:highlight w:val="none"/>
        </w:rPr>
        <w:t>。</w:t>
      </w:r>
    </w:p>
    <w:p w14:paraId="007373D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3．</w:t>
      </w:r>
      <w:r>
        <w:rPr>
          <w:rFonts w:hint="eastAsia"/>
          <w:color w:val="auto"/>
          <w:highlight w:val="none"/>
          <w:lang w:eastAsia="zh-CN"/>
        </w:rPr>
        <w:t>供应商</w:t>
      </w:r>
      <w:r>
        <w:rPr>
          <w:rFonts w:hint="eastAsia"/>
          <w:color w:val="auto"/>
          <w:highlight w:val="none"/>
        </w:rPr>
        <w:t>：是指向采购人提供货物、工程或者服务的法人、非法人组织或者自然人。分支机构不得参加政府采购活动，但银行、保险、石油石化、电力、电信等特殊行业除外。本项目的供应商须满足以下条件：</w:t>
      </w:r>
    </w:p>
    <w:p w14:paraId="7C198A9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pPr>
      <w:r>
        <w:rPr>
          <w:rFonts w:hint="default" w:ascii="Times New Roman" w:hAnsi="Times New Roman" w:eastAsia="宋体" w:cs="Times New Roman"/>
          <w:kern w:val="2"/>
          <w:sz w:val="24"/>
          <w:szCs w:val="22"/>
          <w:lang w:val="en-US" w:eastAsia="zh-CN" w:bidi="ar-SA"/>
        </w:rPr>
        <w:t>(1)</w:t>
      </w:r>
      <w:r>
        <w:rPr>
          <w:rFonts w:hint="eastAsia" w:ascii="Times New Roman" w:hAnsi="Times New Roman" w:eastAsia="宋体" w:cs="Times New Roman"/>
        </w:rPr>
        <w:t>在</w:t>
      </w:r>
      <w:r>
        <w:rPr>
          <w:rFonts w:hint="eastAsia"/>
        </w:rPr>
        <w:t>中华人民共和国境内注册，能够独立承担民事责任，有生产或供应能力的本国供应商。</w:t>
      </w:r>
    </w:p>
    <w:p w14:paraId="1BADD1B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Times New Roman" w:hAnsi="Times New Roman" w:eastAsia="宋体" w:cs="Times New Roman"/>
        </w:rPr>
      </w:pPr>
      <w:r>
        <w:rPr>
          <w:rFonts w:hint="default" w:ascii="Times New Roman" w:hAnsi="Times New Roman" w:eastAsia="宋体" w:cs="Times New Roman"/>
          <w:kern w:val="2"/>
          <w:sz w:val="24"/>
          <w:szCs w:val="22"/>
          <w:lang w:val="en-US" w:eastAsia="zh-CN" w:bidi="ar-SA"/>
        </w:rPr>
        <w:t>(2)</w:t>
      </w:r>
      <w:r>
        <w:rPr>
          <w:rFonts w:hint="eastAsia" w:ascii="Times New Roman" w:hAnsi="Times New Roman" w:eastAsia="宋体" w:cs="Times New Roman"/>
        </w:rPr>
        <w:t>具备《中华人民共和国政府采购法》第二十二条关于供应商条件的规定，遵守本项目采购人本级和上级财政部门政府采购的有关规定。</w:t>
      </w:r>
    </w:p>
    <w:p w14:paraId="404EF2CC">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pPr>
      <w:r>
        <w:rPr>
          <w:rFonts w:hint="default" w:ascii="Times New Roman" w:hAnsi="Times New Roman" w:eastAsia="宋体" w:cs="Times New Roman"/>
          <w:kern w:val="2"/>
          <w:sz w:val="24"/>
          <w:szCs w:val="22"/>
          <w:lang w:val="en-US" w:eastAsia="zh-CN" w:bidi="ar-SA"/>
        </w:rPr>
        <w:t>(3)</w:t>
      </w:r>
      <w:r>
        <w:rPr>
          <w:rFonts w:hint="eastAsia" w:ascii="Times New Roman" w:hAnsi="Times New Roman" w:eastAsia="宋体" w:cs="Times New Roman"/>
        </w:rPr>
        <w:t>以采购代理机构认可的方式获得了本项目的谈判文件。</w:t>
      </w:r>
    </w:p>
    <w:p w14:paraId="76B5FB20">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pPr>
      <w:r>
        <w:rPr>
          <w:rFonts w:hint="default" w:ascii="Times New Roman" w:hAnsi="Times New Roman" w:eastAsia="宋体" w:cs="Times New Roman"/>
          <w:kern w:val="2"/>
          <w:sz w:val="24"/>
          <w:szCs w:val="22"/>
          <w:lang w:val="en-US" w:eastAsia="zh-CN" w:bidi="ar-SA"/>
        </w:rPr>
        <w:t>(4)</w:t>
      </w:r>
      <w:r>
        <w:rPr>
          <w:rFonts w:hint="eastAsia" w:ascii="Times New Roman" w:hAnsi="Times New Roman" w:eastAsia="宋体" w:cs="Times New Roman"/>
        </w:rPr>
        <w:t>若</w:t>
      </w:r>
      <w:r>
        <w:rPr>
          <w:rFonts w:hint="eastAsia"/>
          <w:b/>
        </w:rPr>
        <w:t>【供应商须知前附表】</w:t>
      </w:r>
      <w:r>
        <w:rPr>
          <w:rFonts w:hint="eastAsia"/>
        </w:rPr>
        <w:t>中写明专门面向中小企业采购的，如供应商为非中小企业，其响应文件将被认定为</w:t>
      </w:r>
      <w:r>
        <w:rPr>
          <w:rFonts w:hint="eastAsia"/>
          <w:b/>
        </w:rPr>
        <w:t>响应无效</w:t>
      </w:r>
      <w:r>
        <w:rPr>
          <w:rFonts w:hint="eastAsia"/>
        </w:rPr>
        <w:t>。</w:t>
      </w:r>
    </w:p>
    <w:p w14:paraId="452D946D">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pPr>
      <w:r>
        <w:rPr>
          <w:rFonts w:hint="default" w:ascii="Times New Roman" w:hAnsi="Times New Roman" w:eastAsia="宋体" w:cs="Times New Roman"/>
          <w:kern w:val="2"/>
          <w:sz w:val="24"/>
          <w:szCs w:val="22"/>
          <w:lang w:val="en-US" w:eastAsia="zh-CN" w:bidi="ar-SA"/>
        </w:rPr>
        <w:t>(5)</w:t>
      </w:r>
      <w:r>
        <w:rPr>
          <w:rFonts w:hint="eastAsia"/>
        </w:rPr>
        <w:t>若</w:t>
      </w:r>
      <w:r>
        <w:rPr>
          <w:rFonts w:hint="eastAsia"/>
          <w:b/>
        </w:rPr>
        <w:t>【供应商须知前附表】</w:t>
      </w:r>
      <w:r>
        <w:rPr>
          <w:rFonts w:hint="eastAsia"/>
        </w:rPr>
        <w:t>中写明允许采购进口产品，供应商应保证所投产品可履行合法报通关手续进入中国关境内。</w:t>
      </w:r>
    </w:p>
    <w:p w14:paraId="6B33EED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pPr>
      <w:r>
        <w:rPr>
          <w:rFonts w:hint="eastAsia"/>
        </w:rPr>
        <w:t>若</w:t>
      </w:r>
      <w:r>
        <w:rPr>
          <w:rFonts w:hint="eastAsia"/>
          <w:b/>
        </w:rPr>
        <w:t>【供应商须知前附表】</w:t>
      </w:r>
      <w:r>
        <w:rPr>
          <w:rFonts w:hint="eastAsia"/>
        </w:rPr>
        <w:t>中未写明允许采购进口产品，如供应商所投产品为进口产品，其响应文件将被认定为</w:t>
      </w:r>
      <w:r>
        <w:rPr>
          <w:rFonts w:hint="eastAsia"/>
          <w:b/>
        </w:rPr>
        <w:t>响应无效</w:t>
      </w:r>
      <w:r>
        <w:rPr>
          <w:rFonts w:hint="eastAsia"/>
        </w:rPr>
        <w:t>。</w:t>
      </w:r>
    </w:p>
    <w:p w14:paraId="4657DC9A">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2"/>
          <w:sz w:val="24"/>
          <w:szCs w:val="22"/>
          <w:lang w:val="en-US" w:eastAsia="zh-CN" w:bidi="ar-SA"/>
        </w:rPr>
        <w:t>4．</w:t>
      </w:r>
      <w:r>
        <w:rPr>
          <w:rFonts w:hint="eastAsia" w:ascii="Times New Roman" w:hAnsi="Times New Roman" w:eastAsia="宋体" w:cs="Times New Roman"/>
          <w:color w:val="auto"/>
          <w:highlight w:val="none"/>
          <w:lang w:eastAsia="zh-CN"/>
        </w:rPr>
        <w:t>若</w:t>
      </w:r>
      <w:r>
        <w:rPr>
          <w:rFonts w:hint="eastAsia"/>
          <w:b/>
        </w:rPr>
        <w:t>【供应商须知前附表】</w:t>
      </w:r>
      <w:r>
        <w:rPr>
          <w:rFonts w:hint="eastAsia" w:ascii="Times New Roman" w:hAnsi="Times New Roman" w:eastAsia="宋体" w:cs="Times New Roman"/>
          <w:color w:val="auto"/>
          <w:highlight w:val="none"/>
          <w:lang w:eastAsia="zh-CN"/>
        </w:rPr>
        <w:t>中允许联合形式，对联合体规定如下：</w:t>
      </w:r>
    </w:p>
    <w:p w14:paraId="62F58996">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rFonts w:hint="eastAsia" w:ascii="Times New Roman" w:hAnsi="Times New Roman" w:eastAsia="宋体" w:cs="Times New Roman"/>
          <w:b/>
          <w:bCs/>
        </w:rPr>
      </w:pPr>
      <w:r>
        <w:rPr>
          <w:rFonts w:hint="eastAsia" w:ascii="Times New Roman" w:hAnsi="Times New Roman" w:eastAsia="宋体" w:cs="Times New Roman"/>
          <w:b/>
          <w:bCs/>
        </w:rPr>
        <w:t>两个以上供应商可以组成一个联合体，以一个供应商的身份谈判。</w:t>
      </w:r>
    </w:p>
    <w:p w14:paraId="63878840">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rFonts w:hint="eastAsia" w:ascii="Times New Roman" w:hAnsi="Times New Roman" w:eastAsia="宋体" w:cs="Times New Roman"/>
          <w:b/>
          <w:bCs/>
        </w:rPr>
      </w:pPr>
      <w:r>
        <w:rPr>
          <w:rFonts w:hint="eastAsia" w:ascii="Times New Roman" w:hAnsi="Times New Roman" w:eastAsia="宋体" w:cs="Times New Roman"/>
          <w:b/>
          <w:bCs/>
        </w:rPr>
        <w:t>联合体各方均应符合《中华人民共和国政府采购法》第二十二条规定的条件。</w:t>
      </w:r>
    </w:p>
    <w:p w14:paraId="13AC96ED">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rFonts w:hint="eastAsia" w:ascii="Times New Roman" w:hAnsi="Times New Roman" w:eastAsia="宋体" w:cs="Times New Roman"/>
          <w:b/>
          <w:bCs/>
        </w:rPr>
      </w:pPr>
      <w:r>
        <w:rPr>
          <w:rFonts w:hint="eastAsia" w:ascii="Times New Roman" w:hAnsi="Times New Roman" w:eastAsia="宋体" w:cs="Times New Roman"/>
          <w:b/>
          <w:bCs/>
        </w:rPr>
        <w:t>采购人根据采购项目对供应商的特殊要求，联合体中至少应当有一方符合相关规定。</w:t>
      </w:r>
    </w:p>
    <w:p w14:paraId="6BBBDF2F">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rFonts w:hint="eastAsia" w:ascii="Times New Roman" w:hAnsi="Times New Roman" w:eastAsia="宋体" w:cs="Times New Roman"/>
          <w:b/>
          <w:bCs/>
        </w:rPr>
      </w:pPr>
      <w:r>
        <w:rPr>
          <w:rFonts w:hint="eastAsia" w:ascii="Times New Roman" w:hAnsi="Times New Roman" w:eastAsia="宋体" w:cs="Times New Roman"/>
          <w:b/>
          <w:bCs/>
        </w:rPr>
        <w:t>联合体各方应签订联合体协议，明确约定联合体各方承担的工作和相应的责任，并将联合体协议作为响应文件的一部分提交。</w:t>
      </w:r>
    </w:p>
    <w:p w14:paraId="6BDB08F7">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rFonts w:hint="eastAsia" w:ascii="Times New Roman" w:hAnsi="Times New Roman" w:eastAsia="宋体" w:cs="Times New Roman"/>
          <w:b/>
          <w:bCs/>
        </w:rPr>
      </w:pPr>
      <w:r>
        <w:rPr>
          <w:rFonts w:hint="eastAsia" w:ascii="Times New Roman" w:hAnsi="Times New Roman" w:eastAsia="宋体" w:cs="Times New Roman"/>
          <w:b/>
          <w:bCs/>
        </w:rPr>
        <w:t>大中型企业、其他自然人、法人或者非法人组织与小型、微型企业组成联合体共同参加谈判，联合体协议中应写明小型、微型企业的协议合同金额占到联合体协议报价总金额的比例。</w:t>
      </w:r>
    </w:p>
    <w:p w14:paraId="249731C7">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rFonts w:hint="eastAsia" w:ascii="Times New Roman" w:hAnsi="Times New Roman" w:eastAsia="宋体" w:cs="Times New Roman"/>
          <w:b/>
          <w:bCs/>
        </w:rPr>
      </w:pPr>
      <w:r>
        <w:rPr>
          <w:rFonts w:hint="eastAsia" w:ascii="Times New Roman" w:hAnsi="Times New Roman" w:eastAsia="宋体" w:cs="Times New Roman"/>
          <w:b/>
          <w:bCs/>
        </w:rPr>
        <w:t>联合体中有同类资质的供应商按照联合体分工承担相同工作的，应当按照资质等级较低的供应商确定资质等级。</w:t>
      </w:r>
    </w:p>
    <w:p w14:paraId="0D3026A9">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b/>
          <w:bCs/>
        </w:rPr>
      </w:pPr>
      <w:r>
        <w:rPr>
          <w:rFonts w:hint="eastAsia" w:ascii="Times New Roman" w:hAnsi="Times New Roman" w:eastAsia="宋体" w:cs="Times New Roman"/>
          <w:b/>
          <w:bCs/>
        </w:rPr>
        <w:t>以联合体形式参加政府采购活动的，联合体各方不得再单独参加或者与其他供应商另外组成联合体参加</w:t>
      </w:r>
      <w:r>
        <w:rPr>
          <w:rFonts w:hint="eastAsia"/>
          <w:b/>
          <w:bCs/>
        </w:rPr>
        <w:t>本项目谈判，否则相关响应文件将被认定为响应无效。</w:t>
      </w:r>
    </w:p>
    <w:p w14:paraId="2CACEE03">
      <w:pPr>
        <w:pStyle w:val="44"/>
        <w:keepNext w:val="0"/>
        <w:keepLines w:val="0"/>
        <w:pageBreakBefore w:val="0"/>
        <w:widowControl w:val="0"/>
        <w:numPr>
          <w:ilvl w:val="0"/>
          <w:numId w:val="6"/>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rFonts w:hint="eastAsia" w:ascii="Times New Roman" w:hAnsi="Times New Roman" w:eastAsia="宋体" w:cs="Times New Roman"/>
          <w:b/>
          <w:bCs/>
        </w:rPr>
      </w:pPr>
      <w:r>
        <w:rPr>
          <w:rFonts w:hint="eastAsia" w:ascii="Times New Roman" w:hAnsi="Times New Roman" w:eastAsia="宋体" w:cs="Times New Roman"/>
          <w:b/>
          <w:bCs/>
        </w:rPr>
        <w:t>对联合体形式的其他资格要求见供应商资格。</w:t>
      </w:r>
    </w:p>
    <w:p w14:paraId="5DE466E7">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2"/>
          <w:sz w:val="24"/>
          <w:szCs w:val="22"/>
          <w:lang w:val="en-US" w:eastAsia="zh-CN" w:bidi="ar-SA"/>
        </w:rPr>
        <w:t>5．</w:t>
      </w:r>
      <w:r>
        <w:rPr>
          <w:rFonts w:hint="eastAsia" w:ascii="Times New Roman" w:hAnsi="Times New Roman" w:eastAsia="宋体" w:cs="Times New Roman"/>
          <w:color w:val="auto"/>
          <w:highlight w:val="none"/>
          <w:lang w:eastAsia="zh-CN"/>
        </w:rPr>
        <w:t>单位负责人为同一人或者存在直接控股、管理关系的不同供应商，不得参加同一合同项下的政府采购活动。否则其将被认定为</w:t>
      </w:r>
      <w:r>
        <w:rPr>
          <w:rFonts w:hint="eastAsia" w:ascii="Times New Roman" w:hAnsi="Times New Roman" w:eastAsia="宋体" w:cs="Times New Roman"/>
          <w:b/>
          <w:lang w:eastAsia="zh-CN"/>
        </w:rPr>
        <w:t>响应无效</w:t>
      </w:r>
      <w:r>
        <w:rPr>
          <w:rFonts w:hint="eastAsia" w:ascii="Times New Roman" w:hAnsi="Times New Roman" w:eastAsia="宋体" w:cs="Times New Roman"/>
          <w:color w:val="auto"/>
          <w:highlight w:val="none"/>
          <w:lang w:eastAsia="zh-CN"/>
        </w:rPr>
        <w:t>。</w:t>
      </w:r>
    </w:p>
    <w:p w14:paraId="6D933268">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kern w:val="2"/>
          <w:sz w:val="24"/>
          <w:szCs w:val="22"/>
          <w:lang w:val="en-US" w:eastAsia="zh-CN" w:bidi="ar-SA"/>
        </w:rPr>
        <w:t>6．</w:t>
      </w:r>
      <w:r>
        <w:rPr>
          <w:rFonts w:hint="eastAsia" w:ascii="Times New Roman" w:hAnsi="Times New Roman" w:eastAsia="宋体" w:cs="Times New Roman"/>
          <w:color w:val="auto"/>
          <w:highlight w:val="none"/>
          <w:lang w:eastAsia="zh-CN"/>
        </w:rPr>
        <w:t>为本项目提供过整体设计、规范编制或者项目管理、监理、检测等服务的供应商，不得再参加本项目上述服务以外的其他采购活动。否则其将被认定为</w:t>
      </w:r>
      <w:r>
        <w:rPr>
          <w:rFonts w:hint="eastAsia" w:ascii="Times New Roman" w:hAnsi="Times New Roman" w:eastAsia="宋体" w:cs="Times New Roman"/>
          <w:b/>
          <w:bCs/>
          <w:color w:val="auto"/>
          <w:highlight w:val="none"/>
          <w:lang w:eastAsia="zh-CN"/>
        </w:rPr>
        <w:t>响应无效</w:t>
      </w:r>
      <w:r>
        <w:rPr>
          <w:rFonts w:hint="eastAsia" w:ascii="Times New Roman" w:hAnsi="Times New Roman" w:eastAsia="宋体" w:cs="Times New Roman"/>
          <w:color w:val="auto"/>
          <w:highlight w:val="none"/>
          <w:lang w:eastAsia="zh-CN"/>
        </w:rPr>
        <w:t>。</w:t>
      </w:r>
    </w:p>
    <w:p w14:paraId="2ED01B9E">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四、资金来源</w:t>
      </w:r>
    </w:p>
    <w:p w14:paraId="07C77309">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1．</w:t>
      </w:r>
      <w:r>
        <w:rPr>
          <w:rFonts w:hint="eastAsia"/>
        </w:rPr>
        <w:t>本项目的采购人已获得足以支付本次谈判后所签订的合同项下的资金</w:t>
      </w:r>
      <w:r>
        <w:rPr>
          <w:rFonts w:hint="eastAsia"/>
          <w:color w:val="auto"/>
          <w:highlight w:val="none"/>
        </w:rPr>
        <w:t>。</w:t>
      </w:r>
    </w:p>
    <w:p w14:paraId="16C990DF">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2．</w:t>
      </w:r>
      <w:r>
        <w:rPr>
          <w:rFonts w:hint="eastAsia"/>
        </w:rPr>
        <w:t>项目预算金额或分项（或分包）预算金额见</w:t>
      </w:r>
      <w:r>
        <w:rPr>
          <w:rFonts w:hint="eastAsia"/>
          <w:u w:val="single"/>
          <w:lang w:val="en-US" w:eastAsia="zh-CN"/>
        </w:rPr>
        <w:t>竞争性</w:t>
      </w:r>
      <w:r>
        <w:rPr>
          <w:rFonts w:hint="eastAsia"/>
          <w:u w:val="single"/>
        </w:rPr>
        <w:t>谈判</w:t>
      </w:r>
      <w:r>
        <w:rPr>
          <w:rFonts w:hint="eastAsia"/>
          <w:u w:val="single"/>
          <w:lang w:val="en-US" w:eastAsia="zh-CN"/>
        </w:rPr>
        <w:t>公告</w:t>
      </w:r>
      <w:r>
        <w:rPr>
          <w:rFonts w:hint="eastAsia"/>
          <w:color w:val="auto"/>
          <w:highlight w:val="none"/>
        </w:rPr>
        <w:t>。</w:t>
      </w:r>
    </w:p>
    <w:p w14:paraId="3F9B01C9">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五、谈判费用</w:t>
      </w:r>
    </w:p>
    <w:p w14:paraId="64E67F1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highlight w:val="none"/>
        </w:rPr>
      </w:pPr>
      <w:r>
        <w:rPr>
          <w:rFonts w:hint="eastAsia"/>
          <w:color w:val="auto"/>
          <w:highlight w:val="none"/>
        </w:rPr>
        <w:t>不论谈判的结果如何，供应商应承担其所有与准备和参加谈判有关的费用。</w:t>
      </w:r>
    </w:p>
    <w:p w14:paraId="1B70935F">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六、节能产品、环境标志产品</w:t>
      </w:r>
    </w:p>
    <w:p w14:paraId="60783E7D">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0F6D325F">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拟采购的产品属于品目清单范围的，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及其委托的</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48D072E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color w:val="auto"/>
          <w:highlight w:val="none"/>
        </w:rPr>
        <w:t>如本项目采购产品属于实施政府强制采购品目清单范围的节能产品，则</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所报产品必须获得国家确定的认证机构出具的、处于有效期之内的节能产品认证证书，否则响应无效；</w:t>
      </w:r>
    </w:p>
    <w:p w14:paraId="7805033C">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非政府强制采购的节能产品或环境标志产品，依据品目清单和认证证书实施政府优先采购。优先采购的具体规定见第四章《评审方法和评审标准》（如涉及）。</w:t>
      </w:r>
    </w:p>
    <w:p w14:paraId="2D57D52D">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七、适用法律</w:t>
      </w:r>
    </w:p>
    <w:p w14:paraId="001CF4C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firstLine="480" w:firstLineChars="200"/>
        <w:textAlignment w:val="auto"/>
        <w:rPr>
          <w:rFonts w:hint="eastAsia"/>
          <w:color w:val="auto"/>
          <w:highlight w:val="none"/>
        </w:rPr>
      </w:pPr>
      <w:r>
        <w:rPr>
          <w:rFonts w:hint="eastAsia"/>
          <w:color w:val="auto"/>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30EF1B8">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八、现场考察</w:t>
      </w:r>
    </w:p>
    <w:p w14:paraId="4C08B303">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color w:val="auto"/>
          <w:highlight w:val="none"/>
        </w:rPr>
      </w:pPr>
      <w:r>
        <w:rPr>
          <w:rFonts w:hint="default" w:ascii="Times New Roman" w:hAnsi="Times New Roman" w:eastAsia="宋体" w:cs="Times New Roman"/>
          <w:color w:val="auto"/>
          <w:kern w:val="2"/>
          <w:sz w:val="24"/>
          <w:szCs w:val="22"/>
          <w:lang w:val="en-US" w:eastAsia="zh-CN" w:bidi="ar-SA"/>
        </w:rPr>
        <w:t>(1)</w:t>
      </w:r>
      <w:r>
        <w:rPr>
          <w:rFonts w:hint="eastAsia"/>
          <w:color w:val="auto"/>
          <w:highlight w:val="none"/>
        </w:rPr>
        <w:t>供应商应按</w:t>
      </w:r>
      <w:r>
        <w:rPr>
          <w:rFonts w:hint="eastAsia"/>
          <w:b/>
          <w:bCs/>
          <w:color w:val="auto"/>
          <w:highlight w:val="none"/>
        </w:rPr>
        <w:t>【供应商须知前附表】</w:t>
      </w:r>
      <w:r>
        <w:rPr>
          <w:rFonts w:hint="eastAsia"/>
          <w:color w:val="auto"/>
          <w:highlight w:val="none"/>
        </w:rPr>
        <w:t>中规定对采购项目现场和周围环境的现场考察；</w:t>
      </w:r>
    </w:p>
    <w:p w14:paraId="4BFB5BD2">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color w:val="auto"/>
          <w:highlight w:val="none"/>
        </w:rPr>
      </w:pPr>
      <w:r>
        <w:rPr>
          <w:rFonts w:hint="default" w:ascii="Times New Roman" w:hAnsi="Times New Roman" w:eastAsia="宋体" w:cs="Times New Roman"/>
          <w:color w:val="auto"/>
          <w:kern w:val="2"/>
          <w:sz w:val="24"/>
          <w:szCs w:val="22"/>
          <w:lang w:val="en-US" w:eastAsia="zh-CN" w:bidi="ar-SA"/>
        </w:rPr>
        <w:t>(2)</w:t>
      </w:r>
      <w:r>
        <w:rPr>
          <w:rFonts w:hint="eastAsia"/>
          <w:color w:val="auto"/>
          <w:highlight w:val="none"/>
        </w:rPr>
        <w:t>考察现场的费用由供应商自己承担，考察期间所发生的人身伤害及财产损失由供应商自己负责；</w:t>
      </w:r>
    </w:p>
    <w:p w14:paraId="34D460C9">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(3)</w:t>
      </w:r>
      <w:r>
        <w:rPr>
          <w:rFonts w:hint="eastAsia"/>
          <w:color w:val="auto"/>
          <w:highlight w:val="none"/>
        </w:rPr>
        <w:t>采购人不对供应商据此而做出的推论、理解和结论负责。一旦成交，供应商不得以任何借口，提出额外补偿，或延长合同期限的要求。</w:t>
      </w:r>
    </w:p>
    <w:p w14:paraId="47D7A965">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九、谈判文件构成</w:t>
      </w:r>
    </w:p>
    <w:p w14:paraId="67B07AC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1．</w:t>
      </w:r>
      <w:r>
        <w:rPr>
          <w:rFonts w:hint="eastAsia"/>
          <w:color w:val="auto"/>
          <w:highlight w:val="none"/>
          <w:lang w:val="en-US" w:eastAsia="zh-CN"/>
        </w:rPr>
        <w:t>谈判</w:t>
      </w:r>
      <w:r>
        <w:rPr>
          <w:rFonts w:hint="eastAsia"/>
          <w:color w:val="auto"/>
          <w:highlight w:val="none"/>
        </w:rPr>
        <w:t>文件包括下列内容：</w:t>
      </w:r>
    </w:p>
    <w:p w14:paraId="011EC09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eastAsia"/>
          <w:color w:val="auto"/>
          <w:highlight w:val="none"/>
        </w:rPr>
        <w:t>第一章 </w:t>
      </w:r>
      <w:r>
        <w:rPr>
          <w:rFonts w:hint="eastAsia"/>
          <w:color w:val="auto"/>
          <w:highlight w:val="none"/>
          <w:lang w:val="en-US" w:eastAsia="zh-CN"/>
        </w:rPr>
        <w:t>竞争性谈判</w:t>
      </w:r>
      <w:r>
        <w:rPr>
          <w:rFonts w:hint="eastAsia"/>
          <w:color w:val="auto"/>
          <w:highlight w:val="none"/>
        </w:rPr>
        <w:t>公告</w:t>
      </w:r>
    </w:p>
    <w:p w14:paraId="50BB61A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eastAsia"/>
          <w:color w:val="auto"/>
          <w:highlight w:val="none"/>
        </w:rPr>
        <w:t>第二章 </w:t>
      </w:r>
      <w:r>
        <w:rPr>
          <w:rFonts w:hint="eastAsia"/>
          <w:color w:val="auto"/>
          <w:highlight w:val="none"/>
          <w:lang w:eastAsia="zh-CN"/>
        </w:rPr>
        <w:t>供应商</w:t>
      </w:r>
      <w:r>
        <w:rPr>
          <w:rFonts w:hint="eastAsia"/>
          <w:color w:val="auto"/>
          <w:highlight w:val="none"/>
        </w:rPr>
        <w:t>须知</w:t>
      </w:r>
    </w:p>
    <w:p w14:paraId="3D1884A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eastAsia"/>
          <w:color w:val="auto"/>
          <w:highlight w:val="none"/>
        </w:rPr>
        <w:t xml:space="preserve">第三章 </w:t>
      </w:r>
      <w:r>
        <w:rPr>
          <w:rFonts w:hint="eastAsia"/>
          <w:color w:val="auto"/>
          <w:highlight w:val="none"/>
          <w:lang w:val="en-US" w:eastAsia="zh-CN"/>
        </w:rPr>
        <w:t>采购</w:t>
      </w:r>
      <w:r>
        <w:rPr>
          <w:rFonts w:hint="eastAsia"/>
          <w:color w:val="auto"/>
          <w:highlight w:val="none"/>
        </w:rPr>
        <w:t>需求</w:t>
      </w:r>
    </w:p>
    <w:p w14:paraId="6A5511A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eastAsia"/>
          <w:color w:val="auto"/>
          <w:highlight w:val="none"/>
        </w:rPr>
        <w:t>第四章 评审方法及标准</w:t>
      </w:r>
    </w:p>
    <w:p w14:paraId="063CA38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eastAsia"/>
          <w:color w:val="auto"/>
          <w:highlight w:val="none"/>
        </w:rPr>
        <w:t>第五章 政府采购合同</w:t>
      </w:r>
      <w:r>
        <w:rPr>
          <w:rFonts w:hint="eastAsia"/>
          <w:color w:val="auto"/>
          <w:highlight w:val="none"/>
          <w:lang w:val="en-US" w:eastAsia="zh-CN"/>
        </w:rPr>
        <w:t>参考范本</w:t>
      </w:r>
      <w:r>
        <w:rPr>
          <w:rFonts w:hint="eastAsia"/>
          <w:color w:val="auto"/>
          <w:highlight w:val="none"/>
        </w:rPr>
        <w:t xml:space="preserve"> </w:t>
      </w:r>
    </w:p>
    <w:p w14:paraId="7E2012A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eastAsia"/>
          <w:color w:val="auto"/>
          <w:highlight w:val="none"/>
        </w:rPr>
        <w:t>第六章 响应文件组成</w:t>
      </w:r>
    </w:p>
    <w:p w14:paraId="7EFCD57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eastAsia"/>
          <w:color w:val="auto"/>
          <w:highlight w:val="none"/>
        </w:rPr>
        <w:t>第七章 政府采购供应商质疑函范本</w:t>
      </w:r>
    </w:p>
    <w:p w14:paraId="6148C70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2．</w:t>
      </w:r>
      <w:r>
        <w:rPr>
          <w:rFonts w:hint="eastAsia"/>
          <w:color w:val="auto"/>
          <w:highlight w:val="none"/>
          <w:lang w:val="en-US" w:eastAsia="zh-CN"/>
        </w:rPr>
        <w:t>谈判</w:t>
      </w:r>
      <w:r>
        <w:rPr>
          <w:rFonts w:hint="eastAsia"/>
          <w:color w:val="auto"/>
          <w:highlight w:val="none"/>
        </w:rPr>
        <w:t>文件中有不一致的，有澄清的部分以最终的澄清更正内容为准。</w:t>
      </w:r>
    </w:p>
    <w:p w14:paraId="5BB14897">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3．</w:t>
      </w:r>
      <w:r>
        <w:rPr>
          <w:rFonts w:hint="eastAsia"/>
          <w:color w:val="auto"/>
          <w:highlight w:val="none"/>
        </w:rPr>
        <w:t>现场考察及相关事项见</w:t>
      </w:r>
      <w:r>
        <w:rPr>
          <w:rFonts w:hint="eastAsia"/>
          <w:b/>
          <w:bCs/>
          <w:color w:val="auto"/>
          <w:highlight w:val="none"/>
        </w:rPr>
        <w:t>【</w:t>
      </w:r>
      <w:r>
        <w:rPr>
          <w:rFonts w:hint="eastAsia"/>
          <w:b/>
          <w:bCs/>
          <w:color w:val="auto"/>
          <w:highlight w:val="none"/>
          <w:lang w:eastAsia="zh-CN"/>
        </w:rPr>
        <w:t>供应商</w:t>
      </w:r>
      <w:r>
        <w:rPr>
          <w:rFonts w:hint="eastAsia"/>
          <w:b/>
          <w:bCs/>
          <w:color w:val="auto"/>
          <w:highlight w:val="none"/>
        </w:rPr>
        <w:t>须知前附表】。</w:t>
      </w:r>
    </w:p>
    <w:p w14:paraId="07191B5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4．</w:t>
      </w:r>
      <w:r>
        <w:rPr>
          <w:rFonts w:hint="eastAsia"/>
          <w:color w:val="auto"/>
          <w:highlight w:val="none"/>
          <w:lang w:eastAsia="zh-CN"/>
        </w:rPr>
        <w:t>供应商</w:t>
      </w:r>
      <w:r>
        <w:rPr>
          <w:rFonts w:hint="eastAsia"/>
          <w:color w:val="auto"/>
          <w:highlight w:val="none"/>
        </w:rPr>
        <w:t>应认真阅读</w:t>
      </w:r>
      <w:r>
        <w:rPr>
          <w:rFonts w:hint="eastAsia"/>
          <w:color w:val="auto"/>
          <w:highlight w:val="none"/>
          <w:lang w:val="en-US" w:eastAsia="zh-CN"/>
        </w:rPr>
        <w:t>谈判</w:t>
      </w:r>
      <w:r>
        <w:rPr>
          <w:rFonts w:hint="eastAsia"/>
          <w:color w:val="auto"/>
          <w:highlight w:val="none"/>
        </w:rPr>
        <w:t>文件所有的事项、格式、条款和技术规范等。</w:t>
      </w:r>
    </w:p>
    <w:p w14:paraId="0100DAAC">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十、谈判文件的澄清与修改</w:t>
      </w:r>
    </w:p>
    <w:p w14:paraId="7BF7B42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1．</w:t>
      </w:r>
      <w:r>
        <w:rPr>
          <w:rFonts w:hint="eastAsia"/>
          <w:bCs/>
        </w:rPr>
        <w:t>供应商如</w:t>
      </w:r>
      <w:r>
        <w:rPr>
          <w:rFonts w:hint="eastAsia"/>
        </w:rPr>
        <w:t>对谈判文件内容有疑问，必须在</w:t>
      </w:r>
      <w:r>
        <w:rPr>
          <w:rFonts w:hint="eastAsia"/>
          <w:b/>
        </w:rPr>
        <w:t>【供应商须知前附表】</w:t>
      </w:r>
      <w:r>
        <w:rPr>
          <w:rFonts w:hint="eastAsia"/>
        </w:rPr>
        <w:t>规定的询问截止时间前以书面提问形式提交给采购代理机构</w:t>
      </w:r>
      <w:r>
        <w:rPr>
          <w:rFonts w:hint="eastAsia"/>
          <w:color w:val="auto"/>
          <w:highlight w:val="none"/>
        </w:rPr>
        <w:t>。</w:t>
      </w:r>
    </w:p>
    <w:p w14:paraId="6C5F0E50">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2．</w:t>
      </w:r>
      <w:r>
        <w:rPr>
          <w:rFonts w:hint="eastAsia"/>
        </w:rPr>
        <w:t>采购人可主动地或在解答供应商提出的问题时对谈判文件进行澄清与修改。采购代理机构将在湖南省政府采购网及张家界市公共资源交易网以发布澄清（更正）公告的方式，澄清或修改谈判文件，澄清或修改的内容作为谈判文件的组成部分，对供应商起约束作用。供应商应主动上网查询。采购代理机构不承担供应商未及时关注相关信息引发的相关责任</w:t>
      </w:r>
      <w:r>
        <w:rPr>
          <w:rFonts w:hint="eastAsia"/>
          <w:color w:val="auto"/>
          <w:highlight w:val="none"/>
        </w:rPr>
        <w:t>。</w:t>
      </w:r>
    </w:p>
    <w:p w14:paraId="631C3629">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3．</w:t>
      </w:r>
      <w:r>
        <w:rPr>
          <w:rFonts w:hint="eastAsia"/>
        </w:rPr>
        <w:t>任何人或任何组织向供应商提供的任何书面或口头资料，未经采购代理机构在网上发布或书面通知，均作无效处理，不得作为谈判文件的组成部分。采购代理机构对供应商由此而做出的推论、理解和结论概不负责</w:t>
      </w:r>
      <w:r>
        <w:rPr>
          <w:rFonts w:hint="eastAsia"/>
          <w:color w:val="auto"/>
          <w:highlight w:val="none"/>
        </w:rPr>
        <w:t>。</w:t>
      </w:r>
    </w:p>
    <w:p w14:paraId="57D5A328">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4．</w:t>
      </w:r>
      <w:r>
        <w:rPr>
          <w:rFonts w:hint="eastAsia"/>
        </w:rPr>
        <w:t>对于没有提出疑问又参与了本项目谈判的供应商将被视为完全认同本谈判文件（含澄清或修改的内容）</w:t>
      </w:r>
      <w:r>
        <w:rPr>
          <w:rFonts w:hint="eastAsia"/>
          <w:color w:val="auto"/>
          <w:highlight w:val="none"/>
        </w:rPr>
        <w:t>。</w:t>
      </w:r>
    </w:p>
    <w:p w14:paraId="28077601">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十一、响应范围及响应文件中标准和计量单位的使用</w:t>
      </w:r>
    </w:p>
    <w:p w14:paraId="19FB258A">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1．</w:t>
      </w:r>
      <w:r>
        <w:rPr>
          <w:rFonts w:hint="eastAsia"/>
        </w:rPr>
        <w:t>项目有分包的，供应商可参与其中某一个或多个分包的谈判，成交包数详见</w:t>
      </w:r>
      <w:r>
        <w:rPr>
          <w:rFonts w:hint="eastAsia"/>
          <w:b/>
        </w:rPr>
        <w:t>【供应商须知前附表】</w:t>
      </w:r>
      <w:r>
        <w:rPr>
          <w:rFonts w:hint="eastAsia"/>
        </w:rPr>
        <w:t>中规定</w:t>
      </w:r>
      <w:r>
        <w:rPr>
          <w:rFonts w:hint="eastAsia"/>
          <w:color w:val="auto"/>
          <w:highlight w:val="none"/>
        </w:rPr>
        <w:t>。</w:t>
      </w:r>
    </w:p>
    <w:p w14:paraId="3C5D1140">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2．</w:t>
      </w:r>
      <w:r>
        <w:rPr>
          <w:rFonts w:hint="eastAsia"/>
        </w:rPr>
        <w:t>无论谈判文件中是否要求，供应商所投货物及伴随的服务和工程均应符合国家强制性标准</w:t>
      </w:r>
      <w:r>
        <w:rPr>
          <w:rFonts w:hint="eastAsia"/>
          <w:color w:val="auto"/>
          <w:highlight w:val="none"/>
        </w:rPr>
        <w:t>。</w:t>
      </w:r>
    </w:p>
    <w:p w14:paraId="19A62FB2">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3．</w:t>
      </w:r>
      <w:r>
        <w:rPr>
          <w:rFonts w:hint="eastAsia"/>
        </w:rPr>
        <w:t>供应商与采购代理机构之间与谈判有关的所有往来通知、函件和响应文件均用中文表述。供应商随响应文件提供的证明文件和资料可以为其他语言，但必须附中文译文。翻译的中文资料与外文资料如果出现差异时，以中文为准</w:t>
      </w:r>
      <w:r>
        <w:rPr>
          <w:rFonts w:hint="eastAsia"/>
          <w:color w:val="auto"/>
          <w:highlight w:val="none"/>
        </w:rPr>
        <w:t>。</w:t>
      </w:r>
    </w:p>
    <w:p w14:paraId="0AF9EF0D">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color w:val="auto"/>
          <w:highlight w:val="none"/>
        </w:rPr>
      </w:pPr>
      <w:r>
        <w:rPr>
          <w:rFonts w:hint="default" w:ascii="Times New Roman" w:hAnsi="Times New Roman" w:eastAsia="宋体" w:cs="Times New Roman"/>
          <w:color w:val="auto"/>
          <w:kern w:val="2"/>
          <w:sz w:val="24"/>
          <w:szCs w:val="22"/>
          <w:lang w:val="en-US" w:eastAsia="zh-CN" w:bidi="ar-SA"/>
        </w:rPr>
        <w:t>4．</w:t>
      </w:r>
      <w:r>
        <w:rPr>
          <w:rFonts w:hint="eastAsia"/>
        </w:rPr>
        <w:t>除谈判文件中有特殊要求外，响应文件中所使用的计量单位，应采用中华人民共和国法定计量单位</w:t>
      </w:r>
      <w:r>
        <w:rPr>
          <w:rFonts w:hint="eastAsia"/>
          <w:color w:val="auto"/>
          <w:highlight w:val="none"/>
        </w:rPr>
        <w:t>。</w:t>
      </w:r>
    </w:p>
    <w:p w14:paraId="19398E81">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十二、响应文件构成</w:t>
      </w:r>
    </w:p>
    <w:p w14:paraId="1ABC92C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1．</w:t>
      </w:r>
      <w:r>
        <w:rPr>
          <w:rFonts w:hint="eastAsia" w:ascii="宋体" w:hAnsi="宋体" w:eastAsia="宋体" w:cs="宋体"/>
        </w:rPr>
        <w:t>供应商应完整地按谈判文件提供的响应文件格式及要求编写响应文件，具体内容详见</w:t>
      </w:r>
      <w:r>
        <w:rPr>
          <w:rFonts w:hint="eastAsia" w:ascii="宋体" w:hAnsi="宋体" w:eastAsia="宋体" w:cs="宋体"/>
          <w:b/>
          <w:bCs/>
        </w:rPr>
        <w:t>第六章响应文件</w:t>
      </w:r>
      <w:r>
        <w:rPr>
          <w:rFonts w:hint="eastAsia" w:ascii="宋体" w:hAnsi="宋体" w:eastAsia="宋体" w:cs="宋体"/>
          <w:b/>
          <w:bCs/>
          <w:lang w:val="en-US" w:eastAsia="zh-CN"/>
        </w:rPr>
        <w:t>组成</w:t>
      </w:r>
      <w:r>
        <w:rPr>
          <w:rFonts w:hint="eastAsia" w:ascii="宋体" w:hAnsi="宋体" w:eastAsia="宋体" w:cs="宋体"/>
        </w:rPr>
        <w:t>的相关内容</w:t>
      </w:r>
      <w:r>
        <w:rPr>
          <w:rFonts w:hint="eastAsia" w:ascii="宋体" w:hAnsi="宋体" w:eastAsia="宋体" w:cs="宋体"/>
          <w:color w:val="auto"/>
          <w:highlight w:val="none"/>
        </w:rPr>
        <w:t>。</w:t>
      </w:r>
    </w:p>
    <w:p w14:paraId="439288AA">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上述文件应按照</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文件规定的格式填写、签署和盖章。</w:t>
      </w:r>
    </w:p>
    <w:p w14:paraId="6FE3B845">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十三、证明响应标的的合格性和符合谈判文件规定的响应文件</w:t>
      </w:r>
    </w:p>
    <w:p w14:paraId="3E773D5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1．</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应提交证明文件，证明其响应内容符合</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文件规定。该证明文件是响应文件的一部分。</w:t>
      </w:r>
    </w:p>
    <w:p w14:paraId="23C798A9">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上款所述的证明文件，可以是文字资料、图纸和数据。</w:t>
      </w:r>
    </w:p>
    <w:p w14:paraId="23E72B0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3．</w:t>
      </w:r>
      <w:r>
        <w:rPr>
          <w:rFonts w:hint="eastAsia" w:ascii="宋体" w:hAnsi="宋体" w:eastAsia="宋体" w:cs="宋体"/>
          <w:color w:val="auto"/>
          <w:highlight w:val="none"/>
        </w:rPr>
        <w:t>本条所指证明文件不包括对</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文件相关部分的文字、图标的复制。</w:t>
      </w:r>
    </w:p>
    <w:p w14:paraId="3D60339C">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为保证公平公正，除非另有规定或说明，</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对同一项目响应时，不得同时提供备选响应方案。</w:t>
      </w:r>
    </w:p>
    <w:p w14:paraId="392313C7">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十四、报价</w:t>
      </w:r>
    </w:p>
    <w:p w14:paraId="46DFB4FD">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1．</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的报价应当包括满足本次</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全部项目需求所应提供的</w:t>
      </w:r>
      <w:r>
        <w:rPr>
          <w:rFonts w:hint="eastAsia" w:ascii="宋体" w:hAnsi="宋体" w:eastAsia="宋体" w:cs="宋体"/>
          <w:color w:val="auto"/>
          <w:highlight w:val="none"/>
          <w:lang w:val="en-US" w:eastAsia="zh-CN"/>
        </w:rPr>
        <w:t>货物服务</w:t>
      </w:r>
      <w:r>
        <w:rPr>
          <w:rFonts w:hint="eastAsia" w:ascii="宋体" w:hAnsi="宋体" w:eastAsia="宋体" w:cs="宋体"/>
          <w:color w:val="auto"/>
          <w:highlight w:val="none"/>
        </w:rPr>
        <w:t>，以及伴随的</w:t>
      </w:r>
      <w:r>
        <w:rPr>
          <w:rFonts w:hint="eastAsia" w:ascii="宋体" w:hAnsi="宋体" w:eastAsia="宋体" w:cs="宋体"/>
          <w:color w:val="auto"/>
          <w:highlight w:val="none"/>
          <w:lang w:val="en-US" w:eastAsia="zh-CN"/>
        </w:rPr>
        <w:t>货物</w:t>
      </w:r>
      <w:r>
        <w:rPr>
          <w:rFonts w:hint="eastAsia" w:ascii="宋体" w:hAnsi="宋体" w:eastAsia="宋体" w:cs="宋体"/>
          <w:color w:val="auto"/>
          <w:highlight w:val="none"/>
        </w:rPr>
        <w:t>和工程。所有报价均应以人民币报价。</w:t>
      </w:r>
    </w:p>
    <w:p w14:paraId="7000D2BE">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2．</w:t>
      </w:r>
      <w:r>
        <w:rPr>
          <w:rFonts w:hint="eastAsia" w:ascii="宋体" w:hAnsi="宋体" w:eastAsia="宋体" w:cs="宋体"/>
        </w:rPr>
        <w:t>报价在合同履行过程中是固定不变的，不得以任何理由予以变更。任何包含价格调整要求的谈判，其响应文件将被认定为</w:t>
      </w:r>
      <w:r>
        <w:rPr>
          <w:rFonts w:hint="eastAsia" w:ascii="宋体" w:hAnsi="宋体" w:eastAsia="宋体" w:cs="宋体"/>
          <w:b/>
          <w:bCs/>
        </w:rPr>
        <w:t>响应无效</w:t>
      </w:r>
      <w:r>
        <w:rPr>
          <w:rFonts w:hint="eastAsia" w:ascii="宋体" w:hAnsi="宋体" w:eastAsia="宋体" w:cs="宋体"/>
        </w:rPr>
        <w:t>。</w:t>
      </w:r>
    </w:p>
    <w:p w14:paraId="416F856C">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3．</w:t>
      </w:r>
      <w:r>
        <w:rPr>
          <w:rFonts w:hint="eastAsia" w:ascii="宋体" w:hAnsi="宋体" w:eastAsia="宋体" w:cs="宋体"/>
        </w:rPr>
        <w:t>采购人不接受具有附加条件的报价。</w:t>
      </w:r>
    </w:p>
    <w:p w14:paraId="1AC43893">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十五、谈判保证金</w:t>
      </w:r>
    </w:p>
    <w:p w14:paraId="5359C890">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1．</w:t>
      </w:r>
      <w:r>
        <w:rPr>
          <w:rFonts w:hint="eastAsia" w:ascii="宋体" w:hAnsi="宋体" w:eastAsia="宋体" w:cs="宋体"/>
        </w:rPr>
        <w:t>供应商应提交</w:t>
      </w:r>
      <w:r>
        <w:rPr>
          <w:rFonts w:hint="eastAsia" w:ascii="宋体" w:hAnsi="宋体" w:eastAsia="宋体" w:cs="宋体"/>
          <w:b/>
          <w:bCs/>
        </w:rPr>
        <w:t>【供应商须知前附表】</w:t>
      </w:r>
      <w:r>
        <w:rPr>
          <w:rFonts w:hint="eastAsia" w:ascii="宋体" w:hAnsi="宋体" w:eastAsia="宋体" w:cs="宋体"/>
        </w:rPr>
        <w:t>表中规定的谈判保证金，并作为其响应文件的一部分。供应商未按规定提交谈判保证金的，其响应文件将被认定为</w:t>
      </w:r>
      <w:r>
        <w:rPr>
          <w:rFonts w:hint="eastAsia" w:ascii="宋体" w:hAnsi="宋体" w:eastAsia="宋体" w:cs="宋体"/>
          <w:b/>
          <w:bCs/>
        </w:rPr>
        <w:t>响应无效</w:t>
      </w:r>
      <w:r>
        <w:rPr>
          <w:rFonts w:hint="eastAsia" w:ascii="宋体" w:hAnsi="宋体" w:eastAsia="宋体" w:cs="宋体"/>
          <w:color w:val="auto"/>
          <w:highlight w:val="none"/>
        </w:rPr>
        <w:t>。</w:t>
      </w:r>
    </w:p>
    <w:p w14:paraId="7D9CA70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2．</w:t>
      </w:r>
      <w:r>
        <w:rPr>
          <w:rFonts w:hint="eastAsia" w:ascii="宋体" w:hAnsi="宋体" w:eastAsia="宋体" w:cs="宋体"/>
          <w:color w:val="auto"/>
          <w:lang w:val="en-US" w:eastAsia="zh-CN"/>
        </w:rPr>
        <w:t>谈判</w:t>
      </w:r>
      <w:r>
        <w:rPr>
          <w:rFonts w:hint="eastAsia" w:ascii="宋体" w:hAnsi="宋体" w:eastAsia="宋体" w:cs="宋体"/>
          <w:color w:val="auto"/>
        </w:rPr>
        <w:t>保证金必须是从供应商单位的基本账户转入保证金的托管账户管理。采购人不接受以现金方式提交的保证金，以现金方式提交的保证金无效。联合体投标的，其保证金由牵头人递交。</w:t>
      </w:r>
    </w:p>
    <w:p w14:paraId="67E5A4F1">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3．</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请注意：</w:t>
      </w:r>
    </w:p>
    <w:p w14:paraId="523A6583">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（1）</w:t>
      </w:r>
      <w:r>
        <w:rPr>
          <w:rFonts w:hint="eastAsia" w:ascii="宋体" w:hAnsi="宋体" w:eastAsia="宋体" w:cs="宋体"/>
        </w:rPr>
        <w:t>前次采购失败的，采购代理机构将退还供应商的谈判保证金</w:t>
      </w:r>
      <w:r>
        <w:rPr>
          <w:rFonts w:hint="eastAsia" w:ascii="宋体" w:hAnsi="宋体" w:eastAsia="宋体" w:cs="宋体"/>
          <w:color w:val="auto"/>
          <w:highlight w:val="none"/>
        </w:rPr>
        <w:t>。</w:t>
      </w:r>
    </w:p>
    <w:p w14:paraId="503E5CDA">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（2）</w:t>
      </w:r>
      <w:r>
        <w:rPr>
          <w:rFonts w:hint="eastAsia" w:ascii="宋体" w:hAnsi="宋体" w:eastAsia="宋体" w:cs="宋体"/>
        </w:rPr>
        <w:t>采购代理机构谈判保证金缴纳账号采用动态虚拟账号（分包项目每一个包别对应一个账号），项目采购失败后，谈判保证金缴纳账号将会发生变化，请供应商参与后续采购时，注意勿将谈判保证金错交至其他项目虚拟账号或前次公告账号</w:t>
      </w:r>
      <w:r>
        <w:rPr>
          <w:rFonts w:hint="eastAsia" w:ascii="宋体" w:hAnsi="宋体" w:eastAsia="宋体" w:cs="宋体"/>
          <w:color w:val="auto"/>
          <w:highlight w:val="none"/>
        </w:rPr>
        <w:t>。</w:t>
      </w:r>
    </w:p>
    <w:p w14:paraId="34D339C7">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（3）</w:t>
      </w:r>
      <w:r>
        <w:rPr>
          <w:rFonts w:hint="eastAsia" w:ascii="宋体" w:hAnsi="宋体" w:eastAsia="宋体" w:cs="宋体"/>
        </w:rPr>
        <w:t>凡转账到其他项目虚拟账号或本项目前次公告账号的，其响应文件将被认定为</w:t>
      </w:r>
      <w:r>
        <w:rPr>
          <w:rFonts w:hint="eastAsia" w:ascii="宋体" w:hAnsi="宋体" w:eastAsia="宋体" w:cs="宋体"/>
          <w:b/>
          <w:bCs/>
        </w:rPr>
        <w:t>响应无效</w:t>
      </w:r>
      <w:r>
        <w:rPr>
          <w:rFonts w:hint="eastAsia" w:ascii="宋体" w:hAnsi="宋体" w:eastAsia="宋体" w:cs="宋体"/>
          <w:color w:val="auto"/>
          <w:highlight w:val="none"/>
        </w:rPr>
        <w:t>。</w:t>
      </w:r>
    </w:p>
    <w:p w14:paraId="6FA624EA">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有下列情形之一的，保证金不予退还：</w:t>
      </w:r>
    </w:p>
    <w:p w14:paraId="7C454271">
      <w:pPr>
        <w:pStyle w:val="44"/>
        <w:keepNext w:val="0"/>
        <w:keepLines w:val="0"/>
        <w:pageBreakBefore w:val="0"/>
        <w:widowControl w:val="0"/>
        <w:numPr>
          <w:ilvl w:val="0"/>
          <w:numId w:val="7"/>
        </w:numPr>
        <w:kinsoku/>
        <w:wordWrap/>
        <w:overflowPunct/>
        <w:topLinePunct w:val="0"/>
        <w:autoSpaceDE/>
        <w:autoSpaceDN/>
        <w:bidi w:val="0"/>
        <w:adjustRightInd w:val="0"/>
        <w:snapToGrid w:val="0"/>
        <w:spacing w:before="0" w:beforeLines="0" w:line="360" w:lineRule="auto"/>
        <w:ind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在响应截止时间后撤回响应文件的；</w:t>
      </w:r>
    </w:p>
    <w:p w14:paraId="05550C44">
      <w:pPr>
        <w:pStyle w:val="44"/>
        <w:keepNext w:val="0"/>
        <w:keepLines w:val="0"/>
        <w:pageBreakBefore w:val="0"/>
        <w:widowControl w:val="0"/>
        <w:numPr>
          <w:ilvl w:val="0"/>
          <w:numId w:val="7"/>
        </w:numPr>
        <w:kinsoku/>
        <w:wordWrap/>
        <w:overflowPunct/>
        <w:topLinePunct w:val="0"/>
        <w:autoSpaceDE/>
        <w:autoSpaceDN/>
        <w:bidi w:val="0"/>
        <w:adjustRightInd w:val="0"/>
        <w:snapToGrid w:val="0"/>
        <w:spacing w:before="0" w:beforeLines="0" w:line="360" w:lineRule="auto"/>
        <w:ind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在响应文件中提供虚假材料的；</w:t>
      </w:r>
    </w:p>
    <w:p w14:paraId="2BA82BD8">
      <w:pPr>
        <w:pStyle w:val="44"/>
        <w:keepNext w:val="0"/>
        <w:keepLines w:val="0"/>
        <w:pageBreakBefore w:val="0"/>
        <w:widowControl w:val="0"/>
        <w:numPr>
          <w:ilvl w:val="0"/>
          <w:numId w:val="7"/>
        </w:numPr>
        <w:kinsoku/>
        <w:wordWrap/>
        <w:overflowPunct/>
        <w:topLinePunct w:val="0"/>
        <w:autoSpaceDE/>
        <w:autoSpaceDN/>
        <w:bidi w:val="0"/>
        <w:adjustRightInd w:val="0"/>
        <w:snapToGrid w:val="0"/>
        <w:spacing w:before="0" w:beforeLines="0" w:line="360" w:lineRule="auto"/>
        <w:ind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成交后无不可抗力放弃</w:t>
      </w:r>
      <w:r>
        <w:rPr>
          <w:rFonts w:hint="eastAsia" w:ascii="宋体" w:hAnsi="宋体" w:eastAsia="宋体" w:cs="宋体"/>
          <w:b/>
          <w:bCs/>
          <w:color w:val="auto"/>
          <w:highlight w:val="none"/>
          <w:lang w:val="en-US" w:eastAsia="zh-CN"/>
        </w:rPr>
        <w:t>成交</w:t>
      </w:r>
      <w:r>
        <w:rPr>
          <w:rFonts w:hint="eastAsia" w:ascii="宋体" w:hAnsi="宋体" w:eastAsia="宋体" w:cs="宋体"/>
          <w:b/>
          <w:bCs/>
          <w:color w:val="auto"/>
          <w:highlight w:val="none"/>
        </w:rPr>
        <w:t>结果或不按期向</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提交履约担保签订合同的；</w:t>
      </w:r>
    </w:p>
    <w:p w14:paraId="41FC4499">
      <w:pPr>
        <w:pStyle w:val="44"/>
        <w:keepNext w:val="0"/>
        <w:keepLines w:val="0"/>
        <w:pageBreakBefore w:val="0"/>
        <w:widowControl w:val="0"/>
        <w:numPr>
          <w:ilvl w:val="0"/>
          <w:numId w:val="7"/>
        </w:numPr>
        <w:kinsoku/>
        <w:wordWrap/>
        <w:overflowPunct/>
        <w:topLinePunct w:val="0"/>
        <w:autoSpaceDE/>
        <w:autoSpaceDN/>
        <w:bidi w:val="0"/>
        <w:adjustRightInd w:val="0"/>
        <w:snapToGrid w:val="0"/>
        <w:spacing w:before="0" w:beforeLines="0" w:line="360" w:lineRule="auto"/>
        <w:ind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成交供应商</w:t>
      </w:r>
      <w:r>
        <w:rPr>
          <w:rFonts w:hint="eastAsia" w:ascii="宋体" w:hAnsi="宋体" w:eastAsia="宋体" w:cs="宋体"/>
          <w:b/>
          <w:bCs/>
          <w:color w:val="auto"/>
          <w:highlight w:val="none"/>
        </w:rPr>
        <w:t>在签订合同时向</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提出附加条件的；</w:t>
      </w:r>
    </w:p>
    <w:p w14:paraId="369DE2FE">
      <w:pPr>
        <w:pStyle w:val="44"/>
        <w:keepNext w:val="0"/>
        <w:keepLines w:val="0"/>
        <w:pageBreakBefore w:val="0"/>
        <w:widowControl w:val="0"/>
        <w:numPr>
          <w:ilvl w:val="0"/>
          <w:numId w:val="7"/>
        </w:numPr>
        <w:kinsoku/>
        <w:wordWrap/>
        <w:overflowPunct/>
        <w:topLinePunct w:val="0"/>
        <w:autoSpaceDE/>
        <w:autoSpaceDN/>
        <w:bidi w:val="0"/>
        <w:adjustRightInd w:val="0"/>
        <w:snapToGrid w:val="0"/>
        <w:spacing w:before="0" w:beforeLines="0" w:line="360" w:lineRule="auto"/>
        <w:ind w:firstLine="48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与</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、其他</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或者</w:t>
      </w:r>
      <w:r>
        <w:rPr>
          <w:rFonts w:hint="eastAsia" w:ascii="宋体" w:hAnsi="宋体" w:eastAsia="宋体" w:cs="宋体"/>
          <w:b/>
          <w:bCs/>
          <w:color w:val="auto"/>
          <w:highlight w:val="none"/>
          <w:lang w:val="en-US" w:eastAsia="zh-CN"/>
        </w:rPr>
        <w:t>采购代理机构</w:t>
      </w:r>
      <w:r>
        <w:rPr>
          <w:rFonts w:hint="eastAsia" w:ascii="宋体" w:hAnsi="宋体" w:eastAsia="宋体" w:cs="宋体"/>
          <w:b/>
          <w:bCs/>
          <w:color w:val="auto"/>
          <w:highlight w:val="none"/>
        </w:rPr>
        <w:t>恶意串通的。</w:t>
      </w:r>
    </w:p>
    <w:p w14:paraId="6D0A0413">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5．</w:t>
      </w:r>
      <w:r>
        <w:rPr>
          <w:rFonts w:hint="eastAsia" w:ascii="宋体" w:hAnsi="宋体" w:eastAsia="宋体" w:cs="宋体"/>
        </w:rPr>
        <w:t>联合体参加谈判的，可以由联合体中的一方或者共同提交谈判保证金。以一方名义提交谈判保证金的，对联合体各方均具有约束力</w:t>
      </w:r>
      <w:r>
        <w:rPr>
          <w:rFonts w:hint="eastAsia" w:ascii="宋体" w:hAnsi="宋体" w:eastAsia="宋体" w:cs="宋体"/>
          <w:color w:val="auto"/>
          <w:highlight w:val="none"/>
        </w:rPr>
        <w:t>。</w:t>
      </w:r>
    </w:p>
    <w:p w14:paraId="4BF7C951">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6．</w:t>
      </w:r>
      <w:r>
        <w:rPr>
          <w:rFonts w:hint="eastAsia" w:ascii="宋体" w:hAnsi="宋体" w:eastAsia="宋体" w:cs="宋体"/>
        </w:rPr>
        <w:t>采购代理机构将在成交通知书发出后五个工作日内退还未成交供应商的谈判保证金，在采购合同签订后五个工作日内退还成交供应商的谈判保证金</w:t>
      </w:r>
      <w:r>
        <w:rPr>
          <w:rFonts w:hint="eastAsia" w:ascii="宋体" w:hAnsi="宋体" w:eastAsia="宋体" w:cs="宋体"/>
          <w:lang w:eastAsia="zh-CN"/>
        </w:rPr>
        <w:t>。</w:t>
      </w:r>
    </w:p>
    <w:p w14:paraId="457BA26B">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十六、响应有效期</w:t>
      </w:r>
    </w:p>
    <w:p w14:paraId="0EA2AF1B">
      <w:pPr>
        <w:pStyle w:val="44"/>
        <w:keepNext w:val="0"/>
        <w:keepLines w:val="0"/>
        <w:pageBreakBefore w:val="0"/>
        <w:widowControl w:val="0"/>
        <w:numPr>
          <w:ilvl w:val="0"/>
          <w:numId w:val="8"/>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b/>
          <w:bCs/>
        </w:rPr>
      </w:pPr>
      <w:r>
        <w:rPr>
          <w:rFonts w:hint="eastAsia"/>
          <w:b/>
          <w:bCs/>
        </w:rPr>
        <w:t>谈判有效期为从响应文件提交截止之日算起的日历天数，谈判有效期详见【供应商须知前附表】。</w:t>
      </w:r>
    </w:p>
    <w:p w14:paraId="4B1AA034">
      <w:pPr>
        <w:pStyle w:val="44"/>
        <w:keepNext w:val="0"/>
        <w:keepLines w:val="0"/>
        <w:pageBreakBefore w:val="0"/>
        <w:widowControl w:val="0"/>
        <w:numPr>
          <w:ilvl w:val="0"/>
          <w:numId w:val="8"/>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b/>
          <w:bCs/>
        </w:rPr>
      </w:pPr>
      <w:r>
        <w:rPr>
          <w:rFonts w:hint="eastAsia"/>
          <w:b/>
          <w:bCs/>
        </w:rPr>
        <w:t>在谈判有效期内，供应商的谈判保持有效，供应商不得要求撤销或修改其响应文件。谈判有效期不满足要求的响应，其响应文件将被认定为响应无效。</w:t>
      </w:r>
    </w:p>
    <w:p w14:paraId="1CDFE54B">
      <w:pPr>
        <w:pStyle w:val="44"/>
        <w:keepNext w:val="0"/>
        <w:keepLines w:val="0"/>
        <w:pageBreakBefore w:val="0"/>
        <w:widowControl w:val="0"/>
        <w:numPr>
          <w:ilvl w:val="0"/>
          <w:numId w:val="8"/>
        </w:numPr>
        <w:kinsoku/>
        <w:wordWrap/>
        <w:overflowPunct/>
        <w:topLinePunct w:val="0"/>
        <w:autoSpaceDE/>
        <w:autoSpaceDN/>
        <w:bidi w:val="0"/>
        <w:adjustRightInd w:val="0"/>
        <w:snapToGrid w:val="0"/>
        <w:spacing w:before="0" w:beforeLines="0" w:line="360" w:lineRule="auto"/>
        <w:ind w:left="0" w:leftChars="0" w:firstLine="482" w:firstLineChars="200"/>
        <w:textAlignment w:val="auto"/>
        <w:rPr>
          <w:b/>
          <w:bCs/>
          <w:color w:val="auto"/>
          <w:highlight w:val="none"/>
        </w:rPr>
      </w:pPr>
      <w:r>
        <w:rPr>
          <w:rFonts w:hint="eastAsia"/>
          <w:b/>
          <w:bCs/>
        </w:rPr>
        <w:t>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r>
        <w:rPr>
          <w:rFonts w:hint="eastAsia"/>
          <w:b/>
          <w:bCs/>
          <w:color w:val="auto"/>
          <w:highlight w:val="none"/>
        </w:rPr>
        <w:t>。</w:t>
      </w:r>
    </w:p>
    <w:p w14:paraId="3DF1F631">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十七、报名截止</w:t>
      </w:r>
    </w:p>
    <w:p w14:paraId="7C2D111F">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应在</w:t>
      </w: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须知前附表】</w:t>
      </w:r>
      <w:r>
        <w:rPr>
          <w:rFonts w:hint="eastAsia" w:ascii="宋体" w:hAnsi="宋体" w:eastAsia="宋体" w:cs="宋体"/>
          <w:color w:val="auto"/>
          <w:highlight w:val="none"/>
        </w:rPr>
        <w:t>中规定的报名截止时间前，在网上提交响应文件。</w:t>
      </w:r>
    </w:p>
    <w:p w14:paraId="2B1B732A">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文件规定的报名截止时间前上传了响应文件，但未在规定时间内递交保证金，响应无效。</w:t>
      </w:r>
    </w:p>
    <w:p w14:paraId="08B3EE28">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有权按本</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文件的规定，延迟报名截止时间。在此情况下，</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和</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受报名截止时间制约的所有权利和义务均应延长至新的截止时间。</w:t>
      </w:r>
    </w:p>
    <w:p w14:paraId="0A0017B4">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十八、响应文件的递交、修改与撤回</w:t>
      </w:r>
    </w:p>
    <w:p w14:paraId="5EEEAAB8">
      <w:pPr>
        <w:pStyle w:val="44"/>
        <w:pageBreakBefore w:val="0"/>
        <w:widowControl w:val="0"/>
        <w:numPr>
          <w:ilvl w:val="0"/>
          <w:numId w:val="9"/>
        </w:numPr>
        <w:kinsoku/>
        <w:wordWrap/>
        <w:overflowPunct/>
        <w:topLinePunct w:val="0"/>
        <w:autoSpaceDE/>
        <w:autoSpaceDN/>
        <w:bidi w:val="0"/>
        <w:spacing w:before="0" w:beforeLines="0" w:line="360" w:lineRule="auto"/>
        <w:ind w:left="0" w:leftChars="0" w:firstLine="482" w:firstLineChars="200"/>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应当在第一章“</w:t>
      </w:r>
      <w:r>
        <w:rPr>
          <w:rFonts w:hint="eastAsia" w:ascii="宋体" w:hAnsi="宋体" w:eastAsia="宋体" w:cs="宋体"/>
          <w:b/>
          <w:bCs/>
          <w:color w:val="auto"/>
          <w:highlight w:val="none"/>
          <w:lang w:val="en-US" w:eastAsia="zh-CN"/>
        </w:rPr>
        <w:t>竞争性谈判</w:t>
      </w:r>
      <w:r>
        <w:rPr>
          <w:rFonts w:hint="eastAsia" w:ascii="宋体" w:hAnsi="宋体" w:eastAsia="宋体" w:cs="宋体"/>
          <w:b/>
          <w:bCs/>
          <w:color w:val="auto"/>
          <w:highlight w:val="none"/>
        </w:rPr>
        <w:t>公告”规定的报名截止时间前，交纳</w:t>
      </w:r>
      <w:r>
        <w:rPr>
          <w:rFonts w:hint="eastAsia" w:ascii="宋体" w:hAnsi="宋体" w:eastAsia="宋体" w:cs="宋体"/>
          <w:b/>
          <w:bCs/>
          <w:color w:val="auto"/>
          <w:highlight w:val="none"/>
          <w:lang w:val="en-US" w:eastAsia="zh-CN"/>
        </w:rPr>
        <w:t>谈判</w:t>
      </w:r>
      <w:r>
        <w:rPr>
          <w:rFonts w:hint="eastAsia" w:ascii="宋体" w:hAnsi="宋体" w:eastAsia="宋体" w:cs="宋体"/>
          <w:b/>
          <w:bCs/>
          <w:color w:val="auto"/>
          <w:highlight w:val="none"/>
        </w:rPr>
        <w:t>保证金，系统确认保证金到账后，将响应文件在电子交易系统传输递交。</w:t>
      </w:r>
    </w:p>
    <w:p w14:paraId="2FF46516">
      <w:pPr>
        <w:pStyle w:val="44"/>
        <w:pageBreakBefore w:val="0"/>
        <w:widowControl w:val="0"/>
        <w:numPr>
          <w:ilvl w:val="0"/>
          <w:numId w:val="9"/>
        </w:numPr>
        <w:kinsoku/>
        <w:wordWrap/>
        <w:overflowPunct/>
        <w:topLinePunct w:val="0"/>
        <w:autoSpaceDE/>
        <w:autoSpaceDN/>
        <w:bidi w:val="0"/>
        <w:spacing w:before="0" w:beforeLines="0" w:line="360" w:lineRule="auto"/>
        <w:ind w:left="0" w:leftChars="0" w:firstLine="482" w:firstLineChars="200"/>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应当在报名截止时间前完成响应文件的传输递交。</w:t>
      </w:r>
    </w:p>
    <w:p w14:paraId="5F40C2E5">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十九、评审小组</w:t>
      </w:r>
    </w:p>
    <w:p w14:paraId="72C7307C">
      <w:pPr>
        <w:pStyle w:val="44"/>
        <w:pageBreakBefore w:val="0"/>
        <w:widowControl w:val="0"/>
        <w:numPr>
          <w:ilvl w:val="0"/>
          <w:numId w:val="10"/>
        </w:numPr>
        <w:kinsoku/>
        <w:wordWrap/>
        <w:overflowPunct/>
        <w:topLinePunct w:val="0"/>
        <w:autoSpaceDE/>
        <w:autoSpaceDN/>
        <w:bidi w:val="0"/>
        <w:spacing w:before="0" w:beforeLines="0" w:line="360" w:lineRule="auto"/>
        <w:ind w:left="0" w:leftChars="0" w:firstLine="482" w:firstLineChars="200"/>
        <w:textAlignment w:val="auto"/>
        <w:outlineLvl w:val="9"/>
        <w:rPr>
          <w:rFonts w:hint="eastAsia" w:ascii="宋体" w:hAnsi="宋体" w:eastAsia="宋体" w:cs="宋体"/>
          <w:b/>
          <w:bCs/>
          <w:color w:val="auto"/>
          <w:highlight w:val="none"/>
        </w:rPr>
      </w:pPr>
      <w:r>
        <w:rPr>
          <w:rFonts w:hint="eastAsia" w:ascii="宋体" w:hAnsi="宋体" w:eastAsia="宋体" w:cs="宋体"/>
          <w:b/>
          <w:bCs/>
        </w:rPr>
        <w:t>按照《中华人民共和国政府采购法</w:t>
      </w:r>
      <w:r>
        <w:rPr>
          <w:rFonts w:hint="eastAsia" w:ascii="宋体" w:hAnsi="宋体" w:eastAsia="宋体" w:cs="宋体"/>
          <w:b/>
          <w:bCs/>
          <w:lang w:eastAsia="zh-CN"/>
        </w:rPr>
        <w:t>》《</w:t>
      </w:r>
      <w:r>
        <w:rPr>
          <w:rFonts w:hint="eastAsia" w:ascii="宋体" w:hAnsi="宋体" w:eastAsia="宋体" w:cs="宋体"/>
          <w:b/>
          <w:bCs/>
        </w:rPr>
        <w:t>中华人民共和国政府采购法实施条例》及本项目本级和上级财政部门、政府采购监督管理部门的有关规定依法组建的谈判小组，负责本项目评审工作</w:t>
      </w:r>
      <w:r>
        <w:rPr>
          <w:rFonts w:hint="eastAsia" w:ascii="宋体" w:hAnsi="宋体" w:eastAsia="宋体" w:cs="宋体"/>
          <w:b/>
          <w:bCs/>
          <w:color w:val="auto"/>
          <w:highlight w:val="none"/>
        </w:rPr>
        <w:t>。</w:t>
      </w:r>
    </w:p>
    <w:p w14:paraId="22B3F416">
      <w:pPr>
        <w:pStyle w:val="44"/>
        <w:pageBreakBefore w:val="0"/>
        <w:widowControl w:val="0"/>
        <w:numPr>
          <w:ilvl w:val="0"/>
          <w:numId w:val="10"/>
        </w:numPr>
        <w:kinsoku/>
        <w:wordWrap/>
        <w:overflowPunct/>
        <w:topLinePunct w:val="0"/>
        <w:autoSpaceDE/>
        <w:autoSpaceDN/>
        <w:bidi w:val="0"/>
        <w:spacing w:before="0" w:beforeLines="0" w:line="360" w:lineRule="auto"/>
        <w:ind w:left="0" w:leftChars="0" w:firstLine="482" w:firstLineChars="200"/>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评审小组成员有下列情形之一的，应当回避：</w:t>
      </w:r>
    </w:p>
    <w:p w14:paraId="4F3D65C2">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（1）参加采购活动前 3 年内与供应商存在劳动关系；</w:t>
      </w:r>
    </w:p>
    <w:p w14:paraId="48039969">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（2）参加采购活动前 3 年内担任供应商的董事、监事；</w:t>
      </w:r>
    </w:p>
    <w:p w14:paraId="1C828C12">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（3）参加采购活动前 3 年内是供应商的控股股东或者实际控制人；</w:t>
      </w:r>
    </w:p>
    <w:p w14:paraId="42D42208">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（4）与供应商的法定代表人或者负责人有夫妻、直系血亲、三代以内旁系血亲或者近姻亲关系；</w:t>
      </w:r>
    </w:p>
    <w:p w14:paraId="3D858658">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rPr>
        <w:t>（5）与供应商有其他可能影响政府采购活动公平、公正进行的关系</w:t>
      </w:r>
      <w:r>
        <w:rPr>
          <w:rFonts w:hint="eastAsia" w:ascii="宋体" w:hAnsi="宋体" w:eastAsia="宋体" w:cs="宋体"/>
          <w:color w:val="auto"/>
          <w:highlight w:val="none"/>
        </w:rPr>
        <w:t>。</w:t>
      </w:r>
    </w:p>
    <w:p w14:paraId="35640D69">
      <w:pPr>
        <w:pStyle w:val="44"/>
        <w:pageBreakBefore w:val="0"/>
        <w:widowControl w:val="0"/>
        <w:numPr>
          <w:ilvl w:val="0"/>
          <w:numId w:val="10"/>
        </w:numPr>
        <w:kinsoku/>
        <w:wordWrap/>
        <w:overflowPunct/>
        <w:topLinePunct w:val="0"/>
        <w:autoSpaceDE/>
        <w:autoSpaceDN/>
        <w:bidi w:val="0"/>
        <w:spacing w:before="0" w:beforeLines="0" w:line="360" w:lineRule="auto"/>
        <w:ind w:left="0" w:leftChars="0" w:firstLine="482" w:firstLineChars="200"/>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评审专家组成员对需要共同认定的事项存在争议的，应当按照少数服从多数的原则作出结论。持不同意见的评审专家组成员应当在评审报告上签署不同意见及理由，否则视为同意评审报告。</w:t>
      </w:r>
    </w:p>
    <w:p w14:paraId="44C52566">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二十、网上报价程序</w:t>
      </w:r>
    </w:p>
    <w:p w14:paraId="1553134D">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公布网上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信息</w:t>
      </w:r>
    </w:p>
    <w:p w14:paraId="55C19DC3">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采购代理机构</w:t>
      </w:r>
      <w:r>
        <w:rPr>
          <w:rFonts w:hint="eastAsia" w:ascii="宋体" w:hAnsi="宋体" w:eastAsia="宋体" w:cs="宋体"/>
          <w:color w:val="auto"/>
          <w:highlight w:val="none"/>
        </w:rPr>
        <w:t>将有关（项目名称）基本信息、起始价、减价幅度、保证金等信息在</w:t>
      </w:r>
      <w:r>
        <w:rPr>
          <w:rFonts w:hint="eastAsia" w:ascii="宋体" w:hAnsi="宋体" w:eastAsia="宋体" w:cs="宋体"/>
          <w:color w:val="auto"/>
          <w:highlight w:val="none"/>
          <w:lang w:val="en-US" w:eastAsia="zh-CN"/>
        </w:rPr>
        <w:t>采购文件中明确</w:t>
      </w:r>
      <w:r>
        <w:rPr>
          <w:rFonts w:hint="eastAsia" w:ascii="宋体" w:hAnsi="宋体" w:eastAsia="宋体" w:cs="宋体"/>
          <w:color w:val="auto"/>
          <w:highlight w:val="none"/>
        </w:rPr>
        <w:t>。</w:t>
      </w:r>
    </w:p>
    <w:p w14:paraId="0422AB7A">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资格和符合性审查</w:t>
      </w:r>
    </w:p>
    <w:p w14:paraId="1B5B7C2A">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评审小组依据法律法规和</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文件中规定的内容，对</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资格和符合性进行审查，未通过资格审查和符合性审查的申请人不能参与网上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。参与并且通过资格审查和符合性审查的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不得少于</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家，否则网上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采购活动终止。</w:t>
      </w:r>
    </w:p>
    <w:p w14:paraId="1AF4210D">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color w:val="auto"/>
          <w:highlight w:val="none"/>
        </w:rPr>
        <w:t>网上</w:t>
      </w:r>
      <w:r>
        <w:rPr>
          <w:rFonts w:hint="eastAsia" w:ascii="宋体" w:hAnsi="宋体" w:eastAsia="宋体" w:cs="宋体"/>
          <w:color w:val="auto"/>
          <w:highlight w:val="none"/>
          <w:lang w:val="en-US" w:eastAsia="zh-CN"/>
        </w:rPr>
        <w:t>报价</w:t>
      </w:r>
    </w:p>
    <w:p w14:paraId="7CE10C58">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报价规则</w:t>
      </w:r>
    </w:p>
    <w:p w14:paraId="65767AF6">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①本次网上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以减价方式进行报价，同一</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可多次报价。初次报价不得高于起始价，初次报价后的每次报价的减价幅度应当符合规定。</w:t>
      </w:r>
    </w:p>
    <w:p w14:paraId="47AC7E6E">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②</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通过系统提交的报价一经报出，不得撤回。</w:t>
      </w:r>
    </w:p>
    <w:p w14:paraId="364464DE">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③因网络延迟问题，</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应尽量避免在网上报价截止前最后几秒钟内才报价，最迟在网上报价截止前30秒报价，以防止系统无法及时接收到报价的情况发生。</w:t>
      </w:r>
    </w:p>
    <w:p w14:paraId="0AE098C7">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④</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报价有下列情形之一的，为无效报价：</w:t>
      </w:r>
    </w:p>
    <w:p w14:paraId="2E7405D2">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A.报价因系统故障未在网上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期限内收到的；</w:t>
      </w:r>
    </w:p>
    <w:p w14:paraId="302A7C14">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B.报价因</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网络故障未在网上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期限内收到的；</w:t>
      </w:r>
    </w:p>
    <w:p w14:paraId="32ADB11E">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C.报价高于起始价等不符合报价规则的；</w:t>
      </w:r>
    </w:p>
    <w:p w14:paraId="780DF95A">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D.报价不符合</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文件规定的其他情形。</w:t>
      </w:r>
    </w:p>
    <w:p w14:paraId="09F95A0C">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报价及系统接受报价、显示、确认报价</w:t>
      </w:r>
    </w:p>
    <w:p w14:paraId="736D1FE4">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①系统从开始接受报价；</w:t>
      </w:r>
    </w:p>
    <w:p w14:paraId="2D782603">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②</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通过系统进行报价，该报价须为当前系统确认的最低报价。</w:t>
      </w:r>
    </w:p>
    <w:p w14:paraId="047BADD1">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开始</w:t>
      </w:r>
    </w:p>
    <w:p w14:paraId="107C4766">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分为自由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和限时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两个阶段；</w:t>
      </w:r>
    </w:p>
    <w:p w14:paraId="0431737F">
      <w:pPr>
        <w:pStyle w:val="44"/>
        <w:pageBreakBefore w:val="0"/>
        <w:widowControl w:val="0"/>
        <w:kinsoku/>
        <w:wordWrap/>
        <w:overflowPunct/>
        <w:topLinePunct w:val="0"/>
        <w:autoSpaceDE/>
        <w:autoSpaceDN/>
        <w:bidi w:val="0"/>
        <w:spacing w:before="0" w:beforeLines="0" w:line="360" w:lineRule="auto"/>
        <w:ind w:left="0" w:leftChars="0" w:firstLine="482" w:firstLineChars="200"/>
        <w:textAlignment w:val="auto"/>
        <w:outlineLvl w:val="9"/>
        <w:rPr>
          <w:rFonts w:hint="eastAsia" w:ascii="宋体" w:hAnsi="宋体" w:eastAsia="宋体" w:cs="宋体"/>
          <w:b/>
          <w:bCs/>
          <w:color w:val="auto"/>
          <w:highlight w:val="none"/>
        </w:rPr>
      </w:pPr>
      <w:r>
        <w:rPr>
          <w:rFonts w:hint="eastAsia" w:ascii="宋体" w:hAnsi="宋体" w:eastAsia="宋体" w:cs="宋体"/>
          <w:b/>
          <w:bCs/>
          <w:color w:val="auto"/>
          <w:highlight w:val="none"/>
        </w:rPr>
        <w:t>网上自由</w:t>
      </w:r>
      <w:r>
        <w:rPr>
          <w:rFonts w:hint="eastAsia" w:ascii="宋体" w:hAnsi="宋体" w:eastAsia="宋体" w:cs="宋体"/>
          <w:b/>
          <w:bCs/>
          <w:color w:val="auto"/>
          <w:highlight w:val="none"/>
          <w:lang w:val="en-US" w:eastAsia="zh-CN"/>
        </w:rPr>
        <w:t>报价</w:t>
      </w:r>
      <w:r>
        <w:rPr>
          <w:rFonts w:hint="eastAsia" w:ascii="宋体" w:hAnsi="宋体" w:eastAsia="宋体" w:cs="宋体"/>
          <w:b/>
          <w:bCs/>
          <w:color w:val="auto"/>
          <w:highlight w:val="none"/>
        </w:rPr>
        <w:t>开始时间自通过评审专家评审通过后，系统自动颁发资格证书后，</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即可在系统进行网上报价（</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在自由</w:t>
      </w:r>
      <w:r>
        <w:rPr>
          <w:rFonts w:hint="eastAsia" w:ascii="宋体" w:hAnsi="宋体" w:eastAsia="宋体" w:cs="宋体"/>
          <w:b/>
          <w:bCs/>
          <w:color w:val="auto"/>
          <w:highlight w:val="none"/>
          <w:lang w:val="en-US" w:eastAsia="zh-CN"/>
        </w:rPr>
        <w:t>报价</w:t>
      </w:r>
      <w:r>
        <w:rPr>
          <w:rFonts w:hint="eastAsia" w:ascii="宋体" w:hAnsi="宋体" w:eastAsia="宋体" w:cs="宋体"/>
          <w:b/>
          <w:bCs/>
          <w:color w:val="auto"/>
          <w:highlight w:val="none"/>
        </w:rPr>
        <w:t>期间需进行至少一次有效报价，方可有资格进入限时</w:t>
      </w:r>
      <w:r>
        <w:rPr>
          <w:rFonts w:hint="eastAsia" w:ascii="宋体" w:hAnsi="宋体" w:eastAsia="宋体" w:cs="宋体"/>
          <w:b/>
          <w:bCs/>
          <w:color w:val="auto"/>
          <w:highlight w:val="none"/>
          <w:lang w:val="en-US" w:eastAsia="zh-CN"/>
        </w:rPr>
        <w:t>报价</w:t>
      </w:r>
      <w:r>
        <w:rPr>
          <w:rFonts w:hint="eastAsia" w:ascii="宋体" w:hAnsi="宋体" w:eastAsia="宋体" w:cs="宋体"/>
          <w:b/>
          <w:bCs/>
          <w:color w:val="auto"/>
          <w:highlight w:val="none"/>
        </w:rPr>
        <w:t>阶段）；</w:t>
      </w:r>
      <w:r>
        <w:rPr>
          <w:rFonts w:hint="eastAsia" w:ascii="宋体" w:hAnsi="宋体" w:eastAsia="宋体" w:cs="宋体"/>
          <w:color w:val="auto"/>
          <w:highlight w:val="none"/>
        </w:rPr>
        <w:t>在进入限时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阶段前，须有</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家及以上的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有效报价，否则终止</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活动，作</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失败处理。取得资格的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，按照报价规则的要求，在限时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阶段，通过</w:t>
      </w:r>
      <w:r>
        <w:rPr>
          <w:rFonts w:hint="eastAsia" w:ascii="宋体" w:hAnsi="宋体" w:eastAsia="宋体" w:cs="宋体"/>
          <w:color w:val="auto"/>
          <w:highlight w:val="none"/>
          <w:lang w:eastAsia="zh-CN"/>
        </w:rPr>
        <w:t>产权交易系统</w:t>
      </w:r>
      <w:r>
        <w:rPr>
          <w:rFonts w:hint="eastAsia" w:ascii="宋体" w:hAnsi="宋体" w:eastAsia="宋体" w:cs="宋体"/>
          <w:color w:val="auto"/>
          <w:highlight w:val="none"/>
        </w:rPr>
        <w:t>采用反向竞价多次报价方式竞争。</w:t>
      </w:r>
    </w:p>
    <w:p w14:paraId="28C084E7">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开始时间由系统按公告规定自动确定。在公告规定的网上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开始时间前1分钟，系统将当前最低有效报价进行三次提示。</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截止，按下列规则处理：</w:t>
      </w:r>
    </w:p>
    <w:p w14:paraId="6A0882A5">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期间无人报价</w:t>
      </w:r>
    </w:p>
    <w:p w14:paraId="1F29E4FA">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期间，一直无人报价，网上自由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截止时，系统显示网上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不成交。</w:t>
      </w:r>
    </w:p>
    <w:p w14:paraId="00290601">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期间有</w:t>
      </w:r>
      <w:r>
        <w:rPr>
          <w:rFonts w:hint="eastAsia" w:ascii="宋体" w:hAnsi="宋体" w:eastAsia="宋体" w:cs="宋体"/>
          <w:color w:val="auto"/>
          <w:highlight w:val="none"/>
          <w:lang w:val="en-US" w:eastAsia="zh-CN"/>
        </w:rPr>
        <w:t>三</w:t>
      </w:r>
      <w:r>
        <w:rPr>
          <w:rStyle w:val="36"/>
          <w:rFonts w:hint="eastAsia" w:ascii="宋体" w:hAnsi="宋体" w:eastAsia="宋体" w:cs="宋体"/>
          <w:bCs/>
          <w:color w:val="auto"/>
          <w:szCs w:val="24"/>
          <w:highlight w:val="none"/>
          <w:shd w:val="clear" w:color="auto" w:fill="FFFFFF"/>
        </w:rPr>
        <w:t>家或</w:t>
      </w:r>
      <w:r>
        <w:rPr>
          <w:rStyle w:val="36"/>
          <w:rFonts w:hint="eastAsia" w:ascii="宋体" w:hAnsi="宋体" w:eastAsia="宋体" w:cs="宋体"/>
          <w:bCs/>
          <w:color w:val="auto"/>
          <w:szCs w:val="24"/>
          <w:highlight w:val="none"/>
          <w:shd w:val="clear" w:color="auto" w:fill="FFFFFF"/>
          <w:lang w:val="en-US" w:eastAsia="zh-CN"/>
        </w:rPr>
        <w:t>三</w:t>
      </w:r>
      <w:r>
        <w:rPr>
          <w:rStyle w:val="36"/>
          <w:rFonts w:hint="eastAsia" w:ascii="宋体" w:hAnsi="宋体" w:eastAsia="宋体" w:cs="宋体"/>
          <w:bCs/>
          <w:color w:val="auto"/>
          <w:szCs w:val="24"/>
          <w:highlight w:val="none"/>
          <w:shd w:val="clear" w:color="auto" w:fill="FFFFFF"/>
        </w:rPr>
        <w:t>家以上</w:t>
      </w:r>
      <w:r>
        <w:rPr>
          <w:rFonts w:hint="eastAsia" w:ascii="宋体" w:hAnsi="宋体" w:eastAsia="宋体" w:cs="宋体"/>
          <w:color w:val="auto"/>
          <w:highlight w:val="none"/>
        </w:rPr>
        <w:t>有效报价。</w:t>
      </w:r>
    </w:p>
    <w:p w14:paraId="70BA5B0A">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截止时，有</w:t>
      </w:r>
      <w:r>
        <w:rPr>
          <w:rStyle w:val="36"/>
          <w:rFonts w:hint="eastAsia" w:ascii="宋体" w:hAnsi="宋体" w:eastAsia="宋体" w:cs="宋体"/>
          <w:bCs/>
          <w:color w:val="auto"/>
          <w:szCs w:val="24"/>
          <w:highlight w:val="none"/>
          <w:shd w:val="clear" w:color="auto" w:fill="FFFFFF"/>
          <w:lang w:val="en-US" w:eastAsia="zh-CN"/>
        </w:rPr>
        <w:t>3</w:t>
      </w:r>
      <w:r>
        <w:rPr>
          <w:rStyle w:val="36"/>
          <w:rFonts w:hint="eastAsia" w:ascii="宋体" w:hAnsi="宋体" w:eastAsia="宋体" w:cs="宋体"/>
          <w:bCs/>
          <w:color w:val="auto"/>
          <w:szCs w:val="24"/>
          <w:highlight w:val="none"/>
          <w:shd w:val="clear" w:color="auto" w:fill="FFFFFF"/>
        </w:rPr>
        <w:t>家及以上的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有效报价，系统进入网上限时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程序。</w:t>
      </w:r>
    </w:p>
    <w:p w14:paraId="2B581002">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分钟倒计时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规则</w:t>
      </w:r>
    </w:p>
    <w:p w14:paraId="66B56A05">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系统设置</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开始时间到达，有</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参加网上限时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的，系统开始第一次</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分钟倒计时，具有网上限时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资格的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可参加限时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中的报价应当在</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分钟倒计时内提交，报价规则按本须知规定执行。</w:t>
      </w:r>
    </w:p>
    <w:p w14:paraId="58847051">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如在</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分钟倒计时内的任一时刻，系统接收到具有网上限时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资格的任一</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有新的报价，系统则确认该最新报价，予以显示，并从此时刻起再顺延一个新的</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分钟倒计时，具有网上限时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资格的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可参加新一轮</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，并按此方式不断顺延下去，直至</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结束。</w:t>
      </w:r>
    </w:p>
    <w:p w14:paraId="33B52B6A">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分钟倒计时延续到最后1分钟，系统对当前最低有效报价进行三次提示，每次提示延时20秒。最后一次提示延时完成，限时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结束，系统按规定确认成交结果。</w:t>
      </w:r>
    </w:p>
    <w:p w14:paraId="536D0D03">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成交结果报告</w:t>
      </w:r>
    </w:p>
    <w:p w14:paraId="27B8B694">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①</w:t>
      </w:r>
      <w:r>
        <w:rPr>
          <w:rFonts w:hint="eastAsia" w:ascii="宋体" w:hAnsi="宋体" w:eastAsia="宋体" w:cs="宋体"/>
          <w:color w:val="auto"/>
          <w:highlight w:val="none"/>
        </w:rPr>
        <w:t>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有人报价，限时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无人报价时的成交结果报告</w:t>
      </w:r>
    </w:p>
    <w:p w14:paraId="209384CA">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有</w:t>
      </w:r>
      <w:r>
        <w:rPr>
          <w:rStyle w:val="36"/>
          <w:rFonts w:hint="eastAsia" w:ascii="宋体" w:hAnsi="宋体" w:cs="宋体"/>
          <w:bCs/>
          <w:color w:val="auto"/>
          <w:szCs w:val="24"/>
          <w:highlight w:val="none"/>
          <w:shd w:val="clear" w:color="auto" w:fill="FFFFFF"/>
          <w:lang w:val="en-US" w:eastAsia="zh-CN"/>
        </w:rPr>
        <w:t>三</w:t>
      </w:r>
      <w:r>
        <w:rPr>
          <w:rStyle w:val="36"/>
          <w:rFonts w:hint="eastAsia" w:ascii="宋体" w:hAnsi="宋体" w:eastAsia="宋体" w:cs="宋体"/>
          <w:bCs/>
          <w:color w:val="auto"/>
          <w:szCs w:val="24"/>
          <w:highlight w:val="none"/>
          <w:shd w:val="clear" w:color="auto" w:fill="FFFFFF"/>
        </w:rPr>
        <w:t>个或</w:t>
      </w:r>
      <w:r>
        <w:rPr>
          <w:rStyle w:val="36"/>
          <w:rFonts w:hint="eastAsia" w:ascii="宋体" w:hAnsi="宋体" w:cs="宋体"/>
          <w:bCs/>
          <w:color w:val="auto"/>
          <w:szCs w:val="24"/>
          <w:highlight w:val="none"/>
          <w:shd w:val="clear" w:color="auto" w:fill="FFFFFF"/>
          <w:lang w:val="en-US" w:eastAsia="zh-CN"/>
        </w:rPr>
        <w:t>三</w:t>
      </w:r>
      <w:r>
        <w:rPr>
          <w:rStyle w:val="36"/>
          <w:rFonts w:hint="eastAsia" w:ascii="宋体" w:hAnsi="宋体" w:eastAsia="宋体" w:cs="宋体"/>
          <w:bCs/>
          <w:color w:val="auto"/>
          <w:szCs w:val="24"/>
          <w:highlight w:val="none"/>
          <w:shd w:val="clear" w:color="auto" w:fill="FFFFFF"/>
        </w:rPr>
        <w:t>个以上</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有效报价，但无人进入限时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时，系统将最低有效报价与保留价（底价）进行比较，按下列规定确定网上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结果：</w:t>
      </w:r>
    </w:p>
    <w:p w14:paraId="49BDFB0C">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最低有效报价不高于保留价（底价）的，应在</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结束后，确定最低报价者为本项目的第一</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候选人，由</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向</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w:t>
      </w:r>
      <w:r>
        <w:rPr>
          <w:rFonts w:hint="eastAsia" w:ascii="宋体" w:hAnsi="宋体" w:eastAsia="宋体" w:cs="宋体"/>
          <w:color w:val="auto"/>
          <w:highlight w:val="none"/>
          <w:lang w:val="en-US" w:eastAsia="zh-CN"/>
        </w:rPr>
        <w:t>评审</w:t>
      </w:r>
      <w:r>
        <w:rPr>
          <w:rFonts w:hint="eastAsia" w:ascii="宋体" w:hAnsi="宋体" w:eastAsia="宋体" w:cs="宋体"/>
          <w:color w:val="auto"/>
          <w:highlight w:val="none"/>
        </w:rPr>
        <w:t>报告；不符合的，不予发出</w:t>
      </w:r>
      <w:r>
        <w:rPr>
          <w:rFonts w:hint="eastAsia" w:ascii="宋体" w:hAnsi="宋体" w:eastAsia="宋体" w:cs="宋体"/>
          <w:color w:val="auto"/>
          <w:highlight w:val="none"/>
          <w:lang w:val="en-US" w:eastAsia="zh-CN"/>
        </w:rPr>
        <w:t>评审</w:t>
      </w:r>
      <w:r>
        <w:rPr>
          <w:rFonts w:hint="eastAsia" w:ascii="宋体" w:hAnsi="宋体" w:eastAsia="宋体" w:cs="宋体"/>
          <w:color w:val="auto"/>
          <w:highlight w:val="none"/>
        </w:rPr>
        <w:t>报告。</w:t>
      </w:r>
    </w:p>
    <w:p w14:paraId="1A510D6E">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最低有效报价高于保留价（底价）的，系统显示网上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不成交。</w:t>
      </w:r>
    </w:p>
    <w:p w14:paraId="1ADA4229">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②</w:t>
      </w:r>
      <w:r>
        <w:rPr>
          <w:rFonts w:hint="eastAsia" w:ascii="宋体" w:hAnsi="宋体" w:eastAsia="宋体" w:cs="宋体"/>
          <w:color w:val="auto"/>
          <w:highlight w:val="none"/>
        </w:rPr>
        <w:t>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中有人报价时的成交结果报告</w:t>
      </w:r>
    </w:p>
    <w:p w14:paraId="160AF3AF">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任何一次完整的</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分钟倒计时截止时，系统会自动关闭限时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中的报价通道，确认当前系统接受的最低有效报价为最终报价，系统将最低有效报价与保留价（底价）进行比较，按下列规定确定网上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结果报告：</w:t>
      </w:r>
    </w:p>
    <w:p w14:paraId="465C176E">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最低有效报价不高于保留价（底价）的，在</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结束后，确定最低报价者为本项目的第一</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rPr>
        <w:t>候选人，由</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向</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w:t>
      </w:r>
      <w:r>
        <w:rPr>
          <w:rFonts w:hint="eastAsia" w:ascii="宋体" w:hAnsi="宋体" w:eastAsia="宋体" w:cs="宋体"/>
          <w:color w:val="auto"/>
          <w:highlight w:val="none"/>
          <w:lang w:val="en-US" w:eastAsia="zh-CN"/>
        </w:rPr>
        <w:t>评审</w:t>
      </w:r>
      <w:r>
        <w:rPr>
          <w:rFonts w:hint="eastAsia" w:ascii="宋体" w:hAnsi="宋体" w:eastAsia="宋体" w:cs="宋体"/>
          <w:color w:val="auto"/>
          <w:highlight w:val="none"/>
        </w:rPr>
        <w:t>报告；不符合的，不予发出</w:t>
      </w:r>
      <w:r>
        <w:rPr>
          <w:rFonts w:hint="eastAsia" w:ascii="宋体" w:hAnsi="宋体" w:eastAsia="宋体" w:cs="宋体"/>
          <w:color w:val="auto"/>
          <w:highlight w:val="none"/>
          <w:lang w:val="en-US" w:eastAsia="zh-CN"/>
        </w:rPr>
        <w:t>评审</w:t>
      </w:r>
      <w:r>
        <w:rPr>
          <w:rFonts w:hint="eastAsia" w:ascii="宋体" w:hAnsi="宋体" w:eastAsia="宋体" w:cs="宋体"/>
          <w:color w:val="auto"/>
          <w:highlight w:val="none"/>
        </w:rPr>
        <w:t>报告。</w:t>
      </w:r>
    </w:p>
    <w:p w14:paraId="5CF7F71C">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最低有效报价高于保留价的，系统显示网上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不成交。</w:t>
      </w:r>
    </w:p>
    <w:p w14:paraId="58E914C9">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③</w:t>
      </w:r>
      <w:r>
        <w:rPr>
          <w:rFonts w:hint="eastAsia" w:ascii="宋体" w:hAnsi="宋体" w:eastAsia="宋体" w:cs="宋体"/>
          <w:color w:val="auto"/>
          <w:highlight w:val="none"/>
        </w:rPr>
        <w:t>网上限时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中无人报价时的</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结果报告</w:t>
      </w:r>
    </w:p>
    <w:p w14:paraId="06930BB3">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网上自由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中最先报得的最低有效报价且不高于保留价（底价）的，系统显示成交。</w:t>
      </w:r>
    </w:p>
    <w:p w14:paraId="31890D04">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最低有效报价高于保留价（底价）的，系统显示网上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不成交。</w:t>
      </w:r>
    </w:p>
    <w:p w14:paraId="0111BB35">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二十一、保密要求</w:t>
      </w:r>
    </w:p>
    <w:p w14:paraId="15FDB7F3">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default" w:ascii="宋体" w:hAnsi="宋体" w:eastAsia="宋体" w:cs="宋体"/>
          <w:kern w:val="2"/>
          <w:sz w:val="24"/>
          <w:szCs w:val="22"/>
          <w:lang w:val="en-US" w:eastAsia="zh-CN" w:bidi="ar-SA"/>
        </w:rPr>
        <w:t>1．</w:t>
      </w:r>
      <w:r>
        <w:rPr>
          <w:rFonts w:hint="eastAsia" w:ascii="宋体" w:hAnsi="宋体" w:eastAsia="宋体" w:cs="宋体"/>
        </w:rPr>
        <w:t>谈判小组成员以及与评审工作有关的人员不得泄露评审情况以及评审过程中获悉的国家秘密、商业秘密。</w:t>
      </w:r>
    </w:p>
    <w:p w14:paraId="6DAA83CA">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default" w:ascii="宋体" w:hAnsi="宋体" w:eastAsia="宋体" w:cs="宋体"/>
          <w:kern w:val="2"/>
          <w:sz w:val="24"/>
          <w:szCs w:val="22"/>
          <w:lang w:val="en-US" w:eastAsia="zh-CN" w:bidi="ar-SA"/>
        </w:rPr>
        <w:t>2．</w:t>
      </w:r>
      <w:r>
        <w:rPr>
          <w:rFonts w:hint="eastAsia" w:ascii="宋体" w:hAnsi="宋体" w:eastAsia="宋体" w:cs="宋体"/>
        </w:rPr>
        <w:t>供应商不得与采购人、采购代理机构、其他供应商恶意串通；不得向采购人、采购代理机构或者谈判小组成员行贿或者提供其他不正当利益；不得提供虚假材料谋取成交；不得以任何方式干扰、影响采购工作。</w:t>
      </w:r>
    </w:p>
    <w:p w14:paraId="4C0831C2">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default" w:ascii="宋体" w:hAnsi="宋体" w:eastAsia="宋体" w:cs="宋体"/>
          <w:kern w:val="2"/>
          <w:sz w:val="24"/>
          <w:szCs w:val="22"/>
          <w:lang w:val="en-US" w:eastAsia="zh-CN" w:bidi="ar-SA"/>
        </w:rPr>
        <w:t>3．</w:t>
      </w:r>
      <w:r>
        <w:rPr>
          <w:rFonts w:hint="eastAsia" w:ascii="宋体" w:hAnsi="宋体" w:eastAsia="宋体" w:cs="宋体"/>
        </w:rPr>
        <w:t>有下列情形之一的，属于恶意串通，成交无效，并依照《政府采购法》第七十七条的规定追究法律责任：</w:t>
      </w:r>
    </w:p>
    <w:p w14:paraId="4C344C9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（1）供应商直接或者间接从采购人、采购代理机构获得其他供应商的响应情况，并修改其响应文件的；</w:t>
      </w:r>
    </w:p>
    <w:p w14:paraId="5FA335D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（2）采购人、采购代理机构授意供应商撤换、修改响应文件的；</w:t>
      </w:r>
    </w:p>
    <w:p w14:paraId="5A69C53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（3）供应商之间协商技术方案、合同条款以及报价等响应文件实质性内容的；</w:t>
      </w:r>
    </w:p>
    <w:p w14:paraId="3598F56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（4）属于同一集团、协会、商会等组织成员的供应商按照该组织要求协同参加竞争性谈判政府采购活动的；</w:t>
      </w:r>
    </w:p>
    <w:p w14:paraId="232757B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（5）供应商之间事先约定由某一特定供应商成交的；</w:t>
      </w:r>
    </w:p>
    <w:p w14:paraId="2C0FD26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（6）供应商之间商定部分供应商放弃提交响应文件或者退出谈判或者放弃成交的；</w:t>
      </w:r>
    </w:p>
    <w:p w14:paraId="13AA82A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（7）供应商与采购人、采购代理机构以及谈判小组成员之间、供应商相互之间，为谋求特定供应商成交或者排斥其他供应商的其他串通行为的。</w:t>
      </w:r>
    </w:p>
    <w:p w14:paraId="48FD261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（8）法律、行政法规或规章规定的其他串通行为。</w:t>
      </w:r>
    </w:p>
    <w:p w14:paraId="454FBAC2">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二十二、重新评审</w:t>
      </w:r>
    </w:p>
    <w:p w14:paraId="60E19AE1">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除资格性审查认定错误和价格计算错误外，采购人、采购代理机构不</w:t>
      </w:r>
      <w:r>
        <w:rPr>
          <w:rFonts w:hint="eastAsia" w:ascii="宋体" w:hAnsi="宋体" w:eastAsia="宋体" w:cs="宋体"/>
          <w:lang w:val="en-US" w:eastAsia="zh-CN"/>
        </w:rPr>
        <w:t>得</w:t>
      </w:r>
      <w:r>
        <w:rPr>
          <w:rFonts w:hint="eastAsia" w:ascii="宋体" w:hAnsi="宋体" w:eastAsia="宋体" w:cs="宋体"/>
        </w:rPr>
        <w:t>以任何理由组织重新评审。</w:t>
      </w:r>
    </w:p>
    <w:p w14:paraId="273F898F">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采购人、采购代理机构发现谈判小组未按照谈判文件规定的评定成交的标准进行评审的，应当重新开展采购活动，并同时书面报告本级财政部门。</w:t>
      </w:r>
    </w:p>
    <w:p w14:paraId="04740666">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二十三、成交信息公布</w:t>
      </w:r>
    </w:p>
    <w:p w14:paraId="6262E403">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采用公开招标最低评标价法和竞争性谈判方式的项目，评标委员会、谈判小组应当根据通过资格审核和符合性审查的供应商的报价，按照报价由低到高的顺序推荐3个中标、成交候选人，并编写评审报告。第一中标、成交候选人的报价应当等于或者小于保留价。采购人应当按照评审报告推荐的中标、成交候选人的顺序确定中标、成交供应商。</w:t>
      </w:r>
    </w:p>
    <w:p w14:paraId="387CDF42">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若第一中标、成交候选人主动放弃或者未按照采购文件要求 提交履约保证金或者未按时与采购人签订合同而被取消资格后，第二中标、成交候选人同意按照高于第一中标、成交候选人一个减价幅度的报价的，则第二中标、成交候选人应当确定为中标、成交供应商。</w:t>
      </w:r>
    </w:p>
    <w:p w14:paraId="434E81E5">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color w:val="auto"/>
          <w:highlight w:val="none"/>
        </w:rPr>
        <w:t>若第二中标、成交候选人不接受此成交条件，第三中标、成交候选人同意按照高于第一中标、成交候选人一个减价幅度的报价的，则第三中标、成交候选人应当确定为中标、成交供应商。</w:t>
      </w:r>
    </w:p>
    <w:p w14:paraId="4A853910">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若3个中标、成交候选人均不接受此成交条件，采购人应当重新组织采购活动。</w:t>
      </w:r>
    </w:p>
    <w:p w14:paraId="3C3123B4">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5．</w:t>
      </w:r>
      <w:r>
        <w:rPr>
          <w:rFonts w:hint="eastAsia" w:ascii="宋体" w:hAnsi="宋体" w:eastAsia="宋体" w:cs="宋体"/>
          <w:color w:val="auto"/>
          <w:highlight w:val="none"/>
        </w:rPr>
        <w:t>成交公告内容应当包括</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及</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的名称、地址、联系方式、项目名称和</w:t>
      </w:r>
      <w:r>
        <w:rPr>
          <w:rFonts w:hint="eastAsia" w:ascii="宋体" w:hAnsi="宋体" w:eastAsia="宋体" w:cs="宋体"/>
          <w:color w:val="auto"/>
          <w:highlight w:val="none"/>
          <w:lang w:eastAsia="zh-CN"/>
        </w:rPr>
        <w:t>采购计划编号，对成交供应商</w:t>
      </w:r>
      <w:r>
        <w:rPr>
          <w:rFonts w:hint="eastAsia" w:ascii="宋体" w:hAnsi="宋体" w:eastAsia="宋体" w:cs="宋体"/>
          <w:color w:val="auto"/>
          <w:highlight w:val="none"/>
        </w:rPr>
        <w:t>及其他候选人、地址和成交金额，评审情况及资格审查和符合性审查情况，成交结果公告期限、评审专家名单以及</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文件约定内容进行公告的内容。</w:t>
      </w:r>
    </w:p>
    <w:p w14:paraId="6AAD91BD">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二十四、成交通知</w:t>
      </w:r>
    </w:p>
    <w:p w14:paraId="09F0623A">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rPr>
        <w:t>成交供应商确定后，采购人、采购代理机构将以书面形式向成交供应商发出成交通知书。成交通知书对采购人和成交供应商具有同等法律效力</w:t>
      </w:r>
      <w:r>
        <w:rPr>
          <w:rFonts w:hint="eastAsia" w:ascii="宋体" w:hAnsi="宋体" w:eastAsia="宋体" w:cs="宋体"/>
          <w:color w:val="auto"/>
          <w:highlight w:val="none"/>
        </w:rPr>
        <w:t>。</w:t>
      </w:r>
    </w:p>
    <w:p w14:paraId="6D9C0B8C">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rPr>
        <w:t>成交通知书是合同文件的组成部分</w:t>
      </w:r>
      <w:r>
        <w:rPr>
          <w:rFonts w:hint="eastAsia" w:ascii="宋体" w:hAnsi="宋体" w:eastAsia="宋体" w:cs="宋体"/>
          <w:color w:val="auto"/>
          <w:highlight w:val="none"/>
        </w:rPr>
        <w:t>。</w:t>
      </w:r>
    </w:p>
    <w:p w14:paraId="3E4D8681">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二十五、履约保证金</w:t>
      </w:r>
    </w:p>
    <w:p w14:paraId="0E57CDFF">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lang w:eastAsia="zh-CN"/>
        </w:rPr>
        <w:t>成交供应商</w:t>
      </w:r>
      <w:r>
        <w:rPr>
          <w:rFonts w:hint="eastAsia" w:ascii="宋体" w:hAnsi="宋体" w:eastAsia="宋体" w:cs="宋体"/>
          <w:color w:val="auto"/>
          <w:highlight w:val="none"/>
        </w:rPr>
        <w:t>应按照</w:t>
      </w: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须知前附表】</w:t>
      </w:r>
      <w:r>
        <w:rPr>
          <w:rFonts w:hint="eastAsia" w:ascii="宋体" w:hAnsi="宋体" w:eastAsia="宋体" w:cs="宋体"/>
          <w:color w:val="auto"/>
          <w:highlight w:val="none"/>
        </w:rPr>
        <w:t>规定缴纳</w:t>
      </w:r>
      <w:r>
        <w:rPr>
          <w:rFonts w:hint="eastAsia" w:ascii="宋体" w:hAnsi="宋体" w:eastAsia="宋体" w:cs="宋体"/>
          <w:color w:val="auto"/>
          <w:highlight w:val="none"/>
          <w:lang w:eastAsia="zh-CN"/>
        </w:rPr>
        <w:t>履约保证金</w:t>
      </w:r>
      <w:r>
        <w:rPr>
          <w:rFonts w:hint="eastAsia" w:ascii="宋体" w:hAnsi="宋体" w:eastAsia="宋体" w:cs="宋体"/>
          <w:color w:val="auto"/>
          <w:highlight w:val="none"/>
        </w:rPr>
        <w:t>。</w:t>
      </w:r>
    </w:p>
    <w:p w14:paraId="7D535D04">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rPr>
        <w:t>如果成交供应商没有按照上述履约保证金的规定执行，将视为放弃成交资格。在此情况下，采购人可确定下一成交候选人为成交供应商，也可以重新开展采购活动</w:t>
      </w:r>
      <w:r>
        <w:rPr>
          <w:rFonts w:hint="eastAsia" w:ascii="宋体" w:hAnsi="宋体" w:eastAsia="宋体" w:cs="宋体"/>
          <w:color w:val="auto"/>
          <w:highlight w:val="none"/>
        </w:rPr>
        <w:t>。</w:t>
      </w:r>
    </w:p>
    <w:p w14:paraId="7A23790D">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二十六、签订合同</w:t>
      </w:r>
    </w:p>
    <w:p w14:paraId="07C90913">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rPr>
        <w:t>采购人与成交供应商应当自发出成交通知书之日起 30 日内签订合同</w:t>
      </w:r>
      <w:r>
        <w:rPr>
          <w:rFonts w:hint="eastAsia" w:ascii="宋体" w:hAnsi="宋体" w:eastAsia="宋体" w:cs="宋体"/>
          <w:color w:val="auto"/>
          <w:highlight w:val="none"/>
        </w:rPr>
        <w:t>。</w:t>
      </w:r>
    </w:p>
    <w:p w14:paraId="48AB6D67">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rPr>
        <w:t>谈判文件、成交供应商的响应文件及其澄清文件等，均为签订合同的依据</w:t>
      </w:r>
      <w:r>
        <w:rPr>
          <w:rFonts w:hint="eastAsia" w:ascii="宋体" w:hAnsi="宋体" w:eastAsia="宋体" w:cs="宋体"/>
          <w:color w:val="auto"/>
          <w:highlight w:val="none"/>
        </w:rPr>
        <w:t>。</w:t>
      </w:r>
    </w:p>
    <w:p w14:paraId="756CACD7">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rPr>
        <w:t>成交供应商拒绝与采购人签订合同的，采购人可以按照评审报告推荐的成交候选人名单排序，确定下一成交候选人为成交供应商，也可以重新开展采购活动。成交供应商拒绝签订政府采购合同不得参加对该项目重新开展的采购活动</w:t>
      </w:r>
      <w:r>
        <w:rPr>
          <w:rFonts w:hint="eastAsia" w:ascii="宋体" w:hAnsi="宋体" w:eastAsia="宋体" w:cs="宋体"/>
          <w:color w:val="auto"/>
          <w:highlight w:val="none"/>
        </w:rPr>
        <w:t>。</w:t>
      </w:r>
    </w:p>
    <w:p w14:paraId="0F22619B">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二十七、政府采购政策</w:t>
      </w:r>
    </w:p>
    <w:p w14:paraId="6D66482A">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采用公开招标最低评标价法和竞争性谈判的项目，应当按照供应商的实际报价由低到高进行排序，不再享受价格扣除优惠政策</w:t>
      </w:r>
      <w:r>
        <w:rPr>
          <w:rFonts w:hint="eastAsia" w:ascii="宋体" w:hAnsi="宋体" w:eastAsia="宋体" w:cs="宋体"/>
          <w:b/>
          <w:bCs/>
          <w:color w:val="auto"/>
          <w:highlight w:val="none"/>
        </w:rPr>
        <w:t>。</w:t>
      </w:r>
    </w:p>
    <w:p w14:paraId="077A99CE">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二十八、人员回避</w:t>
      </w:r>
    </w:p>
    <w:p w14:paraId="1A2F22C7">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认为</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及其相关人员有法律法规所列与其他</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有利害关系的，可以向</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或</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书面提出回避申请，并说明理由。</w:t>
      </w:r>
    </w:p>
    <w:p w14:paraId="2685E311">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二十九、询问及质疑</w:t>
      </w:r>
    </w:p>
    <w:p w14:paraId="25EA1E2E">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default" w:ascii="宋体" w:hAnsi="宋体" w:eastAsia="宋体" w:cs="宋体"/>
          <w:kern w:val="2"/>
          <w:sz w:val="24"/>
          <w:szCs w:val="22"/>
          <w:lang w:val="en-US" w:eastAsia="zh-CN" w:bidi="ar-SA"/>
        </w:rPr>
        <w:t>1．</w:t>
      </w:r>
      <w:r>
        <w:rPr>
          <w:rFonts w:hint="eastAsia" w:ascii="宋体" w:hAnsi="宋体" w:eastAsia="宋体" w:cs="宋体"/>
        </w:rPr>
        <w:t>供应商对政府采购活动事项有疑问的，可以向采购人、采购代理机构提出询问。</w:t>
      </w:r>
    </w:p>
    <w:p w14:paraId="6EA8A8C0">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rPr>
      </w:pPr>
      <w:r>
        <w:rPr>
          <w:rFonts w:hint="default" w:ascii="宋体" w:hAnsi="宋体" w:eastAsia="宋体" w:cs="宋体"/>
          <w:kern w:val="2"/>
          <w:sz w:val="24"/>
          <w:szCs w:val="22"/>
          <w:lang w:val="en-US" w:eastAsia="zh-CN" w:bidi="ar-SA"/>
        </w:rPr>
        <w:t>2．</w:t>
      </w:r>
      <w:r>
        <w:rPr>
          <w:rFonts w:hint="eastAsia" w:ascii="宋体" w:hAnsi="宋体" w:eastAsia="宋体" w:cs="宋体"/>
        </w:rPr>
        <w:t>供应商若认为谈判文件、采购过程和成交结果使自己的权益受到损害，可以按法律、规章及《湖南省财政厅关于印发〈政府采购质疑答复和投诉处理操作规程〉的通知》（</w:t>
      </w:r>
      <w:r>
        <w:rPr>
          <w:rFonts w:hint="eastAsia" w:ascii="宋体" w:hAnsi="宋体" w:cs="宋体"/>
          <w:lang w:eastAsia="zh-CN"/>
        </w:rPr>
        <w:t>湘财购〔2024〕67号</w:t>
      </w:r>
      <w:r>
        <w:rPr>
          <w:rFonts w:hint="eastAsia" w:ascii="宋体" w:hAnsi="宋体" w:eastAsia="宋体" w:cs="宋体"/>
        </w:rPr>
        <w:t>）文件规定向采购人、采购代理机构提出质疑。</w:t>
      </w:r>
    </w:p>
    <w:p w14:paraId="1336CD7D">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rPr>
        <w:t>质疑函接收部门、联系电话和通讯地址，见</w:t>
      </w:r>
      <w:r>
        <w:rPr>
          <w:rFonts w:hint="eastAsia" w:ascii="宋体" w:hAnsi="宋体" w:eastAsia="宋体" w:cs="宋体"/>
          <w:b/>
        </w:rPr>
        <w:t>【供应商须知前附表】</w:t>
      </w:r>
      <w:r>
        <w:rPr>
          <w:rFonts w:hint="eastAsia" w:ascii="宋体" w:hAnsi="宋体" w:eastAsia="宋体" w:cs="宋体"/>
          <w:color w:val="auto"/>
          <w:highlight w:val="none"/>
        </w:rPr>
        <w:t>。</w:t>
      </w:r>
    </w:p>
    <w:p w14:paraId="12719FE0">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三十、投诉</w:t>
      </w:r>
    </w:p>
    <w:p w14:paraId="6E71214F">
      <w:pPr>
        <w:pageBreakBefore w:val="0"/>
        <w:widowControl w:val="0"/>
        <w:kinsoku/>
        <w:wordWrap/>
        <w:overflowPunct/>
        <w:topLinePunct w:val="0"/>
        <w:autoSpaceDE/>
        <w:autoSpaceDN/>
        <w:bidi w:val="0"/>
        <w:spacing w:line="360" w:lineRule="auto"/>
        <w:ind w:left="0" w:leftChars="0" w:firstLine="480" w:firstLineChars="200"/>
        <w:textAlignment w:val="auto"/>
        <w:outlineLvl w:val="9"/>
        <w:rPr>
          <w:rFonts w:hint="eastAsia" w:ascii="宋体" w:hAnsi="宋体" w:eastAsia="宋体" w:cs="宋体"/>
          <w:lang w:eastAsia="zh-CN"/>
        </w:rPr>
      </w:pPr>
      <w:r>
        <w:rPr>
          <w:rFonts w:hint="eastAsia" w:ascii="宋体" w:hAnsi="宋体" w:eastAsia="宋体" w:cs="宋体"/>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r>
        <w:rPr>
          <w:rFonts w:hint="eastAsia" w:ascii="宋体" w:hAnsi="宋体" w:eastAsia="宋体" w:cs="宋体"/>
          <w:lang w:eastAsia="zh-CN"/>
        </w:rPr>
        <w:t>。</w:t>
      </w:r>
    </w:p>
    <w:p w14:paraId="3ACBB0EF">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三十一、采购代理服务费</w:t>
      </w:r>
    </w:p>
    <w:p w14:paraId="0765C56B">
      <w:pPr>
        <w:pageBreakBefore w:val="0"/>
        <w:widowControl w:val="0"/>
        <w:kinsoku/>
        <w:wordWrap/>
        <w:overflowPunct/>
        <w:topLinePunct w:val="0"/>
        <w:autoSpaceDE/>
        <w:autoSpaceDN/>
        <w:bidi w:val="0"/>
        <w:spacing w:line="360" w:lineRule="auto"/>
        <w:ind w:left="0" w:leftChars="0" w:firstLine="480" w:firstLineChars="200"/>
        <w:textAlignment w:val="auto"/>
        <w:outlineLvl w:val="9"/>
        <w:rPr>
          <w:rFonts w:hint="eastAsia" w:ascii="宋体" w:hAnsi="宋体" w:eastAsia="宋体" w:cs="宋体"/>
        </w:rPr>
      </w:pPr>
      <w:r>
        <w:rPr>
          <w:rFonts w:hint="eastAsia" w:ascii="宋体" w:hAnsi="宋体" w:eastAsia="宋体" w:cs="宋体"/>
        </w:rPr>
        <w:t>集中采购机构不得收取采购代理服务费。</w:t>
      </w:r>
    </w:p>
    <w:p w14:paraId="6955B99C">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ascii="Calibri" w:hAnsi="Calibri"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三十二、张家界市公共资源交易中心产权交易系统操作须知</w:t>
      </w:r>
    </w:p>
    <w:p w14:paraId="5E2B8709">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应妥善保管数字证书，由于数字证书遗失、损坏、更换、续期等情况导致响应文件无法上传，由</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自行承担责任。</w:t>
      </w:r>
    </w:p>
    <w:p w14:paraId="06437923">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2.</w:t>
      </w:r>
      <w:r>
        <w:rPr>
          <w:rFonts w:hint="eastAsia" w:ascii="宋体" w:hAnsi="宋体" w:eastAsia="宋体" w:cs="宋体"/>
          <w:color w:val="auto"/>
          <w:highlight w:val="none"/>
          <w:lang w:val="en-US" w:eastAsia="zh-CN"/>
        </w:rPr>
        <w:t>竞争性谈判</w:t>
      </w:r>
      <w:r>
        <w:rPr>
          <w:rFonts w:hint="eastAsia" w:ascii="宋体" w:hAnsi="宋体" w:eastAsia="宋体" w:cs="宋体"/>
          <w:color w:val="auto"/>
          <w:highlight w:val="none"/>
        </w:rPr>
        <w:t>公告由</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通过</w:t>
      </w:r>
      <w:r>
        <w:rPr>
          <w:rFonts w:hint="eastAsia" w:ascii="宋体" w:hAnsi="宋体" w:eastAsia="宋体" w:cs="宋体"/>
          <w:color w:val="auto"/>
          <w:highlight w:val="none"/>
          <w:lang w:val="en-US" w:eastAsia="zh-CN"/>
        </w:rPr>
        <w:t>中</w:t>
      </w:r>
      <w:r>
        <w:rPr>
          <w:rFonts w:hint="eastAsia" w:ascii="宋体" w:hAnsi="宋体" w:eastAsia="宋体" w:cs="宋体"/>
          <w:color w:val="auto"/>
          <w:highlight w:val="none"/>
        </w:rPr>
        <w:t>国·湖南政府采购网</w:t>
      </w:r>
      <w:r>
        <w:rPr>
          <w:rFonts w:hint="eastAsia" w:ascii="宋体" w:hAnsi="宋体" w:eastAsia="宋体" w:cs="宋体"/>
          <w:color w:val="auto"/>
          <w:highlight w:val="none"/>
          <w:lang w:eastAsia="zh-CN"/>
        </w:rPr>
        <w:t>、张家界市公共资源交易中心产权交易系统</w:t>
      </w:r>
      <w:r>
        <w:rPr>
          <w:rFonts w:hint="eastAsia" w:ascii="宋体" w:hAnsi="宋体" w:eastAsia="宋体" w:cs="宋体"/>
          <w:color w:val="auto"/>
          <w:highlight w:val="none"/>
        </w:rPr>
        <w:t>、张家界市公共资源交易网站发布。</w:t>
      </w:r>
    </w:p>
    <w:p w14:paraId="032A5B3E">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3.</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登录张家界市公共资源交易网站</w:t>
      </w:r>
      <w:r>
        <w:rPr>
          <w:rFonts w:hint="eastAsia" w:ascii="宋体" w:hAnsi="宋体" w:eastAsia="宋体" w:cs="宋体"/>
          <w:color w:val="auto"/>
          <w:highlight w:val="none"/>
          <w:lang w:eastAsia="zh-CN"/>
        </w:rPr>
        <w:t>、张家界市公共资源交易中心产权交易系统</w:t>
      </w:r>
      <w:r>
        <w:rPr>
          <w:rFonts w:hint="eastAsia" w:ascii="宋体" w:hAnsi="宋体" w:eastAsia="宋体" w:cs="宋体"/>
          <w:color w:val="auto"/>
          <w:highlight w:val="none"/>
        </w:rPr>
        <w:t>获取</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w:t>
      </w:r>
    </w:p>
    <w:p w14:paraId="5EF26F8B">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4.</w:t>
      </w:r>
      <w:r>
        <w:rPr>
          <w:rFonts w:hint="eastAsia" w:ascii="宋体" w:hAnsi="宋体" w:eastAsia="宋体" w:cs="宋体"/>
          <w:color w:val="auto"/>
          <w:highlight w:val="none"/>
        </w:rPr>
        <w:t>澄清、修改文件应由</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中</w:t>
      </w:r>
      <w:r>
        <w:rPr>
          <w:rFonts w:hint="eastAsia" w:ascii="宋体" w:hAnsi="宋体" w:eastAsia="宋体" w:cs="宋体"/>
          <w:color w:val="auto"/>
          <w:highlight w:val="none"/>
        </w:rPr>
        <w:t>国·湖南政府采购网</w:t>
      </w:r>
      <w:r>
        <w:rPr>
          <w:rFonts w:hint="eastAsia" w:ascii="宋体" w:hAnsi="宋体" w:eastAsia="宋体" w:cs="宋体"/>
          <w:color w:val="auto"/>
          <w:highlight w:val="none"/>
          <w:lang w:eastAsia="zh-CN"/>
        </w:rPr>
        <w:t>、张家界市公共资源交易中心产权交易系统</w:t>
      </w:r>
      <w:r>
        <w:rPr>
          <w:rFonts w:hint="eastAsia" w:ascii="宋体" w:hAnsi="宋体" w:eastAsia="宋体" w:cs="宋体"/>
          <w:color w:val="auto"/>
          <w:highlight w:val="none"/>
        </w:rPr>
        <w:t>、张家界市公共资源交易网站发布，</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应及时查阅相关澄清、修改信息。</w:t>
      </w:r>
    </w:p>
    <w:p w14:paraId="41133199">
      <w:pPr>
        <w:pStyle w:val="44"/>
        <w:keepNext w:val="0"/>
        <w:keepLines w:val="0"/>
        <w:pageBreakBefore w:val="0"/>
        <w:widowControl w:val="0"/>
        <w:numPr>
          <w:ilvl w:val="0"/>
          <w:numId w:val="0"/>
        </w:numPr>
        <w:kinsoku/>
        <w:wordWrap w:val="0"/>
        <w:overflowPunct/>
        <w:topLinePunct w:val="0"/>
        <w:autoSpaceDE/>
        <w:autoSpaceDN/>
        <w:bidi w:val="0"/>
        <w:adjustRightInd w:val="0"/>
        <w:snapToGrid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5.</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须办理数字证书ukey（办理数字证书请登录湖南省CA证书与电子签章资源共享平台注册办理，或到</w:t>
      </w:r>
      <w:r>
        <w:rPr>
          <w:rFonts w:hint="eastAsia" w:ascii="宋体" w:hAnsi="宋体" w:eastAsia="宋体" w:cs="宋体"/>
          <w:color w:val="auto"/>
          <w:highlight w:val="none"/>
          <w:lang w:val="en-US" w:eastAsia="zh-CN"/>
        </w:rPr>
        <w:t>张家界市公共资源交易中心</w:t>
      </w:r>
      <w:r>
        <w:rPr>
          <w:rFonts w:hint="eastAsia" w:ascii="宋体" w:hAnsi="宋体" w:eastAsia="宋体" w:cs="宋体"/>
          <w:color w:val="auto"/>
          <w:highlight w:val="none"/>
        </w:rPr>
        <w:t>一楼大厅数字证书服务窗口办理。湖南省CA证书与电子签章资源共享平台登录地址：https://casign.hnsggzy.com:7080/ca-hunanplatform/operation/main</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），数字证书驱动下载请到张家界市公共资源交易中心</w:t>
      </w:r>
      <w:r>
        <w:rPr>
          <w:rFonts w:hint="eastAsia" w:ascii="宋体" w:hAnsi="宋体" w:eastAsia="宋体" w:cs="宋体"/>
          <w:color w:val="auto"/>
          <w:highlight w:val="none"/>
          <w:lang w:eastAsia="zh-CN"/>
        </w:rPr>
        <w:t>产权交易</w:t>
      </w:r>
      <w:r>
        <w:rPr>
          <w:rFonts w:hint="eastAsia" w:ascii="宋体" w:hAnsi="宋体" w:eastAsia="宋体" w:cs="宋体"/>
          <w:color w:val="auto"/>
          <w:highlight w:val="none"/>
        </w:rPr>
        <w:t>系统下载专用驱动。</w:t>
      </w:r>
    </w:p>
    <w:p w14:paraId="590FC92E">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6.</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必须于</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文件规定的</w:t>
      </w:r>
      <w:r>
        <w:rPr>
          <w:rFonts w:hint="eastAsia" w:ascii="宋体" w:hAnsi="宋体" w:eastAsia="宋体" w:cs="宋体"/>
          <w:color w:val="auto"/>
          <w:highlight w:val="none"/>
          <w:lang w:eastAsia="zh-CN"/>
        </w:rPr>
        <w:t>资格审查开始</w:t>
      </w:r>
      <w:r>
        <w:rPr>
          <w:rFonts w:hint="eastAsia" w:ascii="宋体" w:hAnsi="宋体" w:eastAsia="宋体" w:cs="宋体"/>
          <w:color w:val="auto"/>
          <w:highlight w:val="none"/>
        </w:rPr>
        <w:t>时间前通过</w:t>
      </w:r>
      <w:r>
        <w:rPr>
          <w:rFonts w:hint="eastAsia" w:ascii="宋体" w:hAnsi="宋体" w:eastAsia="宋体" w:cs="宋体"/>
          <w:color w:val="auto"/>
          <w:highlight w:val="none"/>
          <w:lang w:eastAsia="zh-CN"/>
        </w:rPr>
        <w:t>产权交易系统</w:t>
      </w:r>
      <w:r>
        <w:rPr>
          <w:rFonts w:hint="eastAsia" w:ascii="宋体" w:hAnsi="宋体" w:eastAsia="宋体" w:cs="宋体"/>
          <w:color w:val="auto"/>
          <w:highlight w:val="none"/>
        </w:rPr>
        <w:t>完成响应文件上传。</w:t>
      </w:r>
    </w:p>
    <w:p w14:paraId="7A6DAA02">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7.</w:t>
      </w:r>
      <w:r>
        <w:rPr>
          <w:rFonts w:hint="eastAsia" w:ascii="宋体" w:hAnsi="宋体" w:eastAsia="宋体" w:cs="宋体"/>
          <w:color w:val="auto"/>
          <w:highlight w:val="none"/>
        </w:rPr>
        <w:t>报名截止时间以</w:t>
      </w:r>
      <w:r>
        <w:rPr>
          <w:rFonts w:hint="eastAsia" w:ascii="宋体" w:hAnsi="宋体" w:eastAsia="宋体" w:cs="宋体"/>
          <w:color w:val="auto"/>
          <w:highlight w:val="none"/>
          <w:lang w:eastAsia="zh-CN"/>
        </w:rPr>
        <w:t>产权交易系统</w:t>
      </w:r>
      <w:r>
        <w:rPr>
          <w:rFonts w:hint="eastAsia" w:ascii="宋体" w:hAnsi="宋体" w:eastAsia="宋体" w:cs="宋体"/>
          <w:color w:val="auto"/>
          <w:highlight w:val="none"/>
        </w:rPr>
        <w:t>显示的时间为准，逾期系统将自动关闭，未完成上传的响应文件将被拒绝。</w:t>
      </w:r>
    </w:p>
    <w:p w14:paraId="00475715">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8.</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须按照</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文件的要求在自由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及限时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时间以前登录</w:t>
      </w:r>
      <w:r>
        <w:rPr>
          <w:rFonts w:hint="eastAsia" w:ascii="宋体" w:hAnsi="宋体" w:eastAsia="宋体" w:cs="宋体"/>
          <w:color w:val="auto"/>
          <w:highlight w:val="none"/>
          <w:lang w:eastAsia="zh-CN"/>
        </w:rPr>
        <w:t>张家界市公共资源交易中心产权交易系统</w:t>
      </w:r>
      <w:r>
        <w:rPr>
          <w:rFonts w:hint="eastAsia" w:ascii="宋体" w:hAnsi="宋体" w:eastAsia="宋体" w:cs="宋体"/>
          <w:color w:val="auto"/>
          <w:highlight w:val="none"/>
        </w:rPr>
        <w:t>，密切关注系统并保持通讯设备畅通，直到项目</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结束。</w:t>
      </w:r>
    </w:p>
    <w:p w14:paraId="0F525B2A">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9.</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在报名截止时间后按</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文件规定的自由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时间完成网上报价。</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未在</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文件规定的自由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时间内完成网上报价的视为其放弃进入限时</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w:t>
      </w:r>
    </w:p>
    <w:p w14:paraId="7ED7B38D">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10.</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组织评审专家评审，按规定随机抽取确定项目</w:t>
      </w:r>
      <w:r>
        <w:rPr>
          <w:rFonts w:hint="eastAsia" w:ascii="宋体" w:hAnsi="宋体" w:eastAsia="宋体" w:cs="宋体"/>
          <w:color w:val="auto"/>
          <w:highlight w:val="none"/>
          <w:lang w:val="en-US" w:eastAsia="zh-CN"/>
        </w:rPr>
        <w:t>谈判小</w:t>
      </w:r>
      <w:r>
        <w:rPr>
          <w:rFonts w:hint="eastAsia" w:ascii="宋体" w:hAnsi="宋体" w:eastAsia="宋体" w:cs="宋体"/>
          <w:color w:val="auto"/>
          <w:highlight w:val="none"/>
        </w:rPr>
        <w:t>组。</w:t>
      </w:r>
      <w:r>
        <w:rPr>
          <w:rFonts w:hint="eastAsia" w:ascii="宋体" w:hAnsi="宋体" w:eastAsia="宋体" w:cs="宋体"/>
          <w:color w:val="auto"/>
          <w:highlight w:val="none"/>
          <w:lang w:val="en-US" w:eastAsia="zh-CN"/>
        </w:rPr>
        <w:t>谈判小</w:t>
      </w:r>
      <w:r>
        <w:rPr>
          <w:rFonts w:hint="eastAsia" w:ascii="宋体" w:hAnsi="宋体" w:eastAsia="宋体" w:cs="宋体"/>
          <w:color w:val="auto"/>
          <w:highlight w:val="none"/>
        </w:rPr>
        <w:t>组依据</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文件规定的评审办法进行在线评审，负责资格审查和符合性审查及其结果复核，并对评审结果签字确认。</w:t>
      </w:r>
      <w:r>
        <w:rPr>
          <w:rFonts w:hint="eastAsia" w:ascii="宋体" w:hAnsi="宋体" w:eastAsia="宋体" w:cs="宋体"/>
          <w:color w:val="auto"/>
          <w:highlight w:val="none"/>
          <w:lang w:val="en-US" w:eastAsia="zh-CN"/>
        </w:rPr>
        <w:t>谈判小</w:t>
      </w:r>
      <w:r>
        <w:rPr>
          <w:rFonts w:hint="eastAsia" w:ascii="宋体" w:hAnsi="宋体" w:eastAsia="宋体" w:cs="宋体"/>
          <w:color w:val="auto"/>
          <w:highlight w:val="none"/>
        </w:rPr>
        <w:t>组对</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文件条款存在疑义或异议的，由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作出书面解释或者澄清。</w:t>
      </w:r>
    </w:p>
    <w:p w14:paraId="7C11A649">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11.</w:t>
      </w:r>
      <w:r>
        <w:rPr>
          <w:rFonts w:hint="eastAsia" w:ascii="宋体" w:hAnsi="宋体" w:eastAsia="宋体" w:cs="宋体"/>
          <w:color w:val="auto"/>
          <w:highlight w:val="none"/>
          <w:lang w:val="en-US" w:eastAsia="zh-CN"/>
        </w:rPr>
        <w:t>谈判小</w:t>
      </w:r>
      <w:r>
        <w:rPr>
          <w:rFonts w:hint="eastAsia" w:ascii="宋体" w:hAnsi="宋体" w:eastAsia="宋体" w:cs="宋体"/>
          <w:color w:val="auto"/>
          <w:highlight w:val="none"/>
        </w:rPr>
        <w:t>组完成评审后，提交评审报告。</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将评审结果及时提交至</w:t>
      </w:r>
      <w:r>
        <w:rPr>
          <w:rFonts w:hint="eastAsia" w:ascii="宋体" w:hAnsi="宋体" w:eastAsia="宋体" w:cs="宋体"/>
          <w:color w:val="auto"/>
          <w:highlight w:val="none"/>
          <w:lang w:eastAsia="zh-CN"/>
        </w:rPr>
        <w:t>张家界市公共资源交易中心产权交易系统</w:t>
      </w:r>
      <w:r>
        <w:rPr>
          <w:rFonts w:hint="eastAsia" w:ascii="宋体" w:hAnsi="宋体" w:eastAsia="宋体" w:cs="宋体"/>
          <w:color w:val="auto"/>
          <w:highlight w:val="none"/>
        </w:rPr>
        <w:t>，通过</w:t>
      </w:r>
      <w:r>
        <w:rPr>
          <w:rFonts w:hint="eastAsia" w:ascii="宋体" w:hAnsi="宋体" w:eastAsia="宋体" w:cs="宋体"/>
          <w:color w:val="auto"/>
          <w:highlight w:val="none"/>
          <w:lang w:eastAsia="zh-CN"/>
        </w:rPr>
        <w:t>产权交易系统</w:t>
      </w:r>
      <w:r>
        <w:rPr>
          <w:rFonts w:hint="eastAsia" w:ascii="宋体" w:hAnsi="宋体" w:eastAsia="宋体" w:cs="宋体"/>
          <w:color w:val="auto"/>
          <w:highlight w:val="none"/>
        </w:rPr>
        <w:t>向</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颁发资格确认书。未通过资格审查和符合性审查的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无资格参与网上</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w:t>
      </w:r>
    </w:p>
    <w:p w14:paraId="79250AED">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default" w:ascii="宋体" w:hAnsi="宋体" w:eastAsia="宋体" w:cs="宋体"/>
          <w:color w:val="auto"/>
          <w:kern w:val="2"/>
          <w:sz w:val="24"/>
          <w:szCs w:val="22"/>
          <w:lang w:val="en-US" w:eastAsia="zh-CN" w:bidi="ar-SA"/>
        </w:rPr>
        <w:t>12.</w:t>
      </w:r>
      <w:r>
        <w:rPr>
          <w:rFonts w:hint="eastAsia" w:ascii="宋体" w:hAnsi="宋体" w:eastAsia="宋体" w:cs="宋体"/>
          <w:color w:val="auto"/>
          <w:highlight w:val="none"/>
        </w:rPr>
        <w:t>出现下列情形导致</w:t>
      </w:r>
      <w:r>
        <w:rPr>
          <w:rFonts w:hint="eastAsia" w:ascii="宋体" w:hAnsi="宋体" w:eastAsia="宋体" w:cs="宋体"/>
          <w:color w:val="auto"/>
          <w:highlight w:val="none"/>
          <w:lang w:eastAsia="zh-CN"/>
        </w:rPr>
        <w:t>产权交易系统</w:t>
      </w:r>
      <w:r>
        <w:rPr>
          <w:rFonts w:hint="eastAsia" w:ascii="宋体" w:hAnsi="宋体" w:eastAsia="宋体" w:cs="宋体"/>
          <w:color w:val="auto"/>
          <w:highlight w:val="none"/>
        </w:rPr>
        <w:t>无法正常运行，影响</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过程的公平、公正和信息安全，经第三方机构认定后，各方当事人免责：</w:t>
      </w:r>
    </w:p>
    <w:p w14:paraId="4F08875C">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（1）网络、服务器、数据库发生故障造成无法访问或使用的；</w:t>
      </w:r>
    </w:p>
    <w:p w14:paraId="11E19253">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（2）电力系统发生故障导致</w:t>
      </w:r>
      <w:r>
        <w:rPr>
          <w:rFonts w:hint="eastAsia" w:ascii="宋体" w:hAnsi="宋体" w:eastAsia="宋体" w:cs="宋体"/>
          <w:color w:val="auto"/>
          <w:highlight w:val="none"/>
          <w:lang w:eastAsia="zh-CN"/>
        </w:rPr>
        <w:t>产权交易系统</w:t>
      </w:r>
      <w:r>
        <w:rPr>
          <w:rFonts w:hint="eastAsia" w:ascii="宋体" w:hAnsi="宋体" w:eastAsia="宋体" w:cs="宋体"/>
          <w:color w:val="auto"/>
          <w:highlight w:val="none"/>
        </w:rPr>
        <w:t>无法运行；</w:t>
      </w:r>
    </w:p>
    <w:p w14:paraId="434C3D3D">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（3）出现网络攻击、病毒入侵以及</w:t>
      </w:r>
      <w:r>
        <w:rPr>
          <w:rFonts w:hint="eastAsia" w:ascii="宋体" w:hAnsi="宋体" w:eastAsia="宋体" w:cs="宋体"/>
          <w:color w:val="auto"/>
          <w:highlight w:val="none"/>
          <w:lang w:eastAsia="zh-CN"/>
        </w:rPr>
        <w:t>产权交易系统</w:t>
      </w:r>
      <w:r>
        <w:rPr>
          <w:rFonts w:hint="eastAsia" w:ascii="宋体" w:hAnsi="宋体" w:eastAsia="宋体" w:cs="宋体"/>
          <w:color w:val="auto"/>
          <w:highlight w:val="none"/>
        </w:rPr>
        <w:t>安全漏洞导致无法正常提供服务的；</w:t>
      </w:r>
    </w:p>
    <w:p w14:paraId="70A77DDD">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（4）其他无法保证</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过程公平、公正和信息安全的情形。</w:t>
      </w:r>
    </w:p>
    <w:p w14:paraId="119CD6DC">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rPr>
        <w:t>出现上述情形，系统建设方应及时组织相关方查明原因，排除故障。若能保证在</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前恢复系统运行的，</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程序继续进行；若导致</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程序无法按时开展，但能在原</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时间后1小时内恢复系统运行的，</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程序继续进行；若导致</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程序无法按时开展，在原</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时间后 1 小时内无法恢复系统运行的，按以下程序操作：</w:t>
      </w:r>
    </w:p>
    <w:p w14:paraId="40BDC77B">
      <w:pPr>
        <w:pStyle w:val="44"/>
        <w:pageBreakBefore w:val="0"/>
        <w:widowControl w:val="0"/>
        <w:numPr>
          <w:ilvl w:val="0"/>
          <w:numId w:val="0"/>
        </w:numPr>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（1）项目中止，中止期限由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或</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根据项目具体情况确定。中止期限届满后中止情形尚未消除的，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或</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可以根据实际情况决定延长中止期限。决定延长中止期限的，应向</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发出延长中止期限通知，并在交易中心网站进行公布。</w:t>
      </w:r>
    </w:p>
    <w:p w14:paraId="16A6A574">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color w:val="auto"/>
          <w:spacing w:val="-6"/>
          <w:sz w:val="24"/>
          <w:highlight w:val="none"/>
        </w:rPr>
      </w:pPr>
      <w:r>
        <w:rPr>
          <w:rFonts w:hint="eastAsia" w:ascii="宋体" w:hAnsi="宋体" w:eastAsia="宋体" w:cs="宋体"/>
          <w:color w:val="auto"/>
          <w:highlight w:val="none"/>
        </w:rPr>
        <w:t>（2）项目恢复导致项目中止的情形消除后，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或</w:t>
      </w:r>
      <w:r>
        <w:rPr>
          <w:rFonts w:hint="eastAsia" w:ascii="宋体" w:hAnsi="宋体" w:eastAsia="宋体" w:cs="宋体"/>
          <w:color w:val="auto"/>
          <w:highlight w:val="none"/>
          <w:lang w:eastAsia="zh-CN"/>
        </w:rPr>
        <w:t>采购代理机构</w:t>
      </w:r>
      <w:r>
        <w:rPr>
          <w:rFonts w:hint="eastAsia" w:ascii="宋体" w:hAnsi="宋体" w:eastAsia="宋体" w:cs="宋体"/>
          <w:color w:val="auto"/>
          <w:highlight w:val="none"/>
        </w:rPr>
        <w:t>应当尽快恢复</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程序，向</w:t>
      </w:r>
      <w:r>
        <w:rPr>
          <w:rFonts w:hint="eastAsia" w:ascii="宋体" w:hAnsi="宋体" w:eastAsia="宋体" w:cs="宋体"/>
          <w:color w:val="auto"/>
          <w:spacing w:val="-6"/>
          <w:sz w:val="24"/>
          <w:highlight w:val="none"/>
          <w:lang w:eastAsia="zh-CN"/>
        </w:rPr>
        <w:t>供应商</w:t>
      </w:r>
      <w:r>
        <w:rPr>
          <w:rFonts w:hint="eastAsia" w:ascii="宋体" w:hAnsi="宋体" w:eastAsia="宋体" w:cs="宋体"/>
          <w:color w:val="auto"/>
          <w:spacing w:val="-6"/>
          <w:sz w:val="24"/>
          <w:highlight w:val="none"/>
        </w:rPr>
        <w:t>发出恢复交易通知，并在交易中心网站进行公布；已发出延长中止期限通知的，按通知执行。</w:t>
      </w:r>
    </w:p>
    <w:p w14:paraId="38B81106">
      <w:pPr>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outlineLvl w:val="9"/>
        <w:rPr>
          <w:rFonts w:hint="eastAsia" w:eastAsia="宋体" w:cs="宋体"/>
          <w:b/>
          <w:bCs/>
          <w:color w:val="auto"/>
          <w:kern w:val="2"/>
          <w:sz w:val="24"/>
          <w:szCs w:val="24"/>
          <w:lang w:val="en-US" w:eastAsia="zh-CN" w:bidi="ar-SA"/>
        </w:rPr>
      </w:pPr>
      <w:r>
        <w:rPr>
          <w:rFonts w:hint="eastAsia" w:ascii="Calibri" w:hAnsi="Calibri" w:eastAsia="宋体" w:cs="宋体"/>
          <w:b/>
          <w:bCs/>
          <w:color w:val="auto"/>
          <w:kern w:val="2"/>
          <w:sz w:val="24"/>
          <w:szCs w:val="24"/>
          <w:lang w:val="en-US" w:eastAsia="zh-CN" w:bidi="ar-SA"/>
        </w:rPr>
        <w:t>三十</w:t>
      </w:r>
      <w:r>
        <w:rPr>
          <w:rFonts w:hint="eastAsia" w:eastAsia="宋体" w:cs="宋体"/>
          <w:b/>
          <w:bCs/>
          <w:color w:val="auto"/>
          <w:kern w:val="2"/>
          <w:sz w:val="24"/>
          <w:szCs w:val="24"/>
          <w:lang w:val="en-US" w:eastAsia="zh-CN" w:bidi="ar-SA"/>
        </w:rPr>
        <w:t>三</w:t>
      </w:r>
      <w:r>
        <w:rPr>
          <w:rFonts w:hint="eastAsia" w:ascii="Calibri" w:hAnsi="Calibri" w:eastAsia="宋体" w:cs="宋体"/>
          <w:b/>
          <w:bCs/>
          <w:color w:val="auto"/>
          <w:kern w:val="2"/>
          <w:sz w:val="24"/>
          <w:szCs w:val="24"/>
          <w:lang w:val="en-US" w:eastAsia="zh-CN" w:bidi="ar-SA"/>
        </w:rPr>
        <w:t>、</w:t>
      </w:r>
      <w:r>
        <w:rPr>
          <w:rFonts w:hint="eastAsia" w:eastAsia="宋体" w:cs="宋体"/>
          <w:b/>
          <w:bCs/>
          <w:color w:val="auto"/>
          <w:kern w:val="2"/>
          <w:sz w:val="24"/>
          <w:szCs w:val="24"/>
          <w:lang w:val="en-US" w:eastAsia="zh-CN" w:bidi="ar-SA"/>
        </w:rPr>
        <w:t>其他</w:t>
      </w:r>
    </w:p>
    <w:p w14:paraId="3E215F27">
      <w:pPr>
        <w:pStyle w:val="44"/>
        <w:pageBreakBefore w:val="0"/>
        <w:widowControl w:val="0"/>
        <w:kinsoku/>
        <w:wordWrap/>
        <w:overflowPunct/>
        <w:topLinePunct w:val="0"/>
        <w:autoSpaceDE/>
        <w:autoSpaceDN/>
        <w:bidi w:val="0"/>
        <w:spacing w:before="0" w:beforeLines="0" w:line="360" w:lineRule="auto"/>
        <w:ind w:left="0" w:leftChars="0" w:firstLine="480" w:firstLineChars="200"/>
        <w:textAlignment w:val="auto"/>
        <w:outlineLvl w:val="9"/>
        <w:rPr>
          <w:rFonts w:hint="eastAsia" w:ascii="宋体" w:hAnsi="宋体" w:eastAsia="宋体" w:cs="宋体"/>
          <w:b/>
          <w:bCs/>
          <w:color w:val="auto"/>
          <w:highlight w:val="none"/>
        </w:rPr>
      </w:pPr>
      <w:r>
        <w:rPr>
          <w:rFonts w:hint="eastAsia" w:ascii="宋体" w:hAnsi="宋体" w:eastAsia="宋体" w:cs="宋体"/>
          <w:color w:val="auto"/>
          <w:highlight w:val="none"/>
        </w:rPr>
        <w:t>其它要求见</w:t>
      </w:r>
      <w:r>
        <w:rPr>
          <w:rFonts w:hint="eastAsia" w:ascii="宋体" w:hAnsi="宋体" w:eastAsia="宋体" w:cs="宋体"/>
          <w:b/>
          <w:bCs/>
          <w:color w:val="auto"/>
          <w:highlight w:val="none"/>
        </w:rPr>
        <w:t>【供应商须知前附表】</w:t>
      </w:r>
    </w:p>
    <w:p w14:paraId="669EBE4C">
      <w:pPr>
        <w:rPr>
          <w:rFonts w:hint="eastAsia" w:ascii="宋体" w:hAnsi="宋体" w:eastAsia="宋体" w:cs="宋体"/>
          <w:b/>
          <w:bCs/>
          <w:color w:val="auto"/>
          <w:highlight w:val="none"/>
        </w:rPr>
      </w:pPr>
      <w:r>
        <w:rPr>
          <w:rFonts w:hint="eastAsia" w:ascii="宋体" w:hAnsi="宋体" w:eastAsia="宋体" w:cs="宋体"/>
          <w:b/>
          <w:bCs/>
          <w:color w:val="auto"/>
          <w:highlight w:val="none"/>
        </w:rPr>
        <w:br w:type="page"/>
      </w:r>
    </w:p>
    <w:p w14:paraId="25925B16">
      <w:pPr>
        <w:pStyle w:val="44"/>
        <w:pageBreakBefore w:val="0"/>
        <w:widowControl w:val="0"/>
        <w:kinsoku/>
        <w:wordWrap/>
        <w:overflowPunct/>
        <w:topLinePunct w:val="0"/>
        <w:autoSpaceDE/>
        <w:autoSpaceDN/>
        <w:bidi w:val="0"/>
        <w:spacing w:before="0" w:beforeLines="0" w:line="360" w:lineRule="auto"/>
        <w:ind w:left="0" w:leftChars="0" w:firstLine="482" w:firstLineChars="200"/>
        <w:textAlignment w:val="auto"/>
        <w:outlineLvl w:val="9"/>
        <w:rPr>
          <w:rFonts w:hint="eastAsia" w:ascii="宋体" w:hAnsi="宋体" w:eastAsia="宋体" w:cs="宋体"/>
          <w:b/>
          <w:bCs/>
          <w:color w:val="auto"/>
          <w:highlight w:val="none"/>
        </w:rPr>
        <w:sectPr>
          <w:footerReference r:id="rId7" w:type="default"/>
          <w:pgSz w:w="11906" w:h="16838"/>
          <w:pgMar w:top="1230" w:right="1797" w:bottom="1174" w:left="1797" w:header="850" w:footer="992" w:gutter="0"/>
          <w:cols w:space="0" w:num="1"/>
          <w:docGrid w:type="lines" w:linePitch="312" w:charSpace="0"/>
        </w:sectPr>
      </w:pPr>
    </w:p>
    <w:p w14:paraId="712C0B5E">
      <w:pPr>
        <w:pStyle w:val="2"/>
        <w:keepNext w:val="0"/>
        <w:keepLines w:val="0"/>
        <w:pageBreakBefore w:val="0"/>
        <w:widowControl w:val="0"/>
        <w:kinsoku/>
        <w:wordWrap/>
        <w:overflowPunct/>
        <w:topLinePunct w:val="0"/>
        <w:autoSpaceDE/>
        <w:autoSpaceDN/>
        <w:bidi w:val="0"/>
        <w:adjustRightInd/>
        <w:snapToGrid/>
        <w:spacing w:before="0" w:beforeLines="0" w:after="0" w:afterLines="0" w:line="240" w:lineRule="auto"/>
        <w:jc w:val="center"/>
        <w:textAlignment w:val="auto"/>
        <w:outlineLvl w:val="0"/>
        <w:rPr>
          <w:rFonts w:hint="eastAsia" w:ascii="宋体" w:hAnsi="宋体" w:eastAsia="宋体" w:cs="宋体"/>
          <w:b/>
          <w:bCs w:val="0"/>
          <w:color w:val="auto"/>
          <w:highlight w:val="none"/>
        </w:rPr>
      </w:pPr>
      <w:bookmarkStart w:id="48" w:name="_Toc641"/>
      <w:bookmarkStart w:id="49" w:name="_Toc19974"/>
      <w:r>
        <w:rPr>
          <w:rFonts w:hint="eastAsia" w:ascii="宋体" w:hAnsi="宋体" w:eastAsia="宋体" w:cs="宋体"/>
          <w:b/>
          <w:bCs w:val="0"/>
          <w:color w:val="auto"/>
          <w:highlight w:val="none"/>
        </w:rPr>
        <w:t xml:space="preserve">第三章 </w:t>
      </w:r>
      <w:r>
        <w:rPr>
          <w:rFonts w:hint="eastAsia" w:eastAsia="宋体" w:cs="宋体"/>
          <w:b/>
          <w:bCs w:val="0"/>
          <w:color w:val="auto"/>
          <w:highlight w:val="none"/>
          <w:lang w:val="en-US" w:eastAsia="zh-CN"/>
        </w:rPr>
        <w:t>采购</w:t>
      </w:r>
      <w:r>
        <w:rPr>
          <w:rFonts w:hint="eastAsia" w:ascii="宋体" w:hAnsi="宋体" w:eastAsia="宋体" w:cs="宋体"/>
          <w:b/>
          <w:bCs w:val="0"/>
          <w:color w:val="auto"/>
          <w:highlight w:val="none"/>
        </w:rPr>
        <w:t>需求</w:t>
      </w:r>
      <w:bookmarkEnd w:id="46"/>
      <w:bookmarkEnd w:id="47"/>
      <w:bookmarkEnd w:id="48"/>
      <w:bookmarkEnd w:id="49"/>
    </w:p>
    <w:p w14:paraId="19EFB9E7">
      <w:pPr>
        <w:pStyle w:val="44"/>
        <w:keepNext w:val="0"/>
        <w:keepLines w:val="0"/>
        <w:pageBreakBefore w:val="0"/>
        <w:widowControl w:val="0"/>
        <w:kinsoku/>
        <w:wordWrap/>
        <w:overflowPunct/>
        <w:topLinePunct w:val="0"/>
        <w:autoSpaceDE/>
        <w:autoSpaceDN/>
        <w:bidi w:val="0"/>
        <w:adjustRightInd w:val="0"/>
        <w:snapToGrid w:val="0"/>
        <w:spacing w:before="0" w:beforeLines="0" w:line="288" w:lineRule="auto"/>
        <w:ind w:left="0" w:leftChars="0" w:firstLine="0" w:firstLineChars="0"/>
        <w:jc w:val="left"/>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前注：</w:t>
      </w:r>
    </w:p>
    <w:p w14:paraId="3A08AA2F">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根据《关于规范政府采购进口产品有关工作的通知》及政府采购管理部门的相关规定，下列采购需求中标注进口产品的货物均已履行相关论证手续，经核准采购进口产品，但不限制满足谈判文件要求的国内产品参与竞争。未标注进口产品的货物均为拒绝采购进口产品。</w:t>
      </w:r>
    </w:p>
    <w:p w14:paraId="54575D3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4"/>
          <w:szCs w:val="22"/>
          <w:lang w:val="en-US" w:eastAsia="zh-CN" w:bidi="ar-SA"/>
        </w:rPr>
        <w:t>2．</w:t>
      </w:r>
      <w:r>
        <w:rPr>
          <w:rFonts w:hint="eastAsia" w:ascii="宋体" w:hAnsi="宋体" w:cs="宋体"/>
          <w:color w:val="auto"/>
          <w:highlight w:val="none"/>
          <w:lang w:val="en-US" w:eastAsia="zh-CN"/>
        </w:rPr>
        <w:t>本章</w:t>
      </w:r>
      <w:r>
        <w:rPr>
          <w:rFonts w:hint="eastAsia" w:ascii="宋体" w:hAnsi="宋体" w:eastAsia="宋体" w:cs="宋体"/>
          <w:color w:val="auto"/>
          <w:highlight w:val="none"/>
        </w:rPr>
        <w:t>采购需求中：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33A39652">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2"/>
          <w:lang w:val="en-US" w:eastAsia="zh-CN" w:bidi="ar-SA"/>
        </w:rPr>
        <w:t>3．</w:t>
      </w:r>
      <w:r>
        <w:rPr>
          <w:rFonts w:hint="eastAsia" w:ascii="宋体" w:hAnsi="宋体" w:cs="宋体"/>
          <w:color w:val="auto"/>
          <w:highlight w:val="none"/>
          <w:lang w:val="en-US" w:eastAsia="zh-CN"/>
        </w:rPr>
        <w:t>本章</w:t>
      </w:r>
      <w:r>
        <w:rPr>
          <w:rFonts w:hint="eastAsia" w:ascii="宋体" w:hAnsi="宋体" w:eastAsia="宋体" w:cs="宋体"/>
          <w:color w:val="auto"/>
          <w:highlight w:val="none"/>
          <w:lang w:val="en-US" w:eastAsia="zh-CN"/>
        </w:rPr>
        <w:t>采购需求中用“★”符号标明的条款为实质性要求和条件，供应商必须完全响应，未按要求响应，视为实质性偏离，其响应无效。未标注“★”的条款为非实质性要求和条件，视为非实质性偏离。非实质性偏离的范围和幅度≧5项，响应无效。</w:t>
      </w:r>
    </w:p>
    <w:p w14:paraId="24DE6873">
      <w:pPr>
        <w:keepNext/>
        <w:keepLines/>
        <w:pageBreakBefore w:val="0"/>
        <w:widowControl w:val="0"/>
        <w:numPr>
          <w:ilvl w:val="4"/>
          <w:numId w:val="0"/>
        </w:numPr>
        <w:tabs>
          <w:tab w:val="left" w:pos="0"/>
        </w:tabs>
        <w:kinsoku/>
        <w:wordWrap/>
        <w:overflowPunct/>
        <w:topLinePunct w:val="0"/>
        <w:autoSpaceDE/>
        <w:autoSpaceDN/>
        <w:bidi w:val="0"/>
        <w:adjustRightInd/>
        <w:snapToGrid/>
        <w:spacing w:before="260" w:beforeLines="0" w:beforeAutospacing="0" w:after="260" w:afterLines="0" w:afterAutospacing="0" w:line="440" w:lineRule="exact"/>
        <w:ind w:left="1055" w:leftChars="200" w:hanging="575"/>
        <w:jc w:val="both"/>
        <w:textAlignment w:val="auto"/>
        <w:outlineLvl w:val="1"/>
        <w:rPr>
          <w:rFonts w:hint="eastAsia" w:ascii="Times New Roman" w:hAnsi="Times New Roman" w:eastAsia="黑体" w:cs="Times New Roman"/>
          <w:b/>
          <w:kern w:val="2"/>
          <w:sz w:val="32"/>
          <w:szCs w:val="24"/>
          <w:lang w:val="en-US" w:eastAsia="zh-CN" w:bidi="ar-SA"/>
        </w:rPr>
      </w:pPr>
      <w:bookmarkStart w:id="50" w:name="_Toc5734"/>
      <w:bookmarkStart w:id="51" w:name="_Toc12654"/>
      <w:bookmarkStart w:id="52" w:name="_Toc10544"/>
      <w:bookmarkStart w:id="53" w:name="_Toc9711"/>
      <w:bookmarkStart w:id="54" w:name="_Toc12114"/>
      <w:bookmarkStart w:id="55" w:name="_Toc32740"/>
      <w:r>
        <w:rPr>
          <w:rFonts w:hint="eastAsia" w:ascii="Arial" w:hAnsi="Arial" w:eastAsia="黑体" w:cs="Times New Roman"/>
          <w:b/>
          <w:kern w:val="2"/>
          <w:sz w:val="21"/>
          <w:szCs w:val="21"/>
          <w:lang w:val="en-US" w:eastAsia="zh-CN" w:bidi="ar-SA"/>
        </w:rPr>
        <w:t>一、</w:t>
      </w:r>
      <w:r>
        <w:rPr>
          <w:rFonts w:hint="eastAsia" w:ascii="Times New Roman" w:hAnsi="Times New Roman" w:eastAsia="黑体" w:cs="Times New Roman"/>
          <w:b/>
          <w:kern w:val="2"/>
          <w:sz w:val="21"/>
          <w:szCs w:val="21"/>
          <w:lang w:val="en-US" w:eastAsia="zh-CN" w:bidi="ar-SA"/>
        </w:rPr>
        <w:t>项目概况</w:t>
      </w:r>
      <w:bookmarkEnd w:id="50"/>
      <w:bookmarkEnd w:id="51"/>
      <w:bookmarkEnd w:id="52"/>
    </w:p>
    <w:p w14:paraId="19AE493E">
      <w:pPr>
        <w:widowControl w:val="0"/>
        <w:spacing w:before="156" w:beforeLines="50" w:after="156" w:afterLines="50" w:line="360" w:lineRule="auto"/>
        <w:ind w:firstLine="440" w:firstLineChars="200"/>
        <w:jc w:val="both"/>
        <w:rPr>
          <w:rFonts w:hint="eastAsia" w:ascii="Times New Roman" w:hAnsi="Times New Roman" w:eastAsia="宋体" w:cs="Times New Roman"/>
          <w:bCs/>
          <w:snapToGrid w:val="0"/>
          <w:color w:val="auto"/>
          <w:spacing w:val="5"/>
          <w:kern w:val="2"/>
          <w:sz w:val="21"/>
          <w:szCs w:val="21"/>
          <w:lang w:val="en-US" w:eastAsia="zh-CN" w:bidi="ar-SA"/>
        </w:rPr>
      </w:pPr>
      <w:r>
        <w:rPr>
          <w:rFonts w:hint="eastAsia" w:ascii="Times New Roman" w:hAnsi="Times New Roman" w:eastAsia="宋体" w:cs="Times New Roman"/>
          <w:bCs/>
          <w:snapToGrid w:val="0"/>
          <w:color w:val="auto"/>
          <w:spacing w:val="5"/>
          <w:kern w:val="2"/>
          <w:sz w:val="21"/>
          <w:szCs w:val="21"/>
          <w:lang w:val="en-US" w:eastAsia="zh-CN" w:bidi="ar-SA"/>
        </w:rPr>
        <w:t>本次张家界市图书馆社科书库提质改造项目，核心目标是优化书库管理模式、提升服务质量、完善服务设施，为读者提供便捷、高效、优质的阅读及文化服务，同时减轻馆员工作负担、提升工作效能；立足“互联网+”与智慧图书馆发展趋势，融合RFID、大数据、智能门禁等新技术，推动社科书库实现智慧化、规范化、精细化升级，助力“书香张家界”建设，具体目标如下：</w:t>
      </w:r>
    </w:p>
    <w:p w14:paraId="72A9F5CB">
      <w:pPr>
        <w:widowControl w:val="0"/>
        <w:spacing w:before="156" w:beforeLines="50" w:after="156" w:afterLines="50" w:line="360" w:lineRule="auto"/>
        <w:ind w:firstLine="440" w:firstLineChars="200"/>
        <w:jc w:val="both"/>
        <w:rPr>
          <w:rFonts w:hint="eastAsia" w:ascii="Times New Roman" w:hAnsi="Times New Roman" w:eastAsia="宋体" w:cs="Times New Roman"/>
          <w:bCs/>
          <w:snapToGrid w:val="0"/>
          <w:color w:val="auto"/>
          <w:spacing w:val="5"/>
          <w:kern w:val="2"/>
          <w:sz w:val="21"/>
          <w:szCs w:val="21"/>
          <w:lang w:val="en-US" w:eastAsia="zh-CN" w:bidi="ar-SA"/>
        </w:rPr>
      </w:pPr>
      <w:r>
        <w:rPr>
          <w:rFonts w:hint="eastAsia" w:ascii="Times New Roman" w:hAnsi="Times New Roman" w:eastAsia="宋体" w:cs="Times New Roman"/>
          <w:bCs/>
          <w:snapToGrid w:val="0"/>
          <w:color w:val="auto"/>
          <w:spacing w:val="5"/>
          <w:kern w:val="2"/>
          <w:sz w:val="21"/>
          <w:szCs w:val="21"/>
          <w:lang w:val="en-US" w:eastAsia="zh-CN" w:bidi="ar-SA"/>
        </w:rPr>
        <w:t>（1）构建智慧化管理体系。搭建完善的RFID管理系统及数据接口，实现图书借还、盘点、防盗、数据统计等环节的自动化管理，完成与现有智慧图书馆服务平台、超星学习通等系统的无缝对接，配套自助借还、馆员工作站等设备，实现管理高效化、服务自助化。</w:t>
      </w:r>
    </w:p>
    <w:p w14:paraId="15461818">
      <w:pPr>
        <w:widowControl w:val="0"/>
        <w:spacing w:before="156" w:beforeLines="50" w:after="156" w:afterLines="50" w:line="360" w:lineRule="auto"/>
        <w:ind w:firstLine="440" w:firstLineChars="200"/>
        <w:jc w:val="both"/>
        <w:rPr>
          <w:rFonts w:hint="eastAsia" w:ascii="Times New Roman" w:hAnsi="Times New Roman" w:eastAsia="宋体" w:cs="Times New Roman"/>
          <w:bCs/>
          <w:snapToGrid w:val="0"/>
          <w:color w:val="auto"/>
          <w:spacing w:val="5"/>
          <w:kern w:val="2"/>
          <w:sz w:val="21"/>
          <w:szCs w:val="21"/>
          <w:lang w:val="en-US" w:eastAsia="zh-CN" w:bidi="ar-SA"/>
        </w:rPr>
      </w:pPr>
      <w:r>
        <w:rPr>
          <w:rFonts w:hint="eastAsia" w:ascii="Times New Roman" w:hAnsi="Times New Roman" w:eastAsia="宋体" w:cs="Times New Roman"/>
          <w:bCs/>
          <w:snapToGrid w:val="0"/>
          <w:color w:val="auto"/>
          <w:spacing w:val="5"/>
          <w:kern w:val="2"/>
          <w:sz w:val="21"/>
          <w:szCs w:val="21"/>
          <w:lang w:val="en-US" w:eastAsia="zh-CN" w:bidi="ar-SA"/>
        </w:rPr>
        <w:t>（2）完善标准化服务设施。优化社科书库及周边服务布局，建设标准化读者服务台、还书箱等设施，规范图书排架与标识，实现图书定位精准化，打造一站式读者服务场景，提升读者借阅体验与找书效率，满足市民多样化阅读服务需求。</w:t>
      </w:r>
    </w:p>
    <w:p w14:paraId="4FA8F09F">
      <w:pPr>
        <w:widowControl w:val="0"/>
        <w:spacing w:before="156" w:beforeLines="50" w:after="156" w:afterLines="50" w:line="360" w:lineRule="auto"/>
        <w:ind w:firstLine="440" w:firstLineChars="200"/>
        <w:jc w:val="both"/>
        <w:rPr>
          <w:rFonts w:hint="eastAsia" w:ascii="Times New Roman" w:hAnsi="Times New Roman" w:eastAsia="宋体" w:cs="Times New Roman"/>
          <w:bCs/>
          <w:snapToGrid w:val="0"/>
          <w:color w:val="auto"/>
          <w:spacing w:val="5"/>
          <w:kern w:val="2"/>
          <w:sz w:val="21"/>
          <w:szCs w:val="21"/>
          <w:lang w:val="en-US" w:eastAsia="zh-CN" w:bidi="ar-SA"/>
        </w:rPr>
      </w:pPr>
      <w:r>
        <w:rPr>
          <w:rFonts w:hint="eastAsia" w:ascii="Times New Roman" w:hAnsi="Times New Roman" w:eastAsia="宋体" w:cs="Times New Roman"/>
          <w:bCs/>
          <w:snapToGrid w:val="0"/>
          <w:color w:val="auto"/>
          <w:spacing w:val="5"/>
          <w:kern w:val="2"/>
          <w:sz w:val="21"/>
          <w:szCs w:val="21"/>
          <w:lang w:val="en-US" w:eastAsia="zh-CN" w:bidi="ar-SA"/>
        </w:rPr>
        <w:t>（3）打造特色化文化阵地。构建系统的文化展示与标识体系，通过法治宣传、馆情介绍、名人名言、管理制度等展示内容，融入张家界文化特色与两馆共建共享理念，营造浓厚书香氛围，彰显图书馆文化传播职能。</w:t>
      </w:r>
    </w:p>
    <w:p w14:paraId="104A780E">
      <w:pPr>
        <w:widowControl w:val="0"/>
        <w:spacing w:before="156" w:beforeLines="50" w:after="156" w:afterLines="50" w:line="360" w:lineRule="auto"/>
        <w:ind w:firstLine="440" w:firstLineChars="200"/>
        <w:jc w:val="both"/>
        <w:rPr>
          <w:rFonts w:hint="eastAsia" w:ascii="Times New Roman" w:hAnsi="Times New Roman" w:eastAsia="宋体" w:cs="Times New Roman"/>
          <w:bCs/>
          <w:snapToGrid w:val="0"/>
          <w:color w:val="auto"/>
          <w:spacing w:val="5"/>
          <w:kern w:val="2"/>
          <w:sz w:val="21"/>
          <w:szCs w:val="21"/>
          <w:lang w:val="en-US" w:eastAsia="zh-CN" w:bidi="ar-SA"/>
        </w:rPr>
      </w:pPr>
      <w:r>
        <w:rPr>
          <w:rFonts w:hint="eastAsia" w:ascii="Times New Roman" w:hAnsi="Times New Roman" w:eastAsia="宋体" w:cs="Times New Roman"/>
          <w:bCs/>
          <w:snapToGrid w:val="0"/>
          <w:color w:val="auto"/>
          <w:spacing w:val="5"/>
          <w:kern w:val="2"/>
          <w:sz w:val="21"/>
          <w:szCs w:val="21"/>
          <w:lang w:val="en-US" w:eastAsia="zh-CN" w:bidi="ar-SA"/>
        </w:rPr>
        <w:t>（4）筑牢全方位安全防线。部署RFID图书安全门、无人值守门禁管理系统等设备，构建书库门口与图书馆大门口双重安全防控体系，实现图书防盗、人员进出管控的智能化、无人化，保障图书资产与读者进出安全。</w:t>
      </w:r>
    </w:p>
    <w:p w14:paraId="10E293D2">
      <w:pPr>
        <w:bidi w:val="0"/>
        <w:ind w:firstLine="420" w:firstLineChars="200"/>
        <w:rPr>
          <w:rFonts w:hint="eastAsia" w:eastAsia="宋体" w:cs="宋体"/>
          <w:lang w:eastAsia="zh-CN"/>
        </w:rPr>
      </w:pPr>
      <w:r>
        <w:rPr>
          <w:rFonts w:hint="eastAsia" w:eastAsia="宋体" w:cs="宋体"/>
          <w:color w:val="auto"/>
          <w:sz w:val="21"/>
          <w:szCs w:val="21"/>
          <w:lang w:val="en-US" w:eastAsia="zh-CN"/>
        </w:rPr>
        <w:t>（5）拓展多元化服务维度。引入数字借阅一体机，丰富正版数字资源供给，重点覆盖地方民族文化相关内容；创新服务模式，延伸服务场景，结合数据智能分析，逐步实现个性化、精准化服务，推动公共文化服务均等化落地。</w:t>
      </w:r>
    </w:p>
    <w:p w14:paraId="3A95B973">
      <w:pPr>
        <w:keepNext/>
        <w:keepLines/>
        <w:pageBreakBefore w:val="0"/>
        <w:widowControl w:val="0"/>
        <w:numPr>
          <w:ilvl w:val="4"/>
          <w:numId w:val="0"/>
        </w:numPr>
        <w:tabs>
          <w:tab w:val="left" w:pos="0"/>
        </w:tabs>
        <w:kinsoku/>
        <w:wordWrap/>
        <w:overflowPunct/>
        <w:topLinePunct w:val="0"/>
        <w:autoSpaceDE/>
        <w:autoSpaceDN/>
        <w:bidi w:val="0"/>
        <w:adjustRightInd/>
        <w:snapToGrid/>
        <w:spacing w:before="260" w:beforeLines="0" w:beforeAutospacing="0" w:after="260" w:afterLines="0" w:afterAutospacing="0" w:line="440" w:lineRule="exact"/>
        <w:ind w:left="1055" w:leftChars="200" w:hanging="575"/>
        <w:jc w:val="both"/>
        <w:textAlignment w:val="auto"/>
        <w:outlineLvl w:val="1"/>
        <w:rPr>
          <w:rFonts w:hint="eastAsia" w:ascii="Times New Roman" w:hAnsi="Times New Roman" w:eastAsia="黑体" w:cs="Times New Roman"/>
          <w:b/>
          <w:kern w:val="2"/>
          <w:sz w:val="32"/>
          <w:szCs w:val="24"/>
          <w:lang w:val="en-US" w:eastAsia="zh-CN" w:bidi="ar-SA"/>
        </w:rPr>
      </w:pPr>
      <w:bookmarkStart w:id="56" w:name="_Toc23714"/>
      <w:bookmarkStart w:id="57" w:name="_Toc510"/>
      <w:bookmarkStart w:id="58" w:name="_Toc25494"/>
      <w:r>
        <w:rPr>
          <w:rFonts w:hint="eastAsia" w:ascii="Arial" w:hAnsi="Arial" w:eastAsia="黑体" w:cs="Times New Roman"/>
          <w:b/>
          <w:kern w:val="2"/>
          <w:sz w:val="21"/>
          <w:szCs w:val="21"/>
          <w:lang w:val="en-US" w:eastAsia="zh-CN" w:bidi="ar-SA"/>
        </w:rPr>
        <w:t>二、采购项目预（概）算</w:t>
      </w:r>
      <w:bookmarkEnd w:id="56"/>
      <w:bookmarkEnd w:id="57"/>
      <w:bookmarkEnd w:id="58"/>
    </w:p>
    <w:p w14:paraId="54492654">
      <w:pPr>
        <w:keepNext w:val="0"/>
        <w:keepLines w:val="0"/>
        <w:pageBreakBefore w:val="0"/>
        <w:widowControl w:val="0"/>
        <w:tabs>
          <w:tab w:val="left" w:pos="0"/>
        </w:tabs>
        <w:kinsoku/>
        <w:wordWrap/>
        <w:overflowPunct/>
        <w:topLinePunct w:val="0"/>
        <w:autoSpaceDE/>
        <w:autoSpaceDN/>
        <w:bidi w:val="0"/>
        <w:adjustRightInd/>
        <w:snapToGrid/>
        <w:spacing w:line="288" w:lineRule="auto"/>
        <w:ind w:left="0" w:leftChars="0" w:firstLine="420" w:firstLineChars="200"/>
        <w:jc w:val="both"/>
        <w:textAlignment w:val="auto"/>
        <w:rPr>
          <w:rFonts w:hint="eastAsia" w:ascii="宋体" w:hAnsi="宋体" w:eastAsia="宋体" w:cs="宋体"/>
          <w:kern w:val="2"/>
          <w:sz w:val="21"/>
          <w:szCs w:val="21"/>
          <w:u w:val="single"/>
          <w:lang w:val="en-US" w:eastAsia="zh-CN" w:bidi="ar-SA"/>
        </w:rPr>
      </w:pPr>
      <w:r>
        <w:rPr>
          <w:rFonts w:hint="eastAsia" w:ascii="宋体" w:hAnsi="宋体" w:eastAsia="宋体" w:cs="宋体"/>
          <w:kern w:val="2"/>
          <w:sz w:val="21"/>
          <w:szCs w:val="21"/>
          <w:lang w:val="en-US" w:eastAsia="zh-CN" w:bidi="ar-SA"/>
        </w:rPr>
        <w:t>总 预 算∶</w:t>
      </w:r>
      <w:bookmarkStart w:id="59" w:name="OLE_LINK2"/>
      <w:r>
        <w:rPr>
          <w:rFonts w:hint="eastAsia" w:ascii="宋体" w:hAnsi="宋体" w:eastAsia="宋体" w:cs="宋体"/>
          <w:kern w:val="2"/>
          <w:sz w:val="21"/>
          <w:szCs w:val="21"/>
          <w:u w:val="single"/>
          <w:lang w:val="en-US" w:eastAsia="zh-CN" w:bidi="ar-SA"/>
        </w:rPr>
        <w:t>494310.20元</w:t>
      </w:r>
      <w:bookmarkEnd w:id="59"/>
    </w:p>
    <w:p w14:paraId="2683FDFF">
      <w:pPr>
        <w:keepNext w:val="0"/>
        <w:keepLines w:val="0"/>
        <w:pageBreakBefore w:val="0"/>
        <w:widowControl w:val="0"/>
        <w:tabs>
          <w:tab w:val="left" w:pos="0"/>
        </w:tabs>
        <w:kinsoku/>
        <w:wordWrap/>
        <w:overflowPunct/>
        <w:topLinePunct w:val="0"/>
        <w:autoSpaceDE/>
        <w:autoSpaceDN/>
        <w:bidi w:val="0"/>
        <w:adjustRightInd/>
        <w:snapToGrid/>
        <w:spacing w:line="288" w:lineRule="auto"/>
        <w:ind w:leftChars="0" w:firstLine="420" w:firstLineChars="200"/>
        <w:jc w:val="both"/>
        <w:textAlignment w:val="auto"/>
        <w:rPr>
          <w:rFonts w:hint="eastAsia" w:ascii="宋体" w:hAnsi="宋体" w:eastAsia="宋体" w:cs="宋体"/>
          <w:kern w:val="2"/>
          <w:sz w:val="21"/>
          <w:szCs w:val="21"/>
          <w:u w:val="single"/>
          <w:lang w:val="en-US" w:eastAsia="zh-CN" w:bidi="ar-SA"/>
        </w:rPr>
      </w:pPr>
      <w:r>
        <w:rPr>
          <w:rFonts w:hint="eastAsia" w:ascii="宋体" w:hAnsi="宋体" w:eastAsia="宋体" w:cs="宋体"/>
          <w:kern w:val="2"/>
          <w:sz w:val="21"/>
          <w:szCs w:val="21"/>
          <w:lang w:val="en-US" w:eastAsia="zh-CN" w:bidi="ar-SA"/>
        </w:rPr>
        <w:t>包1预算∶</w:t>
      </w:r>
      <w:r>
        <w:rPr>
          <w:rFonts w:hint="eastAsia" w:ascii="宋体" w:hAnsi="宋体" w:eastAsia="宋体" w:cs="宋体"/>
          <w:kern w:val="2"/>
          <w:sz w:val="21"/>
          <w:szCs w:val="21"/>
          <w:u w:val="single"/>
          <w:lang w:val="en-US" w:eastAsia="zh-CN" w:bidi="ar-SA"/>
        </w:rPr>
        <w:t>494310.20元</w:t>
      </w:r>
    </w:p>
    <w:p w14:paraId="03CE353D">
      <w:pPr>
        <w:keepNext/>
        <w:keepLines/>
        <w:pageBreakBefore w:val="0"/>
        <w:widowControl w:val="0"/>
        <w:numPr>
          <w:ilvl w:val="4"/>
          <w:numId w:val="0"/>
        </w:numPr>
        <w:tabs>
          <w:tab w:val="left" w:pos="0"/>
        </w:tabs>
        <w:kinsoku/>
        <w:wordWrap/>
        <w:overflowPunct/>
        <w:topLinePunct w:val="0"/>
        <w:autoSpaceDE/>
        <w:autoSpaceDN/>
        <w:bidi w:val="0"/>
        <w:adjustRightInd/>
        <w:snapToGrid/>
        <w:spacing w:before="260" w:beforeLines="0" w:beforeAutospacing="0" w:after="260" w:afterLines="0" w:afterAutospacing="0" w:line="440" w:lineRule="exact"/>
        <w:ind w:left="1055" w:leftChars="200" w:hanging="575"/>
        <w:jc w:val="both"/>
        <w:textAlignment w:val="auto"/>
        <w:outlineLvl w:val="1"/>
        <w:rPr>
          <w:rFonts w:hint="default" w:ascii="Times New Roman" w:hAnsi="Times New Roman" w:eastAsia="黑体" w:cs="Times New Roman"/>
          <w:b/>
          <w:kern w:val="2"/>
          <w:sz w:val="32"/>
          <w:szCs w:val="24"/>
          <w:lang w:val="en-US" w:eastAsia="zh-CN" w:bidi="ar-SA"/>
        </w:rPr>
      </w:pPr>
      <w:bookmarkStart w:id="60" w:name="_Toc11198"/>
      <w:bookmarkStart w:id="61" w:name="_Toc14513"/>
      <w:bookmarkStart w:id="62" w:name="_Toc4938"/>
      <w:r>
        <w:rPr>
          <w:rFonts w:hint="eastAsia" w:ascii="Arial" w:hAnsi="Arial" w:eastAsia="黑体" w:cs="Times New Roman"/>
          <w:b/>
          <w:kern w:val="2"/>
          <w:sz w:val="21"/>
          <w:szCs w:val="21"/>
          <w:lang w:val="en-US" w:eastAsia="zh-CN" w:bidi="ar-SA"/>
        </w:rPr>
        <w:t>三、</w:t>
      </w:r>
      <w:r>
        <w:rPr>
          <w:rFonts w:hint="default" w:ascii="Arial" w:hAnsi="Arial" w:eastAsia="黑体" w:cs="Times New Roman"/>
          <w:b/>
          <w:kern w:val="2"/>
          <w:sz w:val="21"/>
          <w:szCs w:val="21"/>
          <w:lang w:val="en-US" w:eastAsia="zh-CN" w:bidi="ar-SA"/>
        </w:rPr>
        <w:t>采购标的汇总表</w:t>
      </w:r>
      <w:bookmarkEnd w:id="60"/>
      <w:bookmarkEnd w:id="61"/>
      <w:bookmarkEnd w:id="62"/>
    </w:p>
    <w:tbl>
      <w:tblPr>
        <w:tblStyle w:val="3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744"/>
        <w:gridCol w:w="1633"/>
        <w:gridCol w:w="2035"/>
        <w:gridCol w:w="1145"/>
        <w:gridCol w:w="986"/>
        <w:gridCol w:w="1172"/>
      </w:tblGrid>
      <w:tr w14:paraId="4306B1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66" w:type="dxa"/>
            <w:tcBorders>
              <w:tl2br w:val="nil"/>
              <w:tr2bl w:val="nil"/>
            </w:tcBorders>
            <w:vAlign w:val="center"/>
          </w:tcPr>
          <w:p w14:paraId="69DFF5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包号</w:t>
            </w:r>
          </w:p>
        </w:tc>
        <w:tc>
          <w:tcPr>
            <w:tcW w:w="860" w:type="dxa"/>
            <w:tcBorders>
              <w:tl2br w:val="nil"/>
              <w:tr2bl w:val="nil"/>
            </w:tcBorders>
            <w:vAlign w:val="center"/>
          </w:tcPr>
          <w:p w14:paraId="00C8500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序号</w:t>
            </w:r>
          </w:p>
        </w:tc>
        <w:tc>
          <w:tcPr>
            <w:tcW w:w="1920" w:type="dxa"/>
            <w:tcBorders>
              <w:tl2br w:val="nil"/>
              <w:tr2bl w:val="nil"/>
            </w:tcBorders>
            <w:vAlign w:val="center"/>
          </w:tcPr>
          <w:p w14:paraId="3B2904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标的名称</w:t>
            </w:r>
          </w:p>
        </w:tc>
        <w:tc>
          <w:tcPr>
            <w:tcW w:w="2200" w:type="dxa"/>
            <w:tcBorders>
              <w:tl2br w:val="nil"/>
              <w:tr2bl w:val="nil"/>
            </w:tcBorders>
            <w:vAlign w:val="center"/>
          </w:tcPr>
          <w:p w14:paraId="22AD96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品目分类编码</w:t>
            </w:r>
          </w:p>
        </w:tc>
        <w:tc>
          <w:tcPr>
            <w:tcW w:w="1253" w:type="dxa"/>
            <w:tcBorders>
              <w:tl2br w:val="nil"/>
              <w:tr2bl w:val="nil"/>
            </w:tcBorders>
            <w:vAlign w:val="center"/>
          </w:tcPr>
          <w:p w14:paraId="5DC645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计量单位</w:t>
            </w:r>
          </w:p>
        </w:tc>
        <w:tc>
          <w:tcPr>
            <w:tcW w:w="771" w:type="dxa"/>
            <w:tcBorders>
              <w:tl2br w:val="nil"/>
              <w:tr2bl w:val="nil"/>
            </w:tcBorders>
            <w:vAlign w:val="center"/>
          </w:tcPr>
          <w:p w14:paraId="1442F08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数量</w:t>
            </w:r>
          </w:p>
        </w:tc>
        <w:tc>
          <w:tcPr>
            <w:tcW w:w="1290" w:type="dxa"/>
            <w:tcBorders>
              <w:tl2br w:val="nil"/>
              <w:tr2bl w:val="nil"/>
            </w:tcBorders>
            <w:vAlign w:val="center"/>
          </w:tcPr>
          <w:p w14:paraId="0913AAE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1"/>
                <w:szCs w:val="21"/>
                <w:lang w:eastAsia="zh-CN"/>
              </w:rPr>
            </w:pPr>
            <w:r>
              <w:rPr>
                <w:rFonts w:hint="eastAsia" w:ascii="黑体" w:hAnsi="黑体" w:eastAsia="黑体" w:cs="黑体"/>
                <w:b w:val="0"/>
                <w:bCs w:val="0"/>
                <w:sz w:val="21"/>
                <w:szCs w:val="21"/>
                <w:lang w:eastAsia="zh-CN"/>
              </w:rPr>
              <w:t>是否进口</w:t>
            </w:r>
          </w:p>
        </w:tc>
      </w:tr>
      <w:tr w14:paraId="0BC61E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766" w:type="dxa"/>
            <w:tcBorders>
              <w:tl2br w:val="nil"/>
              <w:tr2bl w:val="nil"/>
            </w:tcBorders>
            <w:vAlign w:val="center"/>
          </w:tcPr>
          <w:p w14:paraId="7EA8B981">
            <w:pPr>
              <w:pageBreakBefore w:val="0"/>
              <w:widowControl w:val="0"/>
              <w:numPr>
                <w:ilvl w:val="0"/>
                <w:numId w:val="0"/>
              </w:numPr>
              <w:tabs>
                <w:tab w:val="left" w:pos="0"/>
              </w:tabs>
              <w:kinsoku/>
              <w:wordWrap/>
              <w:overflowPunct/>
              <w:topLinePunct w:val="0"/>
              <w:autoSpaceDE/>
              <w:autoSpaceDN/>
              <w:bidi w:val="0"/>
              <w:adjustRightInd/>
              <w:snapToGrid/>
              <w:spacing w:line="480" w:lineRule="auto"/>
              <w:ind w:firstLine="420" w:firstLineChars="200"/>
              <w:jc w:val="center"/>
              <w:textAlignment w:val="auto"/>
              <w:rPr>
                <w:rFonts w:hint="default" w:ascii="宋体" w:hAnsi="宋体" w:eastAsia="宋体" w:cs="宋体"/>
                <w:b w:val="0"/>
                <w:bCs w:val="0"/>
                <w:i w:val="0"/>
                <w:iCs w:val="0"/>
                <w:kern w:val="2"/>
                <w:sz w:val="21"/>
                <w:szCs w:val="21"/>
                <w:vertAlign w:val="baseline"/>
                <w:lang w:val="en-US" w:eastAsia="zh-CN" w:bidi="ar-SA"/>
              </w:rPr>
            </w:pPr>
            <w:r>
              <w:rPr>
                <w:rFonts w:hint="eastAsia" w:ascii="宋体" w:hAnsi="宋体" w:eastAsia="宋体" w:cs="宋体"/>
                <w:b w:val="0"/>
                <w:bCs w:val="0"/>
                <w:i w:val="0"/>
                <w:iCs w:val="0"/>
                <w:kern w:val="2"/>
                <w:sz w:val="21"/>
                <w:szCs w:val="21"/>
                <w:vertAlign w:val="baseline"/>
                <w:lang w:val="en-US" w:eastAsia="zh-CN" w:bidi="ar-SA"/>
              </w:rPr>
              <w:t>1</w:t>
            </w:r>
          </w:p>
        </w:tc>
        <w:tc>
          <w:tcPr>
            <w:tcW w:w="860" w:type="dxa"/>
            <w:tcBorders>
              <w:tl2br w:val="nil"/>
              <w:tr2bl w:val="nil"/>
            </w:tcBorders>
            <w:vAlign w:val="center"/>
          </w:tcPr>
          <w:p w14:paraId="3100D54C">
            <w:pPr>
              <w:pageBreakBefore w:val="0"/>
              <w:widowControl w:val="0"/>
              <w:numPr>
                <w:ilvl w:val="0"/>
                <w:numId w:val="11"/>
              </w:numPr>
              <w:tabs>
                <w:tab w:val="left" w:pos="0"/>
              </w:tabs>
              <w:kinsoku/>
              <w:wordWrap/>
              <w:overflowPunct/>
              <w:topLinePunct w:val="0"/>
              <w:autoSpaceDE/>
              <w:autoSpaceDN/>
              <w:bidi w:val="0"/>
              <w:adjustRightInd/>
              <w:snapToGrid/>
              <w:spacing w:line="480" w:lineRule="auto"/>
              <w:ind w:left="0" w:leftChars="0" w:firstLine="0" w:firstLineChars="0"/>
              <w:jc w:val="center"/>
              <w:textAlignment w:val="auto"/>
              <w:rPr>
                <w:rFonts w:hint="eastAsia" w:ascii="宋体" w:hAnsi="宋体" w:eastAsia="宋体" w:cs="宋体"/>
                <w:b w:val="0"/>
                <w:bCs w:val="0"/>
                <w:i w:val="0"/>
                <w:iCs w:val="0"/>
                <w:kern w:val="2"/>
                <w:sz w:val="21"/>
                <w:szCs w:val="21"/>
                <w:vertAlign w:val="baseline"/>
                <w:lang w:val="en-US" w:eastAsia="zh-CN" w:bidi="ar-SA"/>
              </w:rPr>
            </w:pPr>
          </w:p>
        </w:tc>
        <w:tc>
          <w:tcPr>
            <w:tcW w:w="1920" w:type="dxa"/>
            <w:tcBorders>
              <w:tl2br w:val="nil"/>
              <w:tr2bl w:val="nil"/>
            </w:tcBorders>
            <w:vAlign w:val="center"/>
          </w:tcPr>
          <w:p w14:paraId="013A14E3">
            <w:pPr>
              <w:pageBreakBefore w:val="0"/>
              <w:widowControl w:val="0"/>
              <w:numPr>
                <w:ilvl w:val="0"/>
                <w:numId w:val="0"/>
              </w:numPr>
              <w:tabs>
                <w:tab w:val="left" w:pos="33"/>
              </w:tabs>
              <w:kinsoku/>
              <w:wordWrap/>
              <w:overflowPunct/>
              <w:topLinePunct w:val="0"/>
              <w:autoSpaceDE/>
              <w:autoSpaceDN/>
              <w:bidi w:val="0"/>
              <w:adjustRightInd/>
              <w:snapToGrid/>
              <w:spacing w:line="300" w:lineRule="exact"/>
              <w:ind w:right="-55" w:rightChars="-23" w:firstLine="420" w:firstLineChars="200"/>
              <w:jc w:val="center"/>
              <w:textAlignment w:val="auto"/>
              <w:rPr>
                <w:rFonts w:hint="eastAsia" w:ascii="宋体" w:hAnsi="宋体" w:eastAsia="宋体" w:cs="宋体"/>
                <w:i w:val="0"/>
                <w:iCs w:val="0"/>
                <w:kern w:val="2"/>
                <w:sz w:val="21"/>
                <w:szCs w:val="21"/>
                <w:u w:val="none"/>
                <w:lang w:val="en-US" w:eastAsia="zh-CN" w:bidi="ar-SA"/>
              </w:rPr>
            </w:pPr>
            <w:r>
              <w:rPr>
                <w:rFonts w:hint="eastAsia" w:ascii="宋体" w:hAnsi="宋体" w:eastAsia="宋体" w:cs="宋体"/>
                <w:i w:val="0"/>
                <w:iCs w:val="0"/>
                <w:kern w:val="2"/>
                <w:sz w:val="21"/>
                <w:szCs w:val="21"/>
                <w:u w:val="none"/>
                <w:lang w:val="en-US" w:eastAsia="zh-CN" w:bidi="ar-SA"/>
              </w:rPr>
              <w:t>其他信息化设备</w:t>
            </w:r>
          </w:p>
        </w:tc>
        <w:tc>
          <w:tcPr>
            <w:tcW w:w="2200" w:type="dxa"/>
            <w:tcBorders>
              <w:tl2br w:val="nil"/>
              <w:tr2bl w:val="nil"/>
            </w:tcBorders>
            <w:vAlign w:val="center"/>
          </w:tcPr>
          <w:p w14:paraId="0FC28E15">
            <w:pPr>
              <w:pageBreakBefore w:val="0"/>
              <w:widowControl w:val="0"/>
              <w:numPr>
                <w:ilvl w:val="0"/>
                <w:numId w:val="0"/>
              </w:numPr>
              <w:tabs>
                <w:tab w:val="left" w:pos="33"/>
              </w:tabs>
              <w:kinsoku/>
              <w:wordWrap/>
              <w:overflowPunct/>
              <w:topLinePunct w:val="0"/>
              <w:autoSpaceDE/>
              <w:autoSpaceDN/>
              <w:bidi w:val="0"/>
              <w:adjustRightInd/>
              <w:snapToGrid/>
              <w:spacing w:line="300" w:lineRule="exact"/>
              <w:ind w:right="-55" w:rightChars="-23" w:firstLine="420" w:firstLineChars="200"/>
              <w:jc w:val="center"/>
              <w:textAlignment w:val="auto"/>
              <w:rPr>
                <w:rFonts w:hint="eastAsia" w:ascii="宋体" w:hAnsi="宋体" w:eastAsia="宋体" w:cs="宋体"/>
                <w:i w:val="0"/>
                <w:iCs w:val="0"/>
                <w:kern w:val="2"/>
                <w:sz w:val="21"/>
                <w:szCs w:val="21"/>
                <w:u w:val="none"/>
                <w:lang w:val="en-US" w:eastAsia="zh-CN" w:bidi="ar-SA"/>
              </w:rPr>
            </w:pPr>
            <w:r>
              <w:rPr>
                <w:rFonts w:hint="eastAsia" w:ascii="宋体" w:hAnsi="宋体" w:eastAsia="宋体" w:cs="宋体"/>
                <w:i w:val="0"/>
                <w:iCs w:val="0"/>
                <w:kern w:val="2"/>
                <w:sz w:val="21"/>
                <w:szCs w:val="21"/>
                <w:u w:val="none"/>
                <w:lang w:val="en-US" w:eastAsia="zh-CN" w:bidi="ar-SA"/>
              </w:rPr>
              <w:t>A02019900</w:t>
            </w:r>
          </w:p>
        </w:tc>
        <w:tc>
          <w:tcPr>
            <w:tcW w:w="1253" w:type="dxa"/>
            <w:tcBorders>
              <w:tl2br w:val="nil"/>
              <w:tr2bl w:val="nil"/>
            </w:tcBorders>
            <w:vAlign w:val="center"/>
          </w:tcPr>
          <w:p w14:paraId="52F06614">
            <w:pPr>
              <w:pageBreakBefore w:val="0"/>
              <w:widowControl w:val="0"/>
              <w:numPr>
                <w:ilvl w:val="0"/>
                <w:numId w:val="0"/>
              </w:numPr>
              <w:tabs>
                <w:tab w:val="left" w:pos="33"/>
              </w:tabs>
              <w:kinsoku/>
              <w:wordWrap/>
              <w:overflowPunct/>
              <w:topLinePunct w:val="0"/>
              <w:autoSpaceDE/>
              <w:autoSpaceDN/>
              <w:bidi w:val="0"/>
              <w:adjustRightInd/>
              <w:snapToGrid/>
              <w:spacing w:line="300" w:lineRule="exact"/>
              <w:ind w:right="-55" w:rightChars="-23" w:firstLine="420" w:firstLineChars="200"/>
              <w:jc w:val="center"/>
              <w:textAlignment w:val="auto"/>
              <w:rPr>
                <w:rFonts w:hint="eastAsia" w:ascii="宋体" w:hAnsi="宋体" w:eastAsia="宋体" w:cs="宋体"/>
                <w:i w:val="0"/>
                <w:iCs w:val="0"/>
                <w:kern w:val="2"/>
                <w:sz w:val="21"/>
                <w:szCs w:val="21"/>
                <w:u w:val="none"/>
                <w:lang w:val="en-US" w:eastAsia="zh-CN" w:bidi="ar-SA"/>
              </w:rPr>
            </w:pPr>
            <w:r>
              <w:rPr>
                <w:rFonts w:hint="eastAsia" w:ascii="宋体" w:hAnsi="宋体" w:eastAsia="宋体" w:cs="宋体"/>
                <w:i w:val="0"/>
                <w:iCs w:val="0"/>
                <w:kern w:val="2"/>
                <w:sz w:val="21"/>
                <w:szCs w:val="21"/>
                <w:u w:val="none"/>
                <w:lang w:val="en-US" w:eastAsia="zh-CN" w:bidi="ar-SA"/>
              </w:rPr>
              <w:t>批</w:t>
            </w:r>
          </w:p>
        </w:tc>
        <w:tc>
          <w:tcPr>
            <w:tcW w:w="771" w:type="dxa"/>
            <w:tcBorders>
              <w:tl2br w:val="nil"/>
              <w:tr2bl w:val="nil"/>
            </w:tcBorders>
            <w:vAlign w:val="center"/>
          </w:tcPr>
          <w:p w14:paraId="756C81D7">
            <w:pPr>
              <w:pageBreakBefore w:val="0"/>
              <w:widowControl w:val="0"/>
              <w:numPr>
                <w:ilvl w:val="0"/>
                <w:numId w:val="0"/>
              </w:numPr>
              <w:tabs>
                <w:tab w:val="left" w:pos="33"/>
              </w:tabs>
              <w:kinsoku/>
              <w:wordWrap/>
              <w:overflowPunct/>
              <w:topLinePunct w:val="0"/>
              <w:autoSpaceDE/>
              <w:autoSpaceDN/>
              <w:bidi w:val="0"/>
              <w:adjustRightInd/>
              <w:snapToGrid/>
              <w:spacing w:line="300" w:lineRule="exact"/>
              <w:ind w:leftChars="100" w:right="-55" w:rightChars="-23" w:firstLine="420" w:firstLineChars="200"/>
              <w:jc w:val="left"/>
              <w:textAlignment w:val="auto"/>
              <w:rPr>
                <w:rFonts w:hint="eastAsia" w:ascii="宋体" w:hAnsi="宋体" w:eastAsia="宋体" w:cs="宋体"/>
                <w:i w:val="0"/>
                <w:iCs w:val="0"/>
                <w:kern w:val="2"/>
                <w:sz w:val="21"/>
                <w:szCs w:val="21"/>
                <w:u w:val="none"/>
                <w:lang w:val="en-US" w:eastAsia="zh-CN" w:bidi="ar-SA"/>
              </w:rPr>
            </w:pPr>
            <w:r>
              <w:rPr>
                <w:rFonts w:hint="eastAsia" w:ascii="宋体" w:hAnsi="宋体" w:eastAsia="宋体" w:cs="宋体"/>
                <w:i w:val="0"/>
                <w:iCs w:val="0"/>
                <w:kern w:val="2"/>
                <w:sz w:val="21"/>
                <w:szCs w:val="21"/>
                <w:u w:val="none"/>
                <w:lang w:val="en-US" w:eastAsia="zh-CN" w:bidi="ar-SA"/>
              </w:rPr>
              <w:t>1</w:t>
            </w:r>
          </w:p>
        </w:tc>
        <w:tc>
          <w:tcPr>
            <w:tcW w:w="1290" w:type="dxa"/>
            <w:tcBorders>
              <w:tl2br w:val="nil"/>
              <w:tr2bl w:val="nil"/>
            </w:tcBorders>
            <w:vAlign w:val="center"/>
          </w:tcPr>
          <w:p w14:paraId="4EF7C433">
            <w:pPr>
              <w:pageBreakBefore w:val="0"/>
              <w:widowControl w:val="0"/>
              <w:numPr>
                <w:ilvl w:val="0"/>
                <w:numId w:val="0"/>
              </w:numPr>
              <w:tabs>
                <w:tab w:val="left" w:pos="33"/>
              </w:tabs>
              <w:kinsoku/>
              <w:wordWrap/>
              <w:overflowPunct/>
              <w:topLinePunct w:val="0"/>
              <w:autoSpaceDE/>
              <w:autoSpaceDN/>
              <w:bidi w:val="0"/>
              <w:adjustRightInd/>
              <w:snapToGrid/>
              <w:spacing w:line="300" w:lineRule="exact"/>
              <w:ind w:right="-55" w:rightChars="-23" w:firstLine="420" w:firstLineChars="200"/>
              <w:jc w:val="center"/>
              <w:textAlignment w:val="auto"/>
              <w:rPr>
                <w:rFonts w:hint="eastAsia" w:ascii="宋体" w:hAnsi="宋体" w:eastAsia="宋体" w:cs="宋体"/>
                <w:i w:val="0"/>
                <w:iCs w:val="0"/>
                <w:kern w:val="2"/>
                <w:sz w:val="21"/>
                <w:szCs w:val="21"/>
                <w:u w:val="none"/>
                <w:lang w:val="en-US" w:eastAsia="zh-CN" w:bidi="ar-SA"/>
              </w:rPr>
            </w:pPr>
            <w:r>
              <w:rPr>
                <w:rFonts w:hint="eastAsia" w:ascii="宋体" w:hAnsi="宋体" w:eastAsia="宋体" w:cs="宋体"/>
                <w:i w:val="0"/>
                <w:iCs w:val="0"/>
                <w:kern w:val="2"/>
                <w:sz w:val="21"/>
                <w:szCs w:val="21"/>
                <w:u w:val="none"/>
                <w:lang w:val="en-US" w:eastAsia="zh-CN" w:bidi="ar-SA"/>
              </w:rPr>
              <w:t>否</w:t>
            </w:r>
          </w:p>
        </w:tc>
      </w:tr>
    </w:tbl>
    <w:p w14:paraId="2CB6FBA4">
      <w:pPr>
        <w:keepNext/>
        <w:keepLines/>
        <w:pageBreakBefore w:val="0"/>
        <w:widowControl w:val="0"/>
        <w:numPr>
          <w:ilvl w:val="4"/>
          <w:numId w:val="0"/>
        </w:numPr>
        <w:tabs>
          <w:tab w:val="left" w:pos="0"/>
        </w:tabs>
        <w:kinsoku/>
        <w:wordWrap/>
        <w:overflowPunct/>
        <w:topLinePunct w:val="0"/>
        <w:autoSpaceDE/>
        <w:autoSpaceDN/>
        <w:bidi w:val="0"/>
        <w:adjustRightInd/>
        <w:snapToGrid/>
        <w:spacing w:before="260" w:beforeLines="0" w:beforeAutospacing="0" w:after="260" w:afterLines="0" w:afterAutospacing="0" w:line="440" w:lineRule="exact"/>
        <w:ind w:left="1055" w:leftChars="200" w:hanging="575"/>
        <w:jc w:val="both"/>
        <w:textAlignment w:val="auto"/>
        <w:outlineLvl w:val="1"/>
        <w:rPr>
          <w:rFonts w:hint="eastAsia" w:ascii="Times New Roman" w:hAnsi="Times New Roman" w:eastAsia="黑体" w:cs="Times New Roman"/>
          <w:b/>
          <w:kern w:val="2"/>
          <w:sz w:val="32"/>
          <w:szCs w:val="24"/>
          <w:lang w:val="en-US" w:eastAsia="zh-CN" w:bidi="ar-SA"/>
        </w:rPr>
      </w:pPr>
      <w:bookmarkStart w:id="63" w:name="_Toc6705"/>
      <w:bookmarkStart w:id="64" w:name="_Toc9496"/>
      <w:r>
        <w:rPr>
          <w:rFonts w:hint="eastAsia" w:ascii="Arial" w:hAnsi="Arial" w:eastAsia="黑体" w:cs="Times New Roman"/>
          <w:b/>
          <w:kern w:val="2"/>
          <w:sz w:val="21"/>
          <w:szCs w:val="21"/>
          <w:lang w:val="en-US" w:eastAsia="zh-CN" w:bidi="ar-SA"/>
        </w:rPr>
        <w:t>四、项目需遵循的有关标准和规范（包括但不限于）</w:t>
      </w:r>
      <w:bookmarkEnd w:id="63"/>
      <w:bookmarkEnd w:id="64"/>
    </w:p>
    <w:p w14:paraId="15BEF7F7">
      <w:pPr>
        <w:pageBreakBefore w:val="0"/>
        <w:widowControl w:val="0"/>
        <w:kinsoku/>
        <w:wordWrap/>
        <w:overflowPunct/>
        <w:topLinePunct w:val="0"/>
        <w:autoSpaceDE/>
        <w:autoSpaceDN/>
        <w:bidi w:val="0"/>
        <w:adjustRightInd/>
        <w:snapToGrid/>
        <w:spacing w:line="600" w:lineRule="exact"/>
        <w:ind w:left="0" w:leftChars="0" w:firstLine="422" w:firstLineChars="200"/>
        <w:textAlignment w:val="auto"/>
        <w:outlineLvl w:val="3"/>
        <w:rPr>
          <w:rFonts w:hint="eastAsia" w:ascii="宋体" w:hAnsi="宋体" w:eastAsia="宋体" w:cs="宋体"/>
          <w:sz w:val="21"/>
          <w:szCs w:val="21"/>
          <w:lang w:eastAsia="zh-CN"/>
        </w:rPr>
      </w:pPr>
      <w:r>
        <w:rPr>
          <w:rFonts w:hint="eastAsia" w:ascii="宋体" w:hAnsi="宋体" w:eastAsia="宋体" w:cs="宋体"/>
          <w:b/>
          <w:bCs/>
          <w:sz w:val="21"/>
          <w:szCs w:val="21"/>
          <w:lang w:val="en-US" w:eastAsia="zh-CN"/>
        </w:rPr>
        <w:t>1.</w:t>
      </w:r>
      <w:r>
        <w:rPr>
          <w:rFonts w:hint="eastAsia" w:ascii="宋体" w:hAnsi="宋体" w:eastAsia="宋体" w:cs="宋体"/>
          <w:b/>
          <w:bCs/>
          <w:sz w:val="21"/>
          <w:szCs w:val="21"/>
          <w:lang w:eastAsia="zh-CN"/>
        </w:rPr>
        <w:t>政策依据</w:t>
      </w:r>
    </w:p>
    <w:p w14:paraId="1B1887C7">
      <w:pPr>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）《中华人民共和国国民经济和社会发展第十四个五年规划和2035年远景目标纲要》；</w:t>
      </w:r>
    </w:p>
    <w:p w14:paraId="7AB058AB">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）《关于促进全民阅读工作的意见》；</w:t>
      </w:r>
    </w:p>
    <w:p w14:paraId="70C5F451">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）《关于加快构建现代公共文化服务体系的意见》；</w:t>
      </w:r>
    </w:p>
    <w:p w14:paraId="7C96738B">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）《中华人民共和国公共文化服务保障法》；</w:t>
      </w:r>
    </w:p>
    <w:p w14:paraId="25B4AC2B">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）《关于推进实施国家文化数字化战略的意见》；</w:t>
      </w:r>
    </w:p>
    <w:p w14:paraId="4BCAF341">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）《“十四五”公共文化服务体系建设规划》；</w:t>
      </w:r>
    </w:p>
    <w:p w14:paraId="15452DF9">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）《湖南省“十四五”文化改革发展规划》；</w:t>
      </w:r>
    </w:p>
    <w:p w14:paraId="0849E5DF">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）《湖南省“十四五”文化和旅游发展规划》；</w:t>
      </w:r>
    </w:p>
    <w:p w14:paraId="02D30D17">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9</w:t>
      </w:r>
      <w:r>
        <w:rPr>
          <w:rFonts w:hint="eastAsia" w:ascii="宋体" w:hAnsi="宋体" w:eastAsia="宋体" w:cs="宋体"/>
          <w:sz w:val="21"/>
          <w:szCs w:val="21"/>
          <w:lang w:eastAsia="zh-CN"/>
        </w:rPr>
        <w:t>）《关于促进“书香湖南”全民阅读工作的意见》；</w:t>
      </w:r>
    </w:p>
    <w:p w14:paraId="197607F5">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（10）</w:t>
      </w:r>
      <w:r>
        <w:rPr>
          <w:rFonts w:hint="eastAsia" w:ascii="宋体" w:hAnsi="宋体" w:eastAsia="宋体" w:cs="宋体"/>
          <w:sz w:val="21"/>
          <w:szCs w:val="21"/>
          <w:lang w:eastAsia="zh-CN"/>
        </w:rPr>
        <w:t>《湖南省公共文化服务体系高质量发展五年行动计划（2021年-2025年）》；</w:t>
      </w:r>
    </w:p>
    <w:p w14:paraId="60ADB90C">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（11）</w:t>
      </w:r>
      <w:r>
        <w:rPr>
          <w:rFonts w:hint="eastAsia" w:ascii="宋体" w:hAnsi="宋体" w:eastAsia="宋体" w:cs="宋体"/>
          <w:sz w:val="21"/>
          <w:szCs w:val="21"/>
          <w:lang w:eastAsia="zh-CN"/>
        </w:rPr>
        <w:t>“数字图书馆推广工程”相关要求</w:t>
      </w:r>
    </w:p>
    <w:p w14:paraId="603C458E">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）国务院《政府投资条例》；</w:t>
      </w:r>
    </w:p>
    <w:p w14:paraId="06DF1FFF">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）国务院办公厅《国家政务信息化项目建设管理办法》（国办发〔2019〕57 号）；</w:t>
      </w:r>
    </w:p>
    <w:p w14:paraId="0812C32B">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14</w:t>
      </w:r>
      <w:r>
        <w:rPr>
          <w:rFonts w:hint="eastAsia" w:ascii="宋体" w:hAnsi="宋体" w:eastAsia="宋体" w:cs="宋体"/>
          <w:sz w:val="21"/>
          <w:szCs w:val="21"/>
          <w:lang w:eastAsia="zh-CN"/>
        </w:rPr>
        <w:t>）《中华人民共和国公共图书馆法》</w:t>
      </w:r>
    </w:p>
    <w:p w14:paraId="6A2CDFB4">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）《中华人民共和国网络安全法》；</w:t>
      </w:r>
    </w:p>
    <w:p w14:paraId="4ECBCC33">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）《中华人民共和国密码法》；</w:t>
      </w:r>
    </w:p>
    <w:p w14:paraId="18B816AC">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）《中华人民共和国个人信息保护法》；</w:t>
      </w:r>
    </w:p>
    <w:p w14:paraId="18A7252D">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）《关键信息基础设施安全保护条例》（中华人民共和国国务院令 第 745 号）；</w:t>
      </w:r>
    </w:p>
    <w:p w14:paraId="31FB7A90">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19</w:t>
      </w:r>
      <w:r>
        <w:rPr>
          <w:rFonts w:hint="eastAsia" w:ascii="宋体" w:hAnsi="宋体" w:eastAsia="宋体" w:cs="宋体"/>
          <w:sz w:val="21"/>
          <w:szCs w:val="21"/>
          <w:lang w:eastAsia="zh-CN"/>
        </w:rPr>
        <w:t>）《张家界市国民经济和社会发展第十四个五年规划和二〇三五年远景目标纲要》；</w:t>
      </w:r>
    </w:p>
    <w:p w14:paraId="2FAB5675">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default" w:ascii="Times New Roman" w:hAnsi="Times New Roman" w:eastAsia="仿宋_GB2312" w:cs="Times New Roman"/>
          <w:sz w:val="32"/>
          <w:szCs w:val="32"/>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w:t>
      </w:r>
      <w:r>
        <w:rPr>
          <w:rFonts w:hint="eastAsia" w:ascii="宋体" w:hAnsi="宋体" w:eastAsia="宋体" w:cs="宋体"/>
          <w:sz w:val="21"/>
          <w:szCs w:val="21"/>
          <w:lang w:eastAsia="zh-CN"/>
        </w:rPr>
        <w:t>）《张家界市政府2024年政府工作报告》。</w:t>
      </w:r>
    </w:p>
    <w:p w14:paraId="57DB0679">
      <w:pPr>
        <w:pageBreakBefore w:val="0"/>
        <w:widowControl w:val="0"/>
        <w:kinsoku/>
        <w:wordWrap/>
        <w:overflowPunct/>
        <w:topLinePunct w:val="0"/>
        <w:autoSpaceDE/>
        <w:autoSpaceDN/>
        <w:bidi w:val="0"/>
        <w:adjustRightInd/>
        <w:snapToGrid/>
        <w:spacing w:line="600" w:lineRule="exact"/>
        <w:ind w:firstLine="422" w:firstLineChars="200"/>
        <w:textAlignment w:val="auto"/>
        <w:outlineLvl w:val="3"/>
        <w:rPr>
          <w:rFonts w:hint="eastAsia" w:ascii="宋体" w:hAnsi="宋体" w:eastAsia="宋体" w:cs="宋体"/>
          <w:sz w:val="21"/>
          <w:szCs w:val="21"/>
          <w:lang w:eastAsia="zh-CN"/>
        </w:rPr>
      </w:pPr>
      <w:r>
        <w:rPr>
          <w:rFonts w:hint="eastAsia" w:ascii="宋体" w:hAnsi="宋体" w:eastAsia="宋体" w:cs="宋体"/>
          <w:b/>
          <w:bCs/>
          <w:sz w:val="21"/>
          <w:szCs w:val="21"/>
          <w:lang w:val="en-US" w:eastAsia="zh-CN"/>
        </w:rPr>
        <w:t>2.</w:t>
      </w:r>
      <w:r>
        <w:rPr>
          <w:rFonts w:hint="eastAsia" w:ascii="宋体" w:hAnsi="宋体" w:eastAsia="宋体" w:cs="宋体"/>
          <w:b/>
          <w:bCs/>
          <w:sz w:val="21"/>
          <w:szCs w:val="21"/>
          <w:lang w:eastAsia="zh-CN"/>
        </w:rPr>
        <w:t>技术标准</w:t>
      </w:r>
    </w:p>
    <w:p w14:paraId="5CF93462">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bookmarkStart w:id="65" w:name="OLE_LINK4"/>
      <w:r>
        <w:rPr>
          <w:rFonts w:hint="eastAsia" w:ascii="宋体" w:hAnsi="宋体" w:eastAsia="宋体" w:cs="宋体"/>
          <w:sz w:val="21"/>
          <w:szCs w:val="21"/>
          <w:lang w:eastAsia="zh-CN"/>
        </w:rPr>
        <w:t>（1）</w:t>
      </w:r>
      <w:bookmarkEnd w:id="65"/>
      <w:r>
        <w:rPr>
          <w:rFonts w:hint="eastAsia" w:ascii="宋体" w:hAnsi="宋体" w:eastAsia="宋体" w:cs="宋体"/>
          <w:sz w:val="21"/>
          <w:szCs w:val="21"/>
          <w:lang w:eastAsia="zh-CN"/>
        </w:rPr>
        <w:t>公共图书馆业务规范（</w:t>
      </w:r>
      <w:r>
        <w:rPr>
          <w:rFonts w:hint="eastAsia" w:ascii="宋体" w:hAnsi="宋体" w:eastAsia="宋体" w:cs="宋体"/>
          <w:sz w:val="21"/>
          <w:szCs w:val="21"/>
          <w:lang w:val="en-US" w:eastAsia="zh-CN"/>
        </w:rPr>
        <w:t>市</w:t>
      </w:r>
      <w:r>
        <w:rPr>
          <w:rFonts w:hint="eastAsia" w:ascii="宋体" w:hAnsi="宋体" w:eastAsia="宋体" w:cs="宋体"/>
          <w:sz w:val="21"/>
          <w:szCs w:val="21"/>
          <w:lang w:eastAsia="zh-CN"/>
        </w:rPr>
        <w:t>级）</w:t>
      </w:r>
    </w:p>
    <w:p w14:paraId="133D032B">
      <w:pPr>
        <w:pageBreakBefore w:val="0"/>
        <w:widowControl w:val="0"/>
        <w:kinsoku/>
        <w:wordWrap/>
        <w:overflowPunct/>
        <w:topLinePunct w:val="0"/>
        <w:autoSpaceDE/>
        <w:autoSpaceDN/>
        <w:bidi w:val="0"/>
        <w:adjustRightInd/>
        <w:snapToGrid/>
        <w:spacing w:line="60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）《第七次全国县级以上公共图书馆评估</w:t>
      </w:r>
      <w:r>
        <w:rPr>
          <w:rFonts w:hint="eastAsia" w:ascii="宋体" w:hAnsi="宋体" w:eastAsia="宋体" w:cs="宋体"/>
          <w:sz w:val="21"/>
          <w:szCs w:val="21"/>
          <w:lang w:val="en-US" w:eastAsia="zh-CN"/>
        </w:rPr>
        <w:t>标准</w:t>
      </w:r>
      <w:r>
        <w:rPr>
          <w:rFonts w:hint="eastAsia" w:ascii="宋体" w:hAnsi="宋体" w:eastAsia="宋体" w:cs="宋体"/>
          <w:sz w:val="21"/>
          <w:szCs w:val="21"/>
          <w:lang w:eastAsia="zh-CN"/>
        </w:rPr>
        <w:t>》副省级、地市级（含直辖市所辖区县）公共图书馆等级必备条件</w:t>
      </w:r>
    </w:p>
    <w:p w14:paraId="0D4E1359">
      <w:pPr>
        <w:pageBreakBefore w:val="0"/>
        <w:widowControl w:val="0"/>
        <w:kinsoku/>
        <w:wordWrap/>
        <w:overflowPunct/>
        <w:topLinePunct w:val="0"/>
        <w:autoSpaceDE/>
        <w:autoSpaceDN/>
        <w:bidi w:val="0"/>
        <w:adjustRightInd/>
        <w:snapToGrid/>
        <w:spacing w:line="600" w:lineRule="exact"/>
        <w:ind w:left="0" w:leftChars="0" w:firstLine="422" w:firstLineChars="200"/>
        <w:textAlignment w:val="auto"/>
        <w:outlineLvl w:val="3"/>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信息化规范与依据</w:t>
      </w:r>
    </w:p>
    <w:p w14:paraId="4CCB6627">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（1）《信息技术软件工程术语》（GB/T11457-2006）</w:t>
      </w:r>
    </w:p>
    <w:p w14:paraId="39825E54">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（2）《数据库管理系统安全技术要求》（GB/T20273-2006）</w:t>
      </w:r>
    </w:p>
    <w:p w14:paraId="552E8A85">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w:t>
      </w:r>
      <w:bookmarkStart w:id="66" w:name="OLE_LINK3"/>
      <w:r>
        <w:rPr>
          <w:rFonts w:hint="eastAsia" w:ascii="宋体" w:hAnsi="宋体" w:eastAsia="宋体" w:cs="宋体"/>
          <w:sz w:val="21"/>
          <w:szCs w:val="21"/>
          <w:lang w:eastAsia="zh-CN"/>
        </w:rPr>
        <w:t>计算机软件文档</w:t>
      </w:r>
      <w:bookmarkEnd w:id="66"/>
      <w:r>
        <w:rPr>
          <w:rFonts w:hint="eastAsia" w:ascii="宋体" w:hAnsi="宋体" w:eastAsia="宋体" w:cs="宋体"/>
          <w:sz w:val="21"/>
          <w:szCs w:val="21"/>
          <w:lang w:eastAsia="zh-CN"/>
        </w:rPr>
        <w:t>编制规范》（GB/T8567-2006）</w:t>
      </w:r>
    </w:p>
    <w:p w14:paraId="2F10846F">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（4）《信息安全技术信息系统灾难恢复规范》（GB/T20988-2007）</w:t>
      </w:r>
    </w:p>
    <w:p w14:paraId="2510A523">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（5）《计算机软件测试规范》（GB/T15532-2016）</w:t>
      </w:r>
    </w:p>
    <w:p w14:paraId="3DE6ECDC">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（6）《计算机软件质量保证计划规范》（GB/T12504-2008）</w:t>
      </w:r>
    </w:p>
    <w:p w14:paraId="4F719184">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（7）《计算机软件需求规格说明规范》（GB/T9385-2008）</w:t>
      </w:r>
    </w:p>
    <w:p w14:paraId="6250E490">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（8）《计算机软件测试文档编制规范》（GB/T9386-2008）</w:t>
      </w:r>
    </w:p>
    <w:p w14:paraId="78498E74">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（9）《信息安全技术信息安全产品类别与代码》（GB/T25066-2010）</w:t>
      </w:r>
    </w:p>
    <w:p w14:paraId="44CF62D1">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（10）《信息安全技术信息系统安全审计产品技术要求和测试评价办法》（GB/T20945-2013）</w:t>
      </w:r>
    </w:p>
    <w:p w14:paraId="19EE4070">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（11）《信息安全技术信息系统安全等级保护基本要求》（GB/T22239-2019）</w:t>
      </w:r>
    </w:p>
    <w:p w14:paraId="32EE4D75">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（12）《信息安全技术个人信息安全规范》（GB/T 35273-2020）</w:t>
      </w:r>
    </w:p>
    <w:p w14:paraId="03D002F6">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（13）《信息安全技术网络安全等级保护安全设计技术要求》GB/T25070-2019</w:t>
      </w:r>
    </w:p>
    <w:p w14:paraId="43CA4B29">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（14）《信息安全技术网络安全等级保护基本要求》GBT22239-2019</w:t>
      </w:r>
    </w:p>
    <w:p w14:paraId="78693DA0">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（15）《信息安全技术 关键信息基础设施安全保护要求》（GB/T 39204-2022）</w:t>
      </w:r>
    </w:p>
    <w:p w14:paraId="607028C6">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（16）《张家界市政务信息化项目建设管理办法（试行）》</w:t>
      </w:r>
    </w:p>
    <w:p w14:paraId="14BB0AA9">
      <w:pPr>
        <w:keepNext w:val="0"/>
        <w:keepLines w:val="0"/>
        <w:pageBreakBefore w:val="0"/>
        <w:widowControl w:val="0"/>
        <w:kinsoku/>
        <w:wordWrap/>
        <w:overflowPunct/>
        <w:topLinePunct w:val="0"/>
        <w:autoSpaceDE/>
        <w:autoSpaceDN/>
        <w:bidi w:val="0"/>
        <w:adjustRightInd/>
        <w:snapToGrid/>
        <w:spacing w:line="580" w:lineRule="exact"/>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（17）《张家界市政务信息化项目建设管理实施细则（试行）》</w:t>
      </w:r>
    </w:p>
    <w:p w14:paraId="5121CE00">
      <w:pPr>
        <w:keepNext/>
        <w:keepLines/>
        <w:pageBreakBefore w:val="0"/>
        <w:widowControl w:val="0"/>
        <w:numPr>
          <w:ilvl w:val="4"/>
          <w:numId w:val="0"/>
        </w:numPr>
        <w:tabs>
          <w:tab w:val="left" w:pos="0"/>
        </w:tabs>
        <w:kinsoku/>
        <w:wordWrap/>
        <w:overflowPunct/>
        <w:topLinePunct w:val="0"/>
        <w:autoSpaceDE/>
        <w:autoSpaceDN/>
        <w:bidi w:val="0"/>
        <w:adjustRightInd/>
        <w:snapToGrid/>
        <w:spacing w:before="260" w:beforeLines="0" w:beforeAutospacing="0" w:after="260" w:afterLines="0" w:afterAutospacing="0" w:line="440" w:lineRule="exact"/>
        <w:ind w:left="1055" w:leftChars="200" w:hanging="575"/>
        <w:jc w:val="both"/>
        <w:textAlignment w:val="auto"/>
        <w:outlineLvl w:val="1"/>
        <w:rPr>
          <w:rFonts w:hint="eastAsia" w:ascii="宋体" w:hAnsi="宋体" w:eastAsia="宋体" w:cs="宋体"/>
          <w:b/>
          <w:kern w:val="2"/>
          <w:sz w:val="21"/>
          <w:szCs w:val="21"/>
          <w:lang w:val="en-US" w:eastAsia="zh-CN" w:bidi="ar-SA"/>
        </w:rPr>
      </w:pPr>
      <w:bookmarkStart w:id="67" w:name="_Toc14985"/>
      <w:bookmarkStart w:id="68" w:name="_Toc18970"/>
      <w:bookmarkStart w:id="69" w:name="_Toc5867"/>
      <w:r>
        <w:rPr>
          <w:rFonts w:hint="eastAsia" w:ascii="Arial" w:hAnsi="Arial" w:eastAsia="黑体" w:cs="Times New Roman"/>
          <w:b/>
          <w:kern w:val="2"/>
          <w:sz w:val="21"/>
          <w:szCs w:val="21"/>
          <w:lang w:val="en-US" w:eastAsia="zh-CN" w:bidi="ar-SA"/>
        </w:rPr>
        <w:t>五、技术商务要求</w:t>
      </w:r>
      <w:bookmarkEnd w:id="67"/>
      <w:bookmarkEnd w:id="68"/>
      <w:bookmarkEnd w:id="69"/>
    </w:p>
    <w:p w14:paraId="021509A1">
      <w:pPr>
        <w:keepNext w:val="0"/>
        <w:keepLines w:val="0"/>
        <w:pageBreakBefore w:val="0"/>
        <w:widowControl w:val="0"/>
        <w:tabs>
          <w:tab w:val="left" w:pos="0"/>
        </w:tabs>
        <w:kinsoku/>
        <w:wordWrap/>
        <w:overflowPunct/>
        <w:topLinePunct w:val="0"/>
        <w:autoSpaceDE/>
        <w:autoSpaceDN/>
        <w:bidi w:val="0"/>
        <w:adjustRightInd/>
        <w:snapToGrid/>
        <w:spacing w:line="600" w:lineRule="exact"/>
        <w:ind w:left="0" w:leftChars="0" w:firstLine="422" w:firstLineChars="200"/>
        <w:jc w:val="left"/>
        <w:textAlignment w:val="auto"/>
        <w:outlineLvl w:val="2"/>
        <w:rPr>
          <w:rFonts w:hint="eastAsia" w:ascii="宋体" w:hAnsi="宋体" w:eastAsia="宋体" w:cs="宋体"/>
          <w:b/>
          <w:bCs/>
          <w:i w:val="0"/>
          <w:iCs w:val="0"/>
          <w:kern w:val="2"/>
          <w:sz w:val="21"/>
          <w:szCs w:val="21"/>
          <w:u w:val="none"/>
          <w:lang w:val="en-US" w:eastAsia="zh-CN" w:bidi="ar-SA"/>
        </w:rPr>
      </w:pPr>
      <w:r>
        <w:rPr>
          <w:rFonts w:hint="eastAsia" w:ascii="宋体" w:hAnsi="宋体" w:eastAsia="宋体" w:cs="宋体"/>
          <w:b/>
          <w:bCs/>
          <w:i w:val="0"/>
          <w:iCs w:val="0"/>
          <w:kern w:val="2"/>
          <w:sz w:val="21"/>
          <w:szCs w:val="21"/>
          <w:u w:val="none"/>
          <w:lang w:val="en-US" w:eastAsia="zh-CN" w:bidi="ar-SA"/>
        </w:rPr>
        <w:t>（1）技术要求</w:t>
      </w:r>
    </w:p>
    <w:p w14:paraId="0CC3ECDF">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宋体" w:hAnsi="宋体" w:eastAsia="宋体" w:cs="宋体"/>
          <w:b/>
          <w:bCs/>
          <w:i w:val="0"/>
          <w:iCs w:val="0"/>
          <w:sz w:val="21"/>
          <w:szCs w:val="21"/>
          <w:u w:val="none"/>
          <w:lang w:val="en-US" w:eastAsia="zh-CN"/>
        </w:rPr>
      </w:pPr>
      <w:r>
        <w:rPr>
          <w:rFonts w:hint="eastAsia" w:ascii="宋体" w:hAnsi="宋体" w:eastAsia="宋体" w:cs="宋体"/>
          <w:b/>
          <w:bCs/>
          <w:i w:val="0"/>
          <w:iCs w:val="0"/>
          <w:sz w:val="21"/>
          <w:szCs w:val="21"/>
          <w:u w:val="none"/>
          <w:lang w:val="en-US" w:eastAsia="zh-CN"/>
        </w:rPr>
        <w:t>1</w:t>
      </w:r>
      <w:r>
        <w:rPr>
          <w:rFonts w:hint="eastAsia" w:ascii="宋体" w:hAnsi="宋体" w:eastAsia="宋体" w:cs="宋体"/>
          <w:b/>
          <w:bCs/>
          <w:i w:val="0"/>
          <w:iCs w:val="0"/>
          <w:sz w:val="21"/>
          <w:szCs w:val="21"/>
          <w:u w:val="none"/>
          <w:lang w:eastAsia="zh-CN"/>
        </w:rPr>
        <w:t>）</w:t>
      </w:r>
      <w:r>
        <w:rPr>
          <w:rFonts w:hint="eastAsia" w:ascii="宋体" w:hAnsi="宋体" w:eastAsia="宋体" w:cs="宋体"/>
          <w:b/>
          <w:bCs/>
          <w:i w:val="0"/>
          <w:iCs w:val="0"/>
          <w:sz w:val="21"/>
          <w:szCs w:val="21"/>
          <w:u w:val="none"/>
          <w:lang w:val="en-US" w:eastAsia="zh-CN"/>
        </w:rPr>
        <w:t>具体采购内容</w:t>
      </w:r>
    </w:p>
    <w:p w14:paraId="450B786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仿宋_GB2312" w:cs="Times New Roman"/>
          <w:i w:val="0"/>
          <w:iCs w:val="0"/>
          <w:sz w:val="32"/>
          <w:szCs w:val="32"/>
          <w:u w:val="none"/>
          <w:lang w:val="en-US" w:eastAsia="zh-CN"/>
        </w:rPr>
      </w:pPr>
      <w:r>
        <w:rPr>
          <w:rFonts w:hint="eastAsia" w:ascii="宋体" w:hAnsi="宋体" w:eastAsia="宋体" w:cs="宋体"/>
          <w:i w:val="0"/>
          <w:iCs w:val="0"/>
          <w:sz w:val="21"/>
          <w:szCs w:val="21"/>
          <w:u w:val="none"/>
          <w:lang w:eastAsia="zh-CN"/>
        </w:rPr>
        <w:t>项目建设内容分为张家界市</w:t>
      </w:r>
      <w:r>
        <w:rPr>
          <w:rFonts w:hint="eastAsia" w:ascii="宋体" w:hAnsi="宋体" w:eastAsia="宋体" w:cs="宋体"/>
          <w:i w:val="0"/>
          <w:iCs w:val="0"/>
          <w:sz w:val="21"/>
          <w:szCs w:val="21"/>
          <w:u w:val="none"/>
          <w:lang w:val="en-US" w:eastAsia="zh-CN"/>
        </w:rPr>
        <w:t>图书馆</w:t>
      </w:r>
      <w:r>
        <w:rPr>
          <w:rFonts w:hint="eastAsia" w:ascii="宋体" w:hAnsi="宋体" w:eastAsia="宋体" w:cs="宋体"/>
          <w:i w:val="0"/>
          <w:iCs w:val="0"/>
          <w:sz w:val="21"/>
          <w:szCs w:val="21"/>
          <w:u w:val="none"/>
          <w:lang w:eastAsia="zh-CN"/>
        </w:rPr>
        <w:t>文化展示与标识体系设计及制作、专业设备及基础设施购置。其中</w:t>
      </w:r>
      <w:r>
        <w:rPr>
          <w:rFonts w:hint="eastAsia" w:ascii="宋体" w:hAnsi="宋体" w:eastAsia="宋体" w:cs="宋体"/>
          <w:i w:val="0"/>
          <w:iCs w:val="0"/>
          <w:sz w:val="21"/>
          <w:szCs w:val="21"/>
          <w:u w:val="none"/>
          <w:lang w:val="en-US" w:eastAsia="zh-CN"/>
        </w:rPr>
        <w:t>第一部分</w:t>
      </w:r>
      <w:r>
        <w:rPr>
          <w:rFonts w:hint="eastAsia" w:ascii="宋体" w:hAnsi="宋体" w:eastAsia="宋体" w:cs="宋体"/>
          <w:i w:val="0"/>
          <w:iCs w:val="0"/>
          <w:sz w:val="21"/>
          <w:szCs w:val="21"/>
          <w:u w:val="none"/>
          <w:lang w:eastAsia="zh-CN"/>
        </w:rPr>
        <w:t>包含</w:t>
      </w:r>
      <w:r>
        <w:rPr>
          <w:rFonts w:hint="eastAsia" w:ascii="宋体" w:hAnsi="宋体" w:eastAsia="宋体" w:cs="宋体"/>
          <w:i w:val="0"/>
          <w:iCs w:val="0"/>
          <w:sz w:val="21"/>
          <w:szCs w:val="21"/>
          <w:u w:val="none"/>
          <w:lang w:val="en-US" w:eastAsia="zh-CN"/>
        </w:rPr>
        <w:t>走廊宣传广告、社科书库宣传广告、市馆主形象展示墙、定制名人名言展示墙、图书馆管理制度墙、定制广而告之内容、定制读者手册、定制导向牌</w:t>
      </w:r>
      <w:r>
        <w:rPr>
          <w:rFonts w:hint="eastAsia" w:ascii="宋体" w:hAnsi="宋体" w:eastAsia="宋体" w:cs="宋体"/>
          <w:i w:val="0"/>
          <w:iCs w:val="0"/>
          <w:sz w:val="21"/>
          <w:szCs w:val="21"/>
          <w:u w:val="none"/>
          <w:lang w:eastAsia="zh-CN"/>
        </w:rPr>
        <w:t>；</w:t>
      </w:r>
      <w:r>
        <w:rPr>
          <w:rFonts w:hint="eastAsia" w:ascii="宋体" w:hAnsi="宋体" w:eastAsia="宋体" w:cs="宋体"/>
          <w:i w:val="0"/>
          <w:iCs w:val="0"/>
          <w:sz w:val="21"/>
          <w:szCs w:val="21"/>
          <w:u w:val="none"/>
          <w:lang w:val="en-US" w:eastAsia="zh-CN"/>
        </w:rPr>
        <w:t>第二部分</w:t>
      </w:r>
      <w:r>
        <w:rPr>
          <w:rFonts w:hint="eastAsia" w:ascii="宋体" w:hAnsi="宋体" w:eastAsia="宋体" w:cs="宋体"/>
          <w:i w:val="0"/>
          <w:iCs w:val="0"/>
          <w:sz w:val="21"/>
          <w:szCs w:val="21"/>
          <w:u w:val="none"/>
          <w:lang w:eastAsia="zh-CN"/>
        </w:rPr>
        <w:t>包含读者服务台、智慧图书馆服务平台接口、层架标、层架标加工服务、自助办证与自助借还一体机、RFID数据接口、还书箱、馆员工作站、RFID图书标签、RFID图书安全门、数字借阅一体机等，</w:t>
      </w:r>
      <w:r>
        <w:rPr>
          <w:rFonts w:hint="eastAsia" w:ascii="宋体" w:hAnsi="宋体" w:eastAsia="宋体" w:cs="宋体"/>
          <w:i w:val="0"/>
          <w:iCs w:val="0"/>
          <w:sz w:val="21"/>
          <w:szCs w:val="21"/>
          <w:u w:val="none"/>
          <w:lang w:val="en-US" w:eastAsia="zh-CN"/>
        </w:rPr>
        <w:t>具体工作内容包括：</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58"/>
        <w:gridCol w:w="2940"/>
        <w:gridCol w:w="1586"/>
        <w:gridCol w:w="1259"/>
        <w:gridCol w:w="2073"/>
      </w:tblGrid>
      <w:tr w14:paraId="60BE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5000" w:type="pct"/>
            <w:gridSpan w:val="5"/>
            <w:shd w:val="clear" w:color="auto" w:fill="auto"/>
            <w:vAlign w:val="center"/>
          </w:tcPr>
          <w:p w14:paraId="6C82120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张家界市图书馆社科书库提质改造项目汇总表</w:t>
            </w:r>
          </w:p>
        </w:tc>
      </w:tr>
      <w:tr w14:paraId="22A1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86" w:type="pct"/>
            <w:shd w:val="clear" w:color="auto" w:fill="auto"/>
            <w:noWrap/>
            <w:vAlign w:val="center"/>
          </w:tcPr>
          <w:p w14:paraId="4BD63D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27" w:type="pct"/>
            <w:shd w:val="clear" w:color="auto" w:fill="auto"/>
            <w:vAlign w:val="center"/>
          </w:tcPr>
          <w:p w14:paraId="27D532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931" w:type="pct"/>
            <w:shd w:val="clear" w:color="auto" w:fill="auto"/>
            <w:vAlign w:val="center"/>
          </w:tcPr>
          <w:p w14:paraId="3545A5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739" w:type="pct"/>
            <w:shd w:val="clear" w:color="auto" w:fill="auto"/>
            <w:vAlign w:val="center"/>
          </w:tcPr>
          <w:p w14:paraId="6F8FF5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216" w:type="pct"/>
            <w:shd w:val="clear" w:color="auto" w:fill="auto"/>
            <w:noWrap/>
            <w:vAlign w:val="center"/>
          </w:tcPr>
          <w:p w14:paraId="298FA0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863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5"/>
            <w:shd w:val="clear" w:color="auto" w:fill="auto"/>
            <w:noWrap/>
            <w:vAlign w:val="center"/>
          </w:tcPr>
          <w:p w14:paraId="123D26A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一、文化展示与标识体系设计及制作</w:t>
            </w:r>
          </w:p>
        </w:tc>
      </w:tr>
      <w:tr w14:paraId="654B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86" w:type="pct"/>
            <w:shd w:val="clear" w:color="auto" w:fill="auto"/>
            <w:vAlign w:val="center"/>
          </w:tcPr>
          <w:p w14:paraId="6D9AA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27" w:type="pct"/>
            <w:shd w:val="clear" w:color="auto" w:fill="auto"/>
            <w:vAlign w:val="center"/>
          </w:tcPr>
          <w:p w14:paraId="079B2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走廊宣传广告一</w:t>
            </w:r>
          </w:p>
        </w:tc>
        <w:tc>
          <w:tcPr>
            <w:tcW w:w="931" w:type="pct"/>
            <w:shd w:val="clear" w:color="auto" w:fill="auto"/>
            <w:noWrap/>
            <w:vAlign w:val="center"/>
          </w:tcPr>
          <w:p w14:paraId="0D77A9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9.62</w:t>
            </w:r>
          </w:p>
        </w:tc>
        <w:tc>
          <w:tcPr>
            <w:tcW w:w="739" w:type="pct"/>
            <w:shd w:val="clear" w:color="auto" w:fill="auto"/>
            <w:noWrap/>
            <w:vAlign w:val="center"/>
          </w:tcPr>
          <w:p w14:paraId="4C799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color w:val="000000"/>
                <w:sz w:val="22"/>
                <w:szCs w:val="22"/>
                <w:u w:val="none"/>
                <w:lang w:val="en-US" w:eastAsia="zh-CN" w:bidi="ar"/>
              </w:rPr>
              <w:t>m</w:t>
            </w:r>
            <w:r>
              <w:rPr>
                <w:rFonts w:hint="eastAsia" w:ascii="宋体" w:hAnsi="宋体" w:eastAsia="宋体" w:cs="宋体"/>
                <w:color w:val="000000"/>
                <w:sz w:val="22"/>
                <w:szCs w:val="22"/>
                <w:u w:val="none"/>
                <w:vertAlign w:val="superscript"/>
                <w:lang w:val="en-US" w:eastAsia="zh-CN" w:bidi="ar"/>
              </w:rPr>
              <w:t>2</w:t>
            </w:r>
          </w:p>
        </w:tc>
        <w:tc>
          <w:tcPr>
            <w:tcW w:w="1216" w:type="pct"/>
            <w:shd w:val="clear" w:color="auto" w:fill="auto"/>
            <w:noWrap/>
            <w:vAlign w:val="center"/>
          </w:tcPr>
          <w:p w14:paraId="0E92D754">
            <w:pPr>
              <w:rPr>
                <w:rFonts w:hint="eastAsia" w:ascii="宋体" w:hAnsi="宋体" w:eastAsia="宋体" w:cs="宋体"/>
                <w:i w:val="0"/>
                <w:iCs w:val="0"/>
                <w:color w:val="000000"/>
                <w:sz w:val="22"/>
                <w:szCs w:val="22"/>
                <w:u w:val="none"/>
              </w:rPr>
            </w:pPr>
          </w:p>
        </w:tc>
      </w:tr>
      <w:tr w14:paraId="6D69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86" w:type="pct"/>
            <w:shd w:val="clear" w:color="auto" w:fill="auto"/>
            <w:noWrap/>
            <w:vAlign w:val="center"/>
          </w:tcPr>
          <w:p w14:paraId="4663F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27" w:type="pct"/>
            <w:shd w:val="clear" w:color="auto" w:fill="auto"/>
            <w:vAlign w:val="center"/>
          </w:tcPr>
          <w:p w14:paraId="3E4B9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走廊宣传广告二</w:t>
            </w:r>
          </w:p>
        </w:tc>
        <w:tc>
          <w:tcPr>
            <w:tcW w:w="931" w:type="pct"/>
            <w:shd w:val="clear" w:color="auto" w:fill="auto"/>
            <w:noWrap/>
            <w:vAlign w:val="center"/>
          </w:tcPr>
          <w:p w14:paraId="500C32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7.84</w:t>
            </w:r>
          </w:p>
        </w:tc>
        <w:tc>
          <w:tcPr>
            <w:tcW w:w="739" w:type="pct"/>
            <w:shd w:val="clear" w:color="auto" w:fill="auto"/>
            <w:noWrap/>
            <w:vAlign w:val="center"/>
          </w:tcPr>
          <w:p w14:paraId="04D31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color w:val="000000"/>
                <w:sz w:val="22"/>
                <w:szCs w:val="22"/>
                <w:u w:val="none"/>
                <w:lang w:val="en-US" w:eastAsia="zh-CN" w:bidi="ar"/>
              </w:rPr>
              <w:t>m</w:t>
            </w:r>
            <w:r>
              <w:rPr>
                <w:rFonts w:hint="eastAsia" w:ascii="宋体" w:hAnsi="宋体" w:eastAsia="宋体" w:cs="宋体"/>
                <w:color w:val="000000"/>
                <w:sz w:val="22"/>
                <w:szCs w:val="22"/>
                <w:u w:val="none"/>
                <w:vertAlign w:val="superscript"/>
                <w:lang w:val="en-US" w:eastAsia="zh-CN" w:bidi="ar"/>
              </w:rPr>
              <w:t>2</w:t>
            </w:r>
          </w:p>
        </w:tc>
        <w:tc>
          <w:tcPr>
            <w:tcW w:w="1216" w:type="pct"/>
            <w:shd w:val="clear" w:color="auto" w:fill="auto"/>
            <w:noWrap/>
            <w:vAlign w:val="center"/>
          </w:tcPr>
          <w:p w14:paraId="59FE4431">
            <w:pPr>
              <w:rPr>
                <w:rFonts w:hint="eastAsia" w:ascii="宋体" w:hAnsi="宋体" w:eastAsia="宋体" w:cs="宋体"/>
                <w:i w:val="0"/>
                <w:iCs w:val="0"/>
                <w:color w:val="000000"/>
                <w:sz w:val="22"/>
                <w:szCs w:val="22"/>
                <w:u w:val="none"/>
              </w:rPr>
            </w:pPr>
          </w:p>
        </w:tc>
      </w:tr>
      <w:tr w14:paraId="27C7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04C33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27" w:type="pct"/>
            <w:shd w:val="clear" w:color="auto" w:fill="auto"/>
            <w:vAlign w:val="center"/>
          </w:tcPr>
          <w:p w14:paraId="4A43C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社科书库宣传广告</w:t>
            </w:r>
          </w:p>
        </w:tc>
        <w:tc>
          <w:tcPr>
            <w:tcW w:w="931" w:type="pct"/>
            <w:shd w:val="clear" w:color="auto" w:fill="auto"/>
            <w:noWrap/>
            <w:vAlign w:val="center"/>
          </w:tcPr>
          <w:p w14:paraId="3AAA28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8.02</w:t>
            </w:r>
          </w:p>
        </w:tc>
        <w:tc>
          <w:tcPr>
            <w:tcW w:w="739" w:type="pct"/>
            <w:shd w:val="clear" w:color="auto" w:fill="auto"/>
            <w:noWrap/>
            <w:vAlign w:val="center"/>
          </w:tcPr>
          <w:p w14:paraId="055EF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1216" w:type="pct"/>
            <w:shd w:val="clear" w:color="auto" w:fill="auto"/>
            <w:noWrap/>
            <w:vAlign w:val="center"/>
          </w:tcPr>
          <w:p w14:paraId="639BF3BA">
            <w:pPr>
              <w:rPr>
                <w:rFonts w:hint="eastAsia" w:ascii="宋体" w:hAnsi="宋体" w:eastAsia="宋体" w:cs="宋体"/>
                <w:i w:val="0"/>
                <w:iCs w:val="0"/>
                <w:color w:val="000000"/>
                <w:sz w:val="22"/>
                <w:szCs w:val="22"/>
                <w:u w:val="none"/>
              </w:rPr>
            </w:pPr>
          </w:p>
        </w:tc>
      </w:tr>
      <w:tr w14:paraId="02D0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2F206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27" w:type="pct"/>
            <w:shd w:val="clear" w:color="auto" w:fill="auto"/>
            <w:vAlign w:val="center"/>
          </w:tcPr>
          <w:p w14:paraId="15AB6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市馆主形象展示墙</w:t>
            </w:r>
          </w:p>
        </w:tc>
        <w:tc>
          <w:tcPr>
            <w:tcW w:w="931" w:type="pct"/>
            <w:shd w:val="clear" w:color="auto" w:fill="auto"/>
            <w:noWrap/>
            <w:vAlign w:val="center"/>
          </w:tcPr>
          <w:p w14:paraId="5BDACB5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10.69 </w:t>
            </w:r>
          </w:p>
        </w:tc>
        <w:tc>
          <w:tcPr>
            <w:tcW w:w="739" w:type="pct"/>
            <w:shd w:val="clear" w:color="auto" w:fill="auto"/>
            <w:noWrap/>
            <w:vAlign w:val="center"/>
          </w:tcPr>
          <w:p w14:paraId="48EB0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1216" w:type="pct"/>
            <w:shd w:val="clear" w:color="auto" w:fill="auto"/>
            <w:noWrap/>
            <w:vAlign w:val="center"/>
          </w:tcPr>
          <w:p w14:paraId="3CA51179">
            <w:pPr>
              <w:rPr>
                <w:rFonts w:hint="eastAsia" w:ascii="宋体" w:hAnsi="宋体" w:eastAsia="宋体" w:cs="宋体"/>
                <w:i w:val="0"/>
                <w:iCs w:val="0"/>
                <w:color w:val="000000"/>
                <w:sz w:val="22"/>
                <w:szCs w:val="22"/>
                <w:u w:val="none"/>
              </w:rPr>
            </w:pPr>
          </w:p>
        </w:tc>
      </w:tr>
      <w:tr w14:paraId="76E0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4E92E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27" w:type="pct"/>
            <w:shd w:val="clear" w:color="auto" w:fill="auto"/>
            <w:noWrap/>
            <w:vAlign w:val="center"/>
          </w:tcPr>
          <w:p w14:paraId="6C76F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定制名人名言展示墙</w:t>
            </w:r>
          </w:p>
        </w:tc>
        <w:tc>
          <w:tcPr>
            <w:tcW w:w="931" w:type="pct"/>
            <w:shd w:val="clear" w:color="auto" w:fill="auto"/>
            <w:noWrap/>
            <w:vAlign w:val="center"/>
          </w:tcPr>
          <w:p w14:paraId="39FC8A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5.52</w:t>
            </w:r>
          </w:p>
        </w:tc>
        <w:tc>
          <w:tcPr>
            <w:tcW w:w="739" w:type="pct"/>
            <w:shd w:val="clear" w:color="auto" w:fill="auto"/>
            <w:noWrap/>
            <w:vAlign w:val="center"/>
          </w:tcPr>
          <w:p w14:paraId="21D12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1216" w:type="pct"/>
            <w:shd w:val="clear" w:color="auto" w:fill="auto"/>
            <w:noWrap/>
            <w:vAlign w:val="center"/>
          </w:tcPr>
          <w:p w14:paraId="00F856EE">
            <w:pPr>
              <w:rPr>
                <w:rFonts w:hint="eastAsia" w:ascii="宋体" w:hAnsi="宋体" w:eastAsia="宋体" w:cs="宋体"/>
                <w:i w:val="0"/>
                <w:iCs w:val="0"/>
                <w:color w:val="000000"/>
                <w:sz w:val="22"/>
                <w:szCs w:val="22"/>
                <w:u w:val="none"/>
              </w:rPr>
            </w:pPr>
          </w:p>
        </w:tc>
      </w:tr>
      <w:tr w14:paraId="3358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368C6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27" w:type="pct"/>
            <w:shd w:val="clear" w:color="auto" w:fill="auto"/>
            <w:noWrap/>
            <w:vAlign w:val="center"/>
          </w:tcPr>
          <w:p w14:paraId="6ABDE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图书馆管理制度墙</w:t>
            </w:r>
          </w:p>
        </w:tc>
        <w:tc>
          <w:tcPr>
            <w:tcW w:w="931" w:type="pct"/>
            <w:shd w:val="clear" w:color="auto" w:fill="auto"/>
            <w:noWrap/>
            <w:vAlign w:val="center"/>
          </w:tcPr>
          <w:p w14:paraId="2E0F90C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7.21 </w:t>
            </w:r>
          </w:p>
        </w:tc>
        <w:tc>
          <w:tcPr>
            <w:tcW w:w="739" w:type="pct"/>
            <w:shd w:val="clear" w:color="auto" w:fill="auto"/>
            <w:noWrap/>
            <w:vAlign w:val="center"/>
          </w:tcPr>
          <w:p w14:paraId="3E9A0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1216" w:type="pct"/>
            <w:shd w:val="clear" w:color="auto" w:fill="auto"/>
            <w:noWrap/>
            <w:vAlign w:val="center"/>
          </w:tcPr>
          <w:p w14:paraId="048FE749">
            <w:pPr>
              <w:rPr>
                <w:rFonts w:hint="eastAsia" w:ascii="宋体" w:hAnsi="宋体" w:eastAsia="宋体" w:cs="宋体"/>
                <w:i w:val="0"/>
                <w:iCs w:val="0"/>
                <w:color w:val="000000"/>
                <w:sz w:val="22"/>
                <w:szCs w:val="22"/>
                <w:u w:val="none"/>
              </w:rPr>
            </w:pPr>
          </w:p>
        </w:tc>
      </w:tr>
      <w:tr w14:paraId="55F20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5BD5D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27" w:type="pct"/>
            <w:shd w:val="clear" w:color="auto" w:fill="auto"/>
            <w:noWrap/>
            <w:vAlign w:val="center"/>
          </w:tcPr>
          <w:p w14:paraId="091C0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定制广而告之内容</w:t>
            </w:r>
          </w:p>
        </w:tc>
        <w:tc>
          <w:tcPr>
            <w:tcW w:w="931" w:type="pct"/>
            <w:shd w:val="clear" w:color="auto" w:fill="auto"/>
            <w:noWrap/>
            <w:vAlign w:val="center"/>
          </w:tcPr>
          <w:p w14:paraId="60424E0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739" w:type="pct"/>
            <w:shd w:val="clear" w:color="auto" w:fill="auto"/>
            <w:noWrap/>
            <w:vAlign w:val="center"/>
          </w:tcPr>
          <w:p w14:paraId="7E743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16" w:type="pct"/>
            <w:shd w:val="clear" w:color="auto" w:fill="auto"/>
            <w:noWrap/>
            <w:vAlign w:val="center"/>
          </w:tcPr>
          <w:p w14:paraId="67CEC31D">
            <w:pPr>
              <w:rPr>
                <w:rFonts w:hint="eastAsia" w:ascii="宋体" w:hAnsi="宋体" w:eastAsia="宋体" w:cs="宋体"/>
                <w:i w:val="0"/>
                <w:iCs w:val="0"/>
                <w:color w:val="000000"/>
                <w:sz w:val="22"/>
                <w:szCs w:val="22"/>
                <w:u w:val="none"/>
              </w:rPr>
            </w:pPr>
          </w:p>
        </w:tc>
      </w:tr>
      <w:tr w14:paraId="6F13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6CEA4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27" w:type="pct"/>
            <w:shd w:val="clear" w:color="auto" w:fill="auto"/>
            <w:noWrap/>
            <w:vAlign w:val="center"/>
          </w:tcPr>
          <w:p w14:paraId="52BAE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定制读者手册</w:t>
            </w:r>
          </w:p>
        </w:tc>
        <w:tc>
          <w:tcPr>
            <w:tcW w:w="931" w:type="pct"/>
            <w:shd w:val="clear" w:color="auto" w:fill="auto"/>
            <w:noWrap/>
            <w:vAlign w:val="center"/>
          </w:tcPr>
          <w:p w14:paraId="76BC66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2000.00 </w:t>
            </w:r>
          </w:p>
        </w:tc>
        <w:tc>
          <w:tcPr>
            <w:tcW w:w="739" w:type="pct"/>
            <w:shd w:val="clear" w:color="auto" w:fill="auto"/>
            <w:noWrap/>
            <w:vAlign w:val="center"/>
          </w:tcPr>
          <w:p w14:paraId="70CCF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16" w:type="pct"/>
            <w:shd w:val="clear" w:color="auto" w:fill="auto"/>
            <w:noWrap/>
            <w:vAlign w:val="center"/>
          </w:tcPr>
          <w:p w14:paraId="01045B33">
            <w:pPr>
              <w:rPr>
                <w:rFonts w:hint="eastAsia" w:ascii="宋体" w:hAnsi="宋体" w:eastAsia="宋体" w:cs="宋体"/>
                <w:i w:val="0"/>
                <w:iCs w:val="0"/>
                <w:color w:val="000000"/>
                <w:sz w:val="22"/>
                <w:szCs w:val="22"/>
                <w:u w:val="none"/>
              </w:rPr>
            </w:pPr>
          </w:p>
        </w:tc>
      </w:tr>
      <w:tr w14:paraId="0386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4B015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27" w:type="pct"/>
            <w:shd w:val="clear" w:color="auto" w:fill="auto"/>
            <w:noWrap/>
            <w:vAlign w:val="center"/>
          </w:tcPr>
          <w:p w14:paraId="3CE54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定制导向牌</w:t>
            </w:r>
          </w:p>
        </w:tc>
        <w:tc>
          <w:tcPr>
            <w:tcW w:w="931" w:type="pct"/>
            <w:shd w:val="clear" w:color="auto" w:fill="auto"/>
            <w:noWrap/>
            <w:vAlign w:val="center"/>
          </w:tcPr>
          <w:p w14:paraId="3CA623B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4.00 </w:t>
            </w:r>
          </w:p>
        </w:tc>
        <w:tc>
          <w:tcPr>
            <w:tcW w:w="739" w:type="pct"/>
            <w:shd w:val="clear" w:color="auto" w:fill="auto"/>
            <w:noWrap/>
            <w:vAlign w:val="center"/>
          </w:tcPr>
          <w:p w14:paraId="113A4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16" w:type="pct"/>
            <w:shd w:val="clear" w:color="auto" w:fill="auto"/>
            <w:noWrap/>
            <w:vAlign w:val="center"/>
          </w:tcPr>
          <w:p w14:paraId="7C5C980E">
            <w:pPr>
              <w:rPr>
                <w:rFonts w:hint="eastAsia" w:ascii="宋体" w:hAnsi="宋体" w:eastAsia="宋体" w:cs="宋体"/>
                <w:i w:val="0"/>
                <w:iCs w:val="0"/>
                <w:color w:val="000000"/>
                <w:sz w:val="22"/>
                <w:szCs w:val="22"/>
                <w:u w:val="none"/>
              </w:rPr>
            </w:pPr>
          </w:p>
        </w:tc>
      </w:tr>
      <w:tr w14:paraId="4838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5"/>
            <w:shd w:val="clear" w:color="auto" w:fill="auto"/>
            <w:noWrap/>
            <w:vAlign w:val="center"/>
          </w:tcPr>
          <w:p w14:paraId="59D3063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二、专业设备及基础设施购置</w:t>
            </w:r>
          </w:p>
        </w:tc>
      </w:tr>
      <w:tr w14:paraId="7719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6597E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27" w:type="pct"/>
            <w:shd w:val="clear" w:color="auto" w:fill="auto"/>
            <w:vAlign w:val="center"/>
          </w:tcPr>
          <w:p w14:paraId="2D241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读者服务台</w:t>
            </w:r>
          </w:p>
        </w:tc>
        <w:tc>
          <w:tcPr>
            <w:tcW w:w="931" w:type="pct"/>
            <w:shd w:val="clear" w:color="auto" w:fill="auto"/>
            <w:noWrap/>
            <w:vAlign w:val="center"/>
          </w:tcPr>
          <w:p w14:paraId="7BF9452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739" w:type="pct"/>
            <w:shd w:val="clear" w:color="auto" w:fill="auto"/>
            <w:noWrap/>
            <w:vAlign w:val="center"/>
          </w:tcPr>
          <w:p w14:paraId="654FA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16" w:type="pct"/>
            <w:shd w:val="clear" w:color="auto" w:fill="auto"/>
            <w:noWrap/>
            <w:vAlign w:val="center"/>
          </w:tcPr>
          <w:p w14:paraId="3187D500">
            <w:pPr>
              <w:rPr>
                <w:rFonts w:hint="eastAsia" w:ascii="宋体" w:hAnsi="宋体" w:eastAsia="宋体" w:cs="宋体"/>
                <w:i w:val="0"/>
                <w:iCs w:val="0"/>
                <w:color w:val="000000"/>
                <w:sz w:val="22"/>
                <w:szCs w:val="22"/>
                <w:u w:val="none"/>
              </w:rPr>
            </w:pPr>
          </w:p>
        </w:tc>
      </w:tr>
      <w:tr w14:paraId="2DEC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005F0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27" w:type="pct"/>
            <w:shd w:val="clear" w:color="auto" w:fill="auto"/>
            <w:vAlign w:val="center"/>
          </w:tcPr>
          <w:p w14:paraId="21E28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智慧图书馆服务平台接口</w:t>
            </w:r>
          </w:p>
        </w:tc>
        <w:tc>
          <w:tcPr>
            <w:tcW w:w="931" w:type="pct"/>
            <w:shd w:val="clear" w:color="auto" w:fill="auto"/>
            <w:noWrap/>
            <w:vAlign w:val="center"/>
          </w:tcPr>
          <w:p w14:paraId="3353FFC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39" w:type="pct"/>
            <w:shd w:val="clear" w:color="auto" w:fill="auto"/>
            <w:noWrap/>
            <w:vAlign w:val="center"/>
          </w:tcPr>
          <w:p w14:paraId="2317A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16" w:type="pct"/>
            <w:shd w:val="clear" w:color="auto" w:fill="auto"/>
            <w:noWrap/>
            <w:vAlign w:val="center"/>
          </w:tcPr>
          <w:p w14:paraId="54013458">
            <w:pPr>
              <w:rPr>
                <w:rFonts w:hint="eastAsia" w:ascii="宋体" w:hAnsi="宋体" w:eastAsia="宋体" w:cs="宋体"/>
                <w:i w:val="0"/>
                <w:iCs w:val="0"/>
                <w:color w:val="000000"/>
                <w:sz w:val="22"/>
                <w:szCs w:val="22"/>
                <w:u w:val="none"/>
              </w:rPr>
            </w:pPr>
          </w:p>
        </w:tc>
      </w:tr>
      <w:tr w14:paraId="3E41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6" w:type="pct"/>
            <w:shd w:val="clear" w:color="auto" w:fill="auto"/>
            <w:noWrap/>
            <w:vAlign w:val="center"/>
          </w:tcPr>
          <w:p w14:paraId="6F72D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27" w:type="pct"/>
            <w:shd w:val="clear" w:color="auto" w:fill="auto"/>
            <w:vAlign w:val="center"/>
          </w:tcPr>
          <w:p w14:paraId="2C800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层架标</w:t>
            </w:r>
          </w:p>
        </w:tc>
        <w:tc>
          <w:tcPr>
            <w:tcW w:w="931" w:type="pct"/>
            <w:shd w:val="clear" w:color="auto" w:fill="auto"/>
            <w:noWrap/>
            <w:vAlign w:val="center"/>
          </w:tcPr>
          <w:p w14:paraId="4DE1360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2722</w:t>
            </w:r>
          </w:p>
        </w:tc>
        <w:tc>
          <w:tcPr>
            <w:tcW w:w="739" w:type="pct"/>
            <w:shd w:val="clear" w:color="auto" w:fill="auto"/>
            <w:vAlign w:val="center"/>
          </w:tcPr>
          <w:p w14:paraId="360F8D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216" w:type="pct"/>
            <w:shd w:val="clear" w:color="auto" w:fill="auto"/>
            <w:noWrap/>
            <w:vAlign w:val="center"/>
          </w:tcPr>
          <w:p w14:paraId="374BF966">
            <w:pPr>
              <w:rPr>
                <w:rFonts w:hint="eastAsia" w:ascii="宋体" w:hAnsi="宋体" w:eastAsia="宋体" w:cs="宋体"/>
                <w:i w:val="0"/>
                <w:iCs w:val="0"/>
                <w:color w:val="000000"/>
                <w:sz w:val="22"/>
                <w:szCs w:val="22"/>
                <w:u w:val="none"/>
              </w:rPr>
            </w:pPr>
          </w:p>
        </w:tc>
      </w:tr>
      <w:tr w14:paraId="1EF1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6" w:type="pct"/>
            <w:shd w:val="clear" w:color="auto" w:fill="auto"/>
            <w:noWrap/>
            <w:vAlign w:val="center"/>
          </w:tcPr>
          <w:p w14:paraId="317CF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27" w:type="pct"/>
            <w:shd w:val="clear" w:color="auto" w:fill="auto"/>
            <w:vAlign w:val="center"/>
          </w:tcPr>
          <w:p w14:paraId="4B43D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层架标加工服务</w:t>
            </w:r>
          </w:p>
        </w:tc>
        <w:tc>
          <w:tcPr>
            <w:tcW w:w="931" w:type="pct"/>
            <w:shd w:val="clear" w:color="auto" w:fill="auto"/>
            <w:noWrap/>
            <w:vAlign w:val="center"/>
          </w:tcPr>
          <w:p w14:paraId="6A1912F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2722</w:t>
            </w:r>
          </w:p>
        </w:tc>
        <w:tc>
          <w:tcPr>
            <w:tcW w:w="739" w:type="pct"/>
            <w:shd w:val="clear" w:color="auto" w:fill="auto"/>
            <w:vAlign w:val="center"/>
          </w:tcPr>
          <w:p w14:paraId="6CE5A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216" w:type="pct"/>
            <w:shd w:val="clear" w:color="auto" w:fill="auto"/>
            <w:noWrap/>
            <w:vAlign w:val="center"/>
          </w:tcPr>
          <w:p w14:paraId="764D7CEF">
            <w:pPr>
              <w:rPr>
                <w:rFonts w:hint="eastAsia" w:ascii="宋体" w:hAnsi="宋体" w:eastAsia="宋体" w:cs="宋体"/>
                <w:i w:val="0"/>
                <w:iCs w:val="0"/>
                <w:color w:val="000000"/>
                <w:sz w:val="22"/>
                <w:szCs w:val="22"/>
                <w:u w:val="none"/>
              </w:rPr>
            </w:pPr>
          </w:p>
        </w:tc>
      </w:tr>
      <w:tr w14:paraId="0CCB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0078A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27" w:type="pct"/>
            <w:shd w:val="clear" w:color="auto" w:fill="auto"/>
            <w:vAlign w:val="center"/>
          </w:tcPr>
          <w:p w14:paraId="6C810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自助办证与自助借还一体机</w:t>
            </w:r>
          </w:p>
        </w:tc>
        <w:tc>
          <w:tcPr>
            <w:tcW w:w="931" w:type="pct"/>
            <w:shd w:val="clear" w:color="auto" w:fill="auto"/>
            <w:noWrap/>
            <w:vAlign w:val="center"/>
          </w:tcPr>
          <w:p w14:paraId="1D261A3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739" w:type="pct"/>
            <w:shd w:val="clear" w:color="auto" w:fill="auto"/>
            <w:noWrap/>
            <w:vAlign w:val="center"/>
          </w:tcPr>
          <w:p w14:paraId="4B37A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16" w:type="pct"/>
            <w:shd w:val="clear" w:color="auto" w:fill="auto"/>
            <w:noWrap/>
            <w:vAlign w:val="center"/>
          </w:tcPr>
          <w:p w14:paraId="66FB4E1D">
            <w:pPr>
              <w:rPr>
                <w:rFonts w:hint="eastAsia" w:ascii="宋体" w:hAnsi="宋体" w:eastAsia="宋体" w:cs="宋体"/>
                <w:i w:val="0"/>
                <w:iCs w:val="0"/>
                <w:color w:val="000000"/>
                <w:sz w:val="22"/>
                <w:szCs w:val="22"/>
                <w:u w:val="none"/>
              </w:rPr>
            </w:pPr>
          </w:p>
        </w:tc>
      </w:tr>
      <w:tr w14:paraId="7BCF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5CFA5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27" w:type="pct"/>
            <w:shd w:val="clear" w:color="auto" w:fill="auto"/>
            <w:vAlign w:val="center"/>
          </w:tcPr>
          <w:p w14:paraId="3F5F04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RFID数据接口</w:t>
            </w:r>
          </w:p>
        </w:tc>
        <w:tc>
          <w:tcPr>
            <w:tcW w:w="931" w:type="pct"/>
            <w:shd w:val="clear" w:color="auto" w:fill="auto"/>
            <w:noWrap/>
            <w:vAlign w:val="center"/>
          </w:tcPr>
          <w:p w14:paraId="7CB6229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39" w:type="pct"/>
            <w:shd w:val="clear" w:color="auto" w:fill="auto"/>
            <w:noWrap/>
            <w:vAlign w:val="center"/>
          </w:tcPr>
          <w:p w14:paraId="18EAAF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16" w:type="pct"/>
            <w:shd w:val="clear" w:color="auto" w:fill="auto"/>
            <w:noWrap/>
            <w:vAlign w:val="center"/>
          </w:tcPr>
          <w:p w14:paraId="0539A34C">
            <w:pPr>
              <w:rPr>
                <w:rFonts w:hint="eastAsia" w:ascii="宋体" w:hAnsi="宋体" w:eastAsia="宋体" w:cs="宋体"/>
                <w:i w:val="0"/>
                <w:iCs w:val="0"/>
                <w:color w:val="000000"/>
                <w:sz w:val="22"/>
                <w:szCs w:val="22"/>
                <w:u w:val="none"/>
              </w:rPr>
            </w:pPr>
          </w:p>
        </w:tc>
      </w:tr>
      <w:tr w14:paraId="04F2E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0149F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27" w:type="pct"/>
            <w:shd w:val="clear" w:color="auto" w:fill="auto"/>
            <w:vAlign w:val="center"/>
          </w:tcPr>
          <w:p w14:paraId="71C0D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还书箱</w:t>
            </w:r>
          </w:p>
        </w:tc>
        <w:tc>
          <w:tcPr>
            <w:tcW w:w="931" w:type="pct"/>
            <w:shd w:val="clear" w:color="auto" w:fill="auto"/>
            <w:noWrap/>
            <w:vAlign w:val="center"/>
          </w:tcPr>
          <w:p w14:paraId="1AF627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739" w:type="pct"/>
            <w:shd w:val="clear" w:color="auto" w:fill="auto"/>
            <w:noWrap/>
            <w:vAlign w:val="center"/>
          </w:tcPr>
          <w:p w14:paraId="2694C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16" w:type="pct"/>
            <w:shd w:val="clear" w:color="auto" w:fill="auto"/>
            <w:noWrap/>
            <w:vAlign w:val="center"/>
          </w:tcPr>
          <w:p w14:paraId="79E55C21">
            <w:pPr>
              <w:rPr>
                <w:rFonts w:hint="eastAsia" w:ascii="宋体" w:hAnsi="宋体" w:eastAsia="宋体" w:cs="宋体"/>
                <w:i w:val="0"/>
                <w:iCs w:val="0"/>
                <w:color w:val="000000"/>
                <w:sz w:val="22"/>
                <w:szCs w:val="22"/>
                <w:u w:val="none"/>
              </w:rPr>
            </w:pPr>
          </w:p>
        </w:tc>
      </w:tr>
      <w:tr w14:paraId="60A2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47AEE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27" w:type="pct"/>
            <w:shd w:val="clear" w:color="auto" w:fill="auto"/>
            <w:vAlign w:val="center"/>
          </w:tcPr>
          <w:p w14:paraId="5EFB7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馆员工作站</w:t>
            </w:r>
          </w:p>
        </w:tc>
        <w:tc>
          <w:tcPr>
            <w:tcW w:w="931" w:type="pct"/>
            <w:shd w:val="clear" w:color="auto" w:fill="auto"/>
            <w:noWrap/>
            <w:vAlign w:val="center"/>
          </w:tcPr>
          <w:p w14:paraId="7FAA0C3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739" w:type="pct"/>
            <w:shd w:val="clear" w:color="auto" w:fill="auto"/>
            <w:noWrap/>
            <w:vAlign w:val="center"/>
          </w:tcPr>
          <w:p w14:paraId="30775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16" w:type="pct"/>
            <w:shd w:val="clear" w:color="auto" w:fill="auto"/>
            <w:noWrap/>
            <w:vAlign w:val="center"/>
          </w:tcPr>
          <w:p w14:paraId="176C5A9F">
            <w:pPr>
              <w:rPr>
                <w:rFonts w:hint="eastAsia" w:ascii="宋体" w:hAnsi="宋体" w:eastAsia="宋体" w:cs="宋体"/>
                <w:i w:val="0"/>
                <w:iCs w:val="0"/>
                <w:color w:val="000000"/>
                <w:sz w:val="22"/>
                <w:szCs w:val="22"/>
                <w:u w:val="none"/>
              </w:rPr>
            </w:pPr>
          </w:p>
        </w:tc>
      </w:tr>
      <w:tr w14:paraId="0C3F4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4E1A6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27" w:type="pct"/>
            <w:shd w:val="clear" w:color="auto" w:fill="auto"/>
            <w:vAlign w:val="center"/>
          </w:tcPr>
          <w:p w14:paraId="28C4E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RFID图书标签</w:t>
            </w:r>
          </w:p>
        </w:tc>
        <w:tc>
          <w:tcPr>
            <w:tcW w:w="931" w:type="pct"/>
            <w:shd w:val="clear" w:color="auto" w:fill="auto"/>
            <w:noWrap/>
            <w:vAlign w:val="center"/>
          </w:tcPr>
          <w:p w14:paraId="731491A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5000</w:t>
            </w:r>
          </w:p>
        </w:tc>
        <w:tc>
          <w:tcPr>
            <w:tcW w:w="739" w:type="pct"/>
            <w:shd w:val="clear" w:color="auto" w:fill="auto"/>
            <w:noWrap/>
            <w:vAlign w:val="center"/>
          </w:tcPr>
          <w:p w14:paraId="2FFD5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16" w:type="pct"/>
            <w:shd w:val="clear" w:color="auto" w:fill="auto"/>
            <w:noWrap/>
            <w:vAlign w:val="center"/>
          </w:tcPr>
          <w:p w14:paraId="0C97019F">
            <w:pPr>
              <w:rPr>
                <w:rFonts w:hint="eastAsia" w:ascii="宋体" w:hAnsi="宋体" w:eastAsia="宋体" w:cs="宋体"/>
                <w:i w:val="0"/>
                <w:iCs w:val="0"/>
                <w:color w:val="000000"/>
                <w:sz w:val="22"/>
                <w:szCs w:val="22"/>
                <w:u w:val="none"/>
              </w:rPr>
            </w:pPr>
          </w:p>
        </w:tc>
      </w:tr>
      <w:tr w14:paraId="7EE9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noWrap/>
            <w:vAlign w:val="center"/>
          </w:tcPr>
          <w:p w14:paraId="1F2A9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27" w:type="pct"/>
            <w:shd w:val="clear" w:color="auto" w:fill="auto"/>
            <w:vAlign w:val="center"/>
          </w:tcPr>
          <w:p w14:paraId="553EF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图书标签加工</w:t>
            </w:r>
          </w:p>
        </w:tc>
        <w:tc>
          <w:tcPr>
            <w:tcW w:w="931" w:type="pct"/>
            <w:shd w:val="clear" w:color="auto" w:fill="auto"/>
            <w:noWrap/>
            <w:vAlign w:val="center"/>
          </w:tcPr>
          <w:p w14:paraId="710586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5000</w:t>
            </w:r>
          </w:p>
        </w:tc>
        <w:tc>
          <w:tcPr>
            <w:tcW w:w="739" w:type="pct"/>
            <w:shd w:val="clear" w:color="auto" w:fill="auto"/>
            <w:noWrap/>
            <w:vAlign w:val="center"/>
          </w:tcPr>
          <w:p w14:paraId="22F58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册</w:t>
            </w:r>
          </w:p>
        </w:tc>
        <w:tc>
          <w:tcPr>
            <w:tcW w:w="1216" w:type="pct"/>
            <w:shd w:val="clear" w:color="auto" w:fill="auto"/>
            <w:noWrap/>
            <w:vAlign w:val="center"/>
          </w:tcPr>
          <w:p w14:paraId="1C0992A4">
            <w:pPr>
              <w:rPr>
                <w:rFonts w:hint="eastAsia" w:ascii="宋体" w:hAnsi="宋体" w:eastAsia="宋体" w:cs="宋体"/>
                <w:i w:val="0"/>
                <w:iCs w:val="0"/>
                <w:color w:val="000000"/>
                <w:sz w:val="22"/>
                <w:szCs w:val="22"/>
                <w:u w:val="none"/>
              </w:rPr>
            </w:pPr>
          </w:p>
        </w:tc>
      </w:tr>
      <w:tr w14:paraId="4E15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6" w:type="pct"/>
            <w:shd w:val="clear" w:color="auto" w:fill="auto"/>
            <w:vAlign w:val="center"/>
          </w:tcPr>
          <w:p w14:paraId="30516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27" w:type="pct"/>
            <w:shd w:val="clear" w:color="auto" w:fill="auto"/>
            <w:vAlign w:val="center"/>
          </w:tcPr>
          <w:p w14:paraId="321F3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RFID图书安全门</w:t>
            </w:r>
          </w:p>
        </w:tc>
        <w:tc>
          <w:tcPr>
            <w:tcW w:w="931" w:type="pct"/>
            <w:shd w:val="clear" w:color="auto" w:fill="auto"/>
            <w:noWrap/>
            <w:vAlign w:val="center"/>
          </w:tcPr>
          <w:p w14:paraId="67BE287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739" w:type="pct"/>
            <w:shd w:val="clear" w:color="auto" w:fill="auto"/>
            <w:noWrap/>
            <w:vAlign w:val="center"/>
          </w:tcPr>
          <w:p w14:paraId="08A42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1216" w:type="pct"/>
            <w:shd w:val="clear" w:color="auto" w:fill="auto"/>
            <w:noWrap/>
            <w:vAlign w:val="center"/>
          </w:tcPr>
          <w:p w14:paraId="3333CC29">
            <w:pPr>
              <w:rPr>
                <w:rFonts w:hint="eastAsia" w:ascii="宋体" w:hAnsi="宋体" w:eastAsia="宋体" w:cs="宋体"/>
                <w:i w:val="0"/>
                <w:iCs w:val="0"/>
                <w:color w:val="000000"/>
                <w:sz w:val="22"/>
                <w:szCs w:val="22"/>
                <w:u w:val="none"/>
              </w:rPr>
            </w:pPr>
          </w:p>
        </w:tc>
      </w:tr>
      <w:tr w14:paraId="4EA3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6" w:type="pct"/>
            <w:shd w:val="clear" w:color="auto" w:fill="auto"/>
            <w:noWrap/>
            <w:vAlign w:val="center"/>
          </w:tcPr>
          <w:p w14:paraId="6BD67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27" w:type="pct"/>
            <w:shd w:val="clear" w:color="auto" w:fill="auto"/>
            <w:vAlign w:val="center"/>
          </w:tcPr>
          <w:p w14:paraId="31170F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无人值守门禁管理系统</w:t>
            </w:r>
          </w:p>
        </w:tc>
        <w:tc>
          <w:tcPr>
            <w:tcW w:w="931" w:type="pct"/>
            <w:shd w:val="clear" w:color="auto" w:fill="auto"/>
            <w:noWrap/>
            <w:vAlign w:val="center"/>
          </w:tcPr>
          <w:p w14:paraId="6B9AB4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39" w:type="pct"/>
            <w:shd w:val="clear" w:color="auto" w:fill="auto"/>
            <w:noWrap/>
            <w:vAlign w:val="center"/>
          </w:tcPr>
          <w:p w14:paraId="0F75C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16" w:type="pct"/>
            <w:shd w:val="clear" w:color="auto" w:fill="auto"/>
            <w:noWrap/>
            <w:vAlign w:val="center"/>
          </w:tcPr>
          <w:p w14:paraId="5BF6E00C">
            <w:pPr>
              <w:rPr>
                <w:rFonts w:hint="eastAsia" w:ascii="宋体" w:hAnsi="宋体" w:eastAsia="宋体" w:cs="宋体"/>
                <w:i w:val="0"/>
                <w:iCs w:val="0"/>
                <w:color w:val="000000"/>
                <w:sz w:val="22"/>
                <w:szCs w:val="22"/>
                <w:u w:val="none"/>
              </w:rPr>
            </w:pPr>
          </w:p>
        </w:tc>
      </w:tr>
      <w:tr w14:paraId="6864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6" w:type="pct"/>
            <w:shd w:val="clear" w:color="auto" w:fill="auto"/>
            <w:noWrap/>
            <w:vAlign w:val="center"/>
          </w:tcPr>
          <w:p w14:paraId="62405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727" w:type="pct"/>
            <w:shd w:val="clear" w:color="auto" w:fill="auto"/>
            <w:vAlign w:val="center"/>
          </w:tcPr>
          <w:p w14:paraId="0D7059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智能门禁展示系统及终端</w:t>
            </w:r>
          </w:p>
        </w:tc>
        <w:tc>
          <w:tcPr>
            <w:tcW w:w="931" w:type="pct"/>
            <w:shd w:val="clear" w:color="auto" w:fill="auto"/>
            <w:noWrap/>
            <w:vAlign w:val="center"/>
          </w:tcPr>
          <w:p w14:paraId="7F3808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739" w:type="pct"/>
            <w:shd w:val="clear" w:color="auto" w:fill="auto"/>
            <w:noWrap/>
            <w:vAlign w:val="center"/>
          </w:tcPr>
          <w:p w14:paraId="62A50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16" w:type="pct"/>
            <w:shd w:val="clear" w:color="auto" w:fill="auto"/>
            <w:noWrap/>
            <w:vAlign w:val="center"/>
          </w:tcPr>
          <w:p w14:paraId="65397522">
            <w:pPr>
              <w:rPr>
                <w:rFonts w:hint="eastAsia" w:ascii="宋体" w:hAnsi="宋体" w:eastAsia="宋体" w:cs="宋体"/>
                <w:i w:val="0"/>
                <w:iCs w:val="0"/>
                <w:color w:val="000000"/>
                <w:sz w:val="22"/>
                <w:szCs w:val="22"/>
                <w:u w:val="none"/>
              </w:rPr>
            </w:pPr>
          </w:p>
        </w:tc>
      </w:tr>
      <w:tr w14:paraId="7BC9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6" w:type="pct"/>
            <w:shd w:val="clear" w:color="auto" w:fill="auto"/>
            <w:vAlign w:val="center"/>
          </w:tcPr>
          <w:p w14:paraId="75A51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727" w:type="pct"/>
            <w:shd w:val="clear" w:color="auto" w:fill="auto"/>
            <w:vAlign w:val="center"/>
          </w:tcPr>
          <w:p w14:paraId="2CDBD9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数字借阅一体机</w:t>
            </w:r>
          </w:p>
        </w:tc>
        <w:tc>
          <w:tcPr>
            <w:tcW w:w="931" w:type="pct"/>
            <w:shd w:val="clear" w:color="auto" w:fill="auto"/>
            <w:noWrap/>
            <w:vAlign w:val="center"/>
          </w:tcPr>
          <w:p w14:paraId="0A800CD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739" w:type="pct"/>
            <w:shd w:val="clear" w:color="auto" w:fill="auto"/>
            <w:noWrap/>
            <w:vAlign w:val="center"/>
          </w:tcPr>
          <w:p w14:paraId="6DC22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16" w:type="pct"/>
            <w:shd w:val="clear" w:color="auto" w:fill="auto"/>
            <w:noWrap/>
            <w:vAlign w:val="center"/>
          </w:tcPr>
          <w:p w14:paraId="00461F4B">
            <w:pPr>
              <w:rPr>
                <w:rFonts w:hint="eastAsia" w:ascii="宋体" w:hAnsi="宋体" w:eastAsia="宋体" w:cs="宋体"/>
                <w:i w:val="0"/>
                <w:iCs w:val="0"/>
                <w:color w:val="000000"/>
                <w:sz w:val="22"/>
                <w:szCs w:val="22"/>
                <w:u w:val="none"/>
              </w:rPr>
            </w:pPr>
          </w:p>
        </w:tc>
      </w:tr>
    </w:tbl>
    <w:p w14:paraId="01BF77FE">
      <w:pPr>
        <w:keepNext w:val="0"/>
        <w:keepLines w:val="0"/>
        <w:pageBreakBefore w:val="0"/>
        <w:widowControl w:val="0"/>
        <w:numPr>
          <w:ilvl w:val="0"/>
          <w:numId w:val="12"/>
        </w:numPr>
        <w:tabs>
          <w:tab w:val="left" w:pos="0"/>
        </w:tabs>
        <w:kinsoku/>
        <w:wordWrap/>
        <w:overflowPunct/>
        <w:topLinePunct w:val="0"/>
        <w:autoSpaceDE/>
        <w:autoSpaceDN/>
        <w:bidi w:val="0"/>
        <w:adjustRightInd/>
        <w:snapToGrid/>
        <w:spacing w:line="600" w:lineRule="exact"/>
        <w:ind w:left="0" w:leftChars="0" w:firstLine="420" w:firstLineChars="200"/>
        <w:jc w:val="left"/>
        <w:textAlignment w:val="auto"/>
        <w:rPr>
          <w:rFonts w:hint="eastAsia" w:ascii="宋体" w:hAnsi="宋体" w:eastAsia="宋体" w:cs="宋体"/>
          <w:i w:val="0"/>
          <w:iCs w:val="0"/>
          <w:kern w:val="2"/>
          <w:sz w:val="21"/>
          <w:szCs w:val="21"/>
          <w:u w:val="none"/>
          <w:lang w:val="en-US" w:eastAsia="zh-CN" w:bidi="ar-SA"/>
        </w:rPr>
      </w:pPr>
      <w:r>
        <w:rPr>
          <w:rFonts w:hint="eastAsia" w:ascii="宋体" w:hAnsi="宋体" w:eastAsia="宋体" w:cs="宋体"/>
          <w:i w:val="0"/>
          <w:iCs w:val="0"/>
          <w:kern w:val="2"/>
          <w:sz w:val="21"/>
          <w:szCs w:val="21"/>
          <w:u w:val="none"/>
          <w:lang w:val="en-US" w:eastAsia="zh-CN" w:bidi="ar-SA"/>
        </w:rPr>
        <w:t>参数及要求</w:t>
      </w:r>
    </w:p>
    <w:tbl>
      <w:tblPr>
        <w:tblStyle w:val="33"/>
        <w:tblW w:w="961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
        <w:gridCol w:w="1204"/>
        <w:gridCol w:w="7828"/>
      </w:tblGrid>
      <w:tr w14:paraId="7CBC9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blHead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700EA">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6D8A">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BF8B">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规格参数</w:t>
            </w:r>
          </w:p>
        </w:tc>
      </w:tr>
      <w:tr w14:paraId="0FD61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96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420B">
            <w:pPr>
              <w:keepLines/>
              <w:pageBreakBefore w:val="0"/>
              <w:kinsoku/>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一、文化展示与标识体系设计及制作</w:t>
            </w:r>
          </w:p>
        </w:tc>
      </w:tr>
      <w:tr w14:paraId="20999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2C44">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F66A">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走廊宣传广告一</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330D">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社科书库外走廊广告设计及制作安装，内容为《中华人民共和国公共文化服务保障法》与张家界市图书馆相关内容的设计与制作，规格6.01*1.6米，材质为1.5厘米厚PVC板+uv打印+晶片制作</w:t>
            </w:r>
          </w:p>
        </w:tc>
      </w:tr>
      <w:tr w14:paraId="7B9C9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B6DDE">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098CD">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走廊宣传广告二</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FF58">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社科书库外走廊广告设计及制作安装，内容为《中华人民共和国公共图书馆法》与张家界市图书馆相关内容的设计与制作，规格5.19*1.51米，材质为1.5厘米厚PVC板+uv打印+晶片制作</w:t>
            </w:r>
          </w:p>
        </w:tc>
      </w:tr>
      <w:tr w14:paraId="7AC32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D3FF">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0837">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社科书库宣传广告</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759F">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社科书库内部墙壁，内容为张家界市图书馆中心馆与总馆情况简介相关内容的设计与制作，规格5.53*1.45米，材质为1.5厘米厚PVC板+uv打印+晶片制作</w:t>
            </w:r>
          </w:p>
        </w:tc>
      </w:tr>
      <w:tr w14:paraId="6CD99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C6E6">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17E8">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市馆主形象展示墙</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6993">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立体字介绍，张家界市馆与张家界学院图书馆内容的设计与制作，规格6.56*1.63米，材质为1.5厘米厚PVC板+uv打印+晶片制作</w:t>
            </w:r>
          </w:p>
        </w:tc>
      </w:tr>
      <w:tr w14:paraId="54C10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B7A9">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60AE4">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定制名人名言展示墙</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91A3">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立体字介绍，名人名言内容的设计与制作，规格5.19*1.06米，材质为1厘米和2厘米厚PVC板+uv打印+晶片制作</w:t>
            </w:r>
          </w:p>
        </w:tc>
      </w:tr>
      <w:tr w14:paraId="3DDA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CDA4">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7EC4">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图书馆管理制度墙</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6103">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立体字介绍，名人名言内容的设计与制作，规格5.96*1.21米，材质为1.5厘米厚PVC板+uv打印+晶片制作</w:t>
            </w:r>
          </w:p>
        </w:tc>
      </w:tr>
      <w:tr w14:paraId="23F3D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7"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73C6">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62CA">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定制广而告之内容</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7564">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广告设计与制作：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1、门禁闸机通道市民指引的设计与制作，规格1：0.2*0.6米，规格2：0.35*0.66米，材质：户外白胶可移车贴；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2、请走市民通道导向牌的设计与制作，规格：0.45*0.7米，材质：5毫米亚克力带背胶；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3、开放时间的设计与制作，规格：0.3*0.3米，材质：5毫米亚克力；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4、电梯宣传栏，文学经典相关内容的设计与制作4个，规格：0.46*0.69米，材质：5毫米亚克力带背胶；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5、读者须知宣传栏4个，规格0.5*0.7米，材质：5mmKT板裱写真含框架；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6、电梯内按钮标识的设计与制作2个，规格：0.065*0.035米，材质：2mm亚克力背胶；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7、由此去导向牌的设计与制作，规格1：1.26*0.6米，材质：5毫米亚克力，规格2：0.49*0.69米，材质：5mmKT板裱写真；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8、四楼电梯口导向牌的设计与制作，规格：0.54*0.2米，材质：5毫米亚克力；</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9、市馆门牌的设计与制作，规格：0.4*0.16米，材质：5毫米亚克力；</w:t>
            </w:r>
          </w:p>
        </w:tc>
      </w:tr>
      <w:tr w14:paraId="636C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0FED0">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CC39">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定制读者手册</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73BA">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定制三折页读者手册，相关内容的的设计与制作，规格28.3cm*20.8cm，材质为200克铜版纸，用于读者宣传活动发放</w:t>
            </w:r>
          </w:p>
        </w:tc>
      </w:tr>
      <w:tr w14:paraId="7849A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83AF">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6AEA">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定制导向牌</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9E1D">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定制市民通道导向标识牌、市民入校停车注意事项指示牌等，相关内容的的设计与制作，规格0.8m*1.8米，含薄款海报架防风立式落地框架、加厚海报架防风立式落地框架，用于读者宣传活动发放</w:t>
            </w:r>
          </w:p>
        </w:tc>
      </w:tr>
      <w:tr w14:paraId="7D7AB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961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D028">
            <w:pPr>
              <w:keepLines/>
              <w:pageBreakBefore w:val="0"/>
              <w:kinsoku/>
              <w:overflowPunct/>
              <w:topLinePunct w:val="0"/>
              <w:autoSpaceDE/>
              <w:autoSpaceDN/>
              <w:bidi w:val="0"/>
              <w:adjustRightInd/>
              <w:snapToGrid/>
              <w:spacing w:line="240" w:lineRule="auto"/>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二、专业设备及基础设施购置</w:t>
            </w:r>
          </w:p>
        </w:tc>
      </w:tr>
      <w:tr w14:paraId="65F1D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9"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00BD">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76E5">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读者服务台</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4DDF">
            <w:pPr>
              <w:keepNext/>
              <w:keepLines/>
              <w:pageBreakBefore w:val="0"/>
              <w:widowControl w:val="0"/>
              <w:suppressLineNumbers w:val="0"/>
              <w:kinsoku/>
              <w:wordWrap w:val="0"/>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定制造型专业读者服务台，用于读者咨询、办证、求助、咨询等一站式服务，优化读者服务体验，提升服务规范性，适配图书馆服务区域布局。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尺寸：长4.2米（宽度、高度根据图书馆实际空间适配，符合人体工学设计）；2、材质：大理石台面，多层板框架制作；3、工艺：人造石台面打磨安装，表面光滑、耐磨、易清洁；4、配套设施：含吧台线路、插座及所需强弱电路改造，满足办公设备、充电等需求；5、外观：造型定制，与图书馆整体环境协调统一，简洁大方、美观实用；</w:t>
            </w:r>
          </w:p>
        </w:tc>
      </w:tr>
      <w:tr w14:paraId="1037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A3D2">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1491">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智慧图书馆服务平台接口</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060E">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根据图书馆业务需求定制开发数据接口，无缝对接张家界市图书馆智慧图书馆服务平台，要</w:t>
            </w:r>
            <w:r>
              <w:rPr>
                <w:rFonts w:hint="eastAsia" w:ascii="宋体" w:hAnsi="宋体" w:eastAsia="宋体" w:cs="宋体"/>
                <w:color w:val="auto"/>
                <w:sz w:val="21"/>
                <w:szCs w:val="21"/>
                <w:u w:val="none"/>
                <w:lang w:val="en-US" w:eastAsia="zh-CN" w:bidi="ar"/>
              </w:rPr>
              <w:t>求在服务器不停机、服务不中断的情况下实现，提供承诺函。</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支持多种方式的订购：列表类似EXCEL表格方式的快速浏览直接输入订购数订购直接回车订购、单本查重订购、多本、整批订购，支持显示征订书目的订购情况，显示订、验、藏、重4种状态，明确表示图书查重情况，列表可以显示本馆订购，本馆馆藏，所有馆藏、所有订购情况，并支持按列表字段点击切换升序和降序排列。系统支持多条件（ISBN、题名、著者、分类号、主题词等）组合检索、以及检索条件保存操作，方便对征订目录数据筛选限定。同界面支持采购参考其他馆订购情况。</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2.具备采编日志统计功能。</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4.支持按复本数和按分类号设置默认分配，设置好后，录入馆藏的时候，会自动按分类号、设置地址和数量进行分配。</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5.具备读者荐购分类统计与荐购评估统计功能。图书直接预订支持选择批预订。</w:t>
            </w:r>
            <w:r>
              <w:rPr>
                <w:rFonts w:hint="eastAsia" w:ascii="宋体" w:hAnsi="宋体" w:eastAsia="宋体" w:cs="宋体"/>
                <w:color w:val="FF0000"/>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6.支持对图书做审校，并可以根据是否审校条件检索图书。</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7.支持对预选书订单进行转换订单，并可对预选书的订单时间改为当前订购时间。</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8.索书号可支持多种生成方式，包括种次号、著者号两种生成方式，系统检测到索书号有缺号，可提示是否替换，并用缺号替换新分配索书号,直接验收和书目管理中可进行索书号补缺，索书号可按年份、分类号、种次号的方式生成，可在种次号重建中添加年份格式。要求在中标后签订合同前提供具备CMA或CNAS认证资质的检测机构出具的功能测试报告复印件（报告需明确响应此项功能指标）。</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9.系统支持多条件组合检索、检索条件保存操作，方便对征订目录数据筛选限定。</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10.支持快速验收，图书到馆可马上快速扫描验收。</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11.B/S网页版编目功能支持双屏显示，可对比编目数据快速编目。</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12.支持书目维护中标识当前分馆有预定或馆藏的书目，支持按条件筛选出不完整MARC数据进行维护，新增书目查询、维护。</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13.支持图书附件的编目、外借。</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14.Unicode小语种图书、期刊编目。</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15.书目管理支持多条件组合筛选功能，支持模糊、精确检索的功能，支持根据文献类型、验收单、控制号段、条码号段、操作员、创建日期等条件自由组合检索。</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16.支持多种文献类型选择全库检索。</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17.支持书目黑名单管理：包括权限设置、黑名单书目添加与原因记录、查询管理、以及在编目、典藏、流通等环节的自动提示和处理限制。</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18.支持如OCLC等收费Z39.50地址特别设置，可以提示其中有收费地址，让操作员优先检索其他免费地址，免费检索不到，再检索该收费地址。另外下载收费的地址，点击下载会提示需要收取费用。要求在中标后签订合同前提供完整功能截图证明。</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19.书标打印：可进行书标打印，可批量提取书标、补打书标、按条码打印，操作员账号可保留多种书标格式，可进行书标文字替换，可进行上划线操作。要求在中标后签订合同前提供具备CMA或CNAS认证资质的检测机构出具的功能测试报告复印件（报告需明确响应此项功能指标）。</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20.准确定位文献的典藏位置，进行馆藏的登记、变更、剔除、调拨、清点、状态修改等工作，可自定义选择字段输出报表。</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21.具有批量调拨、清点、入藏登记功能；支持馆际间图书调拨与批量调拨，可根据实际情况选择是否改变资产所属馆。</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22.提供对馆际间图书调拨的历史查询统计。</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23.馆藏清单支持MARC类型统计条件，可与文献类型、流通类型组合统计。</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24.馆藏维护功能支持日志记录。</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25.图书上架流水号管理：可对馆藏按顺序分配流水号，并将流水号信息打印到书标中进行查询。要求在中标后签订合同前提供具备CMA或CNAS认证资质的检测机构出具的功能测试报告复印件（报告需明确响应此项功能指标）。</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26.支持期刊预订、外借、续订、催缺、统计、装订功能。</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27.期刊征订目录预订功能中支持查看当前预算代码、资金总数、已用资金和剩余资金信息；勾选ISBN预订选中的期刊或预订所有期刊，选中预定期刊后可设置订购年份、货币类型、书商代码、介质类型、资金预算、订购来源、期刊类别、装帧类型、出版周期、册数、记到地点、分配地点等信息，完成批预定信息的录入，完成预定后对已预定的期刊可显示预订标识。</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28.支持期刊续订功能，实现单选续订、多选批续订和往年批量续订全部期刊续订等操作。</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29.支持期刊催缺、统计、自动装订、书签打印功能。</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30.支持期刊预订数据批更新。</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31.支持文献批借出、批还回功能。</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32.可进行预约评估，包括预约满足率、预约放弃率、预约超期未取书率数据评估。要求在中标后签订合同前提供具备CMA或CNAS认证资质的检测机构出具的功能测试报告复印件（报告需明确响应此项功能指标）。</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33.可进行读者信息的管理和外借统计（分别以读者和藏书为对象）以及当前外借记录、处罚历史记录、动态获取读者照片等操作。</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34.能够对过期、丢失、污损等事务进行财经处理。</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35.支持读者扫描支付宝或微信二维码交纳滞纳金。</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36.支持声明归还功能，灵活处理当前借阅的争议事件，声明归还不占用借阅数量。要求提供完整功能截图郑证明；</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37.在借图书丢失可直接办理丢书赔偿，也可申请丢书挂失。挂失期时长可设置，期间找回图书可解除挂失并还书，也可办理丢书赔偿。要求提供完整功能截图证明；</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38.支持查询借书失败的日志。支持在日志查询中读者证号和姓名脱敏处理。</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39.支持对系统操作员的管理，操作员可对个人模板做新增，编辑，删除等操作。</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40.支持读者流通类型管理，文献流通类型管理，借阅规则管理，流通规则管理，流通延期设置，条码结构参数管理等功能。</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41.实现系统日志的查询和统计，菜单访问查询等功能。</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42.支持对读者姓名、身份证号码、手机号码相关敏感数据进行加密和脱敏展示。</w:t>
            </w:r>
          </w:p>
        </w:tc>
      </w:tr>
      <w:tr w14:paraId="6AF6C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4F71">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C4A3">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层架标</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4600">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1、工作频率：920~925MHz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2、工作模式：可读写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3、存储容量：TID≥96bits、EPC≥96bits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4、防冲突性：能保证工作区间内多个标签的同时可靠识读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5、安装到金属层架板后，读取距离≥10cm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6、材质：滴胶、强力背胶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7、可定制打印层架信息、馆徽标等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8、环境温度：-20℃～50℃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9、使用寿命：&gt;10年、10万次读写</w:t>
            </w:r>
          </w:p>
        </w:tc>
      </w:tr>
      <w:tr w14:paraId="42DE9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E3C2">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E92D">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层架标加工服务</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B042">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印刷架位信息，含印刷、信息采集与加工费</w:t>
            </w:r>
          </w:p>
        </w:tc>
      </w:tr>
      <w:tr w14:paraId="07899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9"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9EB0">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459C">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自助办证与自助借还一体机</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20C9">
            <w:pPr>
              <w:keepNext w:val="0"/>
              <w:keepLines/>
              <w:pageBreakBefore w:val="0"/>
              <w:widowControl/>
              <w:suppressLineNumbers w:val="0"/>
              <w:kinsoku/>
              <w:wordWrap w:val="0"/>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功能要求：</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1、系统支持办证、借书、还书、续借、查询等功能。</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2、系统提供触摸屏的人机交流界面，支持简体中文、英语两种语言的视觉交互提示功能。</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3、支持刷身份证、RFID读者证、输入帐号密码登录、微信扫码登录等。</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4、要求无缝识别馆内注册读者进行借，还书。并在对接后能处理张家界市图书馆管理平台内所有分馆的通借通还图书，能够区分图书资产归属。</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5、图书借阅完成后，可通过图书馆微信号实时推送借阅清单，不需要打印纸条。</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6、支持对用户信息脱敏显示；借书完</w:t>
            </w:r>
            <w:r>
              <w:rPr>
                <w:rFonts w:hint="eastAsia" w:ascii="宋体" w:hAnsi="宋体" w:eastAsia="宋体" w:cs="宋体"/>
                <w:color w:val="auto"/>
                <w:sz w:val="21"/>
                <w:szCs w:val="21"/>
                <w:u w:val="none"/>
                <w:lang w:val="en-US" w:eastAsia="zh-CN" w:bidi="ar"/>
              </w:rPr>
              <w:t>成可显示当前用户借阅清单，包括图书条码、图书名、应还日期和操作提示，可显示用户还可借阅数与总共可借阅数，要求在中标后签订合同前提供相关证明资料。</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7、当打印机收据纸不足或者缺纸时，无需工作人员人工检测，系统自动报警提示，界面上显示缺纸信息。</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8、系统具备安全设计和借书自动退出机制，读者借书完成后，可根据后台设置的规定时间内退出，避免借还过程中出现漏读、误读现象，以防交叉错借书籍。</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9、系统支持首页播放宣传馆内宣传视频或者公告活动功能。</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技术要求：</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1、工作频率：860～960MHz。</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2、屏幕尺寸：不低于21.5英寸、触控操作、分辨率：不低于1920*1080 。</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3、配置：双核四线程处理器；内存：≥4G ；磁盘存储：≥128G。</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4、操作系统：Windows。</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5、扫码器：支持一维码、二维码。</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6、通信方式 ：WiFi模块、RJ45接口、USB。</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7、摄像头：不低于200 万像素。</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8、设备具有多模块提示灯功能。</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9、要求借还机通过了《设备可靠性试验 平均无故障时间的验证试验》，平均无故障连续运行时间不低于10000小时，</w:t>
            </w:r>
            <w:r>
              <w:rPr>
                <w:rFonts w:hint="eastAsia" w:ascii="宋体" w:hAnsi="宋体" w:eastAsia="宋体" w:cs="宋体"/>
                <w:color w:val="auto"/>
                <w:sz w:val="21"/>
                <w:szCs w:val="21"/>
                <w:u w:val="none"/>
                <w:lang w:val="en-US" w:eastAsia="zh-CN" w:bidi="ar"/>
              </w:rPr>
              <w:t>要求在中标后签订合同前提供相关证明资料。</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10、要求借还机通过了静电放电抗扰度试验和浪涌（冲击）抗扰度试验，要求在中标后签订合同前提供相关证明资料。</w:t>
            </w:r>
          </w:p>
        </w:tc>
      </w:tr>
      <w:tr w14:paraId="714A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9"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D1EA">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FB97">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RFID数据接口</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743C">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自助办证与自助借还一体机、馆员工作站所需RFID数据接口，对接市图书馆智慧图书馆管理平台。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制开发，要求与采购人现有信息化管理系统无缝对接，提供所投“自助办证与自助借还一体机”使用必须的信息化管理系统读者数据、书目数据、财经数据的实时无缝对接，包含业务功能清单、数据类型、数据格式与数据库表结构、服务器部署等相关内容。包括但不限于借、还书；读者证录入(办证)；读者信息查询；办证押金(包括所有办证费用)的缴费；读者证验证操作；读者基本信息修改等功能的实现。要求在服务器不停机、服务不中断的情况下实现。</w:t>
            </w:r>
          </w:p>
        </w:tc>
      </w:tr>
      <w:tr w14:paraId="772A9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9"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63937">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619E">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还书箱</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C930">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与自助借还机搭配使用，用于读者放置归还图书后，存放图书：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1、复合箱体：采用木板层、钢板层、绒毯层、铝合金包围而成的复合式箱体，质量轻，美观坚固耐用。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2、静音滑轮：万向静音刹车滑轮，质量轻耐磨性能好，静音环保。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3、大容量。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4、升降式移动还书车，负载自动升降机构，安全运行稳定可靠。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5、印刷学校名称、图书馆名称、LOGO等指定信息。</w:t>
            </w:r>
          </w:p>
        </w:tc>
      </w:tr>
      <w:tr w14:paraId="669C5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97EF">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B0D0">
            <w:pPr>
              <w:keepNext w:val="0"/>
              <w:keepLines/>
              <w:pageBreakBefore w:val="0"/>
              <w:widowControl/>
              <w:suppressLineNumbers w:val="0"/>
              <w:kinsoku/>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馆员工作站</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0EBE">
            <w:pPr>
              <w:keepNext w:val="0"/>
              <w:keepLines/>
              <w:pageBreakBefore w:val="0"/>
              <w:widowControl/>
              <w:suppressLineNumbers w:val="0"/>
              <w:kinsoku/>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功能要求：</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1、支持进行防盗位开启或关闭，支持 RFID标签信息读取、写入、防盗位改写，并可对条形码进行识别转换后将条码号写入 RFID标签中。支持一次识读10册贴有 RFID标签的图书信息。</w:t>
            </w:r>
            <w:r>
              <w:rPr>
                <w:rFonts w:hint="eastAsia" w:ascii="宋体" w:hAnsi="宋体" w:eastAsia="宋体" w:cs="宋体"/>
                <w:color w:val="auto"/>
                <w:sz w:val="21"/>
                <w:szCs w:val="21"/>
                <w:u w:val="none"/>
                <w:lang w:val="en-US" w:eastAsia="zh-CN" w:bidi="ar"/>
              </w:rPr>
              <w:t>要求在中标后签订合同前提供相关证明资料。</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2、支持图形画界面设置，操作人员输入账号/密码(可配置)配合图书管理系统应用，实现人工服务完成办理读者证，借书，还书，查询等操作。</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3、可手动输入层架标号，层架标放置感应区，将层架标号写入芯片进行层架标加工。</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4、支持手动输入架位号或通过条码枪扫描的方式进行层架导入，并将图书放置感应区，进行图书上架操作，可显示图书名称、条码号、索书号、层架号、馆藏信息、图书状态、上架操作提示，要求在中标后签订合同前提供相关证明资料。</w:t>
            </w:r>
            <w:r>
              <w:rPr>
                <w:rFonts w:hint="eastAsia" w:ascii="宋体" w:hAnsi="宋体" w:eastAsia="宋体" w:cs="宋体"/>
                <w:color w:val="auto"/>
                <w:sz w:val="21"/>
                <w:szCs w:val="21"/>
                <w:u w:val="none"/>
                <w:lang w:val="en-US" w:eastAsia="zh-CN" w:bidi="ar"/>
              </w:rPr>
              <w:br w:type="textWrapping"/>
            </w:r>
            <w:r>
              <w:rPr>
                <w:rFonts w:hint="eastAsia" w:ascii="宋体" w:hAnsi="宋体" w:eastAsia="宋体" w:cs="宋体"/>
                <w:color w:val="auto"/>
                <w:sz w:val="21"/>
                <w:szCs w:val="21"/>
                <w:u w:val="none"/>
                <w:lang w:val="en-US" w:eastAsia="zh-CN" w:bidi="ar"/>
              </w:rPr>
              <w:t>5、可根据类型筛选显示图书加工统计或读者卡加工统计，并可导出统计信息，要求在中标后签订合同前提供相关证明资料。</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6、系统支持在设备指示区域范围内的图书能够识别，超过范围内的图书不会被识别到，确保读者在操作时不会出错。</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7、要求支持闲时自动关闭射频。能检测到环境是否有噪声干扰。</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技术要求：</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1、工作频率：860～960MHz。</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2、机体材质：亚克力和铝合金。</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3、射频功率：1~32 dBm（可配置）。</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4、通信接口：USB（支持HID）。</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5、读写性能：读写距离可达20 cm以上（本特性与芯片有关）。</w:t>
            </w:r>
            <w:r>
              <w:rPr>
                <w:rFonts w:hint="eastAsia" w:ascii="宋体" w:hAnsi="宋体" w:eastAsia="宋体" w:cs="宋体"/>
                <w:color w:val="000000"/>
                <w:sz w:val="21"/>
                <w:szCs w:val="21"/>
                <w:u w:val="none"/>
                <w:lang w:val="en-US" w:eastAsia="zh-CN" w:bidi="ar"/>
              </w:rPr>
              <w:br w:type="textWrapping"/>
            </w:r>
            <w:r>
              <w:rPr>
                <w:rFonts w:hint="eastAsia" w:ascii="宋体" w:hAnsi="宋体" w:eastAsia="宋体" w:cs="宋体"/>
                <w:color w:val="000000"/>
                <w:sz w:val="21"/>
                <w:szCs w:val="21"/>
                <w:u w:val="none"/>
                <w:lang w:val="en-US" w:eastAsia="zh-CN" w:bidi="ar"/>
              </w:rPr>
              <w:t>6、响应速度：≥10个标签/秒（书本厚度20mm）。</w:t>
            </w:r>
          </w:p>
        </w:tc>
      </w:tr>
      <w:tr w14:paraId="6A997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5"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38FE">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E043">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RFID图书标签</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4B10">
            <w:pPr>
              <w:keepNext w:val="0"/>
              <w:keepLines/>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1、有一定的抗冲突性，具有较高的安全性，防止存储在其中的信息资料被非法读写；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2、具有不可改写的唯一序列号（TID）；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3、标签采用AFI位或EAS作为防盗的安全标志方法,标志位可由用户自由修改；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4、标签自带双面粘性，粘贴于书缝之间，不易撕毁脱落，且隐蔽性好；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5、标签可以非接触式的读取和写入。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6、标签具有较高的安全性，非专用设备无法读取标签存储信息，防止存储在其中的信息资料被泄露。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7、用户可自定义数据格式和内容，具有良好的数据扩展性。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1、工作频率：920～925MHz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2、标签尺寸：不小于100×5×0.2mm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3、工作模式：可读写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4、存储容量：标签内用户数据区容量应不小于512位(bits)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5、双面不干胶，不易撕损、脱落，隐蔽性好。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6、防盗标识：采用AFI作为防盗的安全标志方法，且AFI标志位用户可以自由修改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7、防冲突性：能保证工作区间内多个标签同时可靠识读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8、读取距离：读取距离≥120cm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9、环境温度：-20℃～50℃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10、使用寿命：&gt;10年、10万次读写</w:t>
            </w:r>
          </w:p>
        </w:tc>
      </w:tr>
      <w:tr w14:paraId="12419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1875">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A04B">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图书标签加工</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07B7">
            <w:pPr>
              <w:keepNext w:val="0"/>
              <w:keepLines/>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图书资源加工服务，包括书目数据加工导入智慧图书馆管理软件、书目数据写入RFID图书标签、标签张贴等内容</w:t>
            </w:r>
          </w:p>
        </w:tc>
      </w:tr>
      <w:tr w14:paraId="29930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26A9">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C25F">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RFID图书安全门</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28CF">
            <w:pPr>
              <w:keepNext w:val="0"/>
              <w:keepLines/>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1、非接触式的快速识别粘贴在流通资料上的RFID标签。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2、要求对图书馆内的印刷品、视听出版物、CD及DVD等流通资料进行安全扫描操作，不损坏粘贴在流通资料中的磁性介质的资料。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3、支持防盗模式，无缝对接业务系统的借还数据，实时检测图书是否非法通过，若检测该图书无办理借书操作通过安全门即进行声音报警提示。无误报、无漏报。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4、具备人员流量计数功能，数据可重置。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5、支持单通道独立工作和多通道并列工作。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6、要求具备LED故障指示灯功能。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技术要求：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1、工作频率：860～960 MHz。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2、通道宽度为90-120CM。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3、支持标签USER码位检测、标签EAS码位检测。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4、报警记录存储要求不低于100000条；人流量记录存储要求不低于3500条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5、支持主动通知和组播模式。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6、支持任意EPC位号防盗检测模式。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7、集成三维全向感应技术，具有高侦测性能。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8、支持射频功率可调：1-30DBM可调。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9、内置声光报警提示功能，音量可调节，可通过摇控器操作。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10、外观尺寸参考：1510mm *469mm *46mm（允许偏差）。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11、支持标签三段EPC 码位匹配进行非法标签识别报警，支持在线和离线报警。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12、支持多方式接入：USB、串口、以太网、wifi。</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13、带不低于10英寸显示屏。</w:t>
            </w:r>
          </w:p>
        </w:tc>
      </w:tr>
      <w:tr w14:paraId="7C35F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8697F">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E6D2">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无人值守门禁管理系统</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D7618">
            <w:pPr>
              <w:keepNext w:val="0"/>
              <w:keepLines/>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智慧图书馆核心服务之一，与RFID图书安全门无缝兼容，实现门禁的无人值守管理</w:t>
            </w:r>
          </w:p>
        </w:tc>
      </w:tr>
      <w:tr w14:paraId="2754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6"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26D3C">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49A3">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智能门禁展示系统及终端</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7431">
            <w:pPr>
              <w:keepNext w:val="0"/>
              <w:keepLines/>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慧图书馆核心服务之一，与RFID图书安全门无缝兼容，实现合法与非法借阅图书提示。含智能门禁管理平台及信息展示屏硬件，可自动统计出入馆人数并自动推送至信息展示屏，可根据管内需求展示当天或累计进出馆人次，若读者携带未办证书籍，系统自动采用声音报警功能并将书目信息显示在信息展示屏上。配套显示屏≥23.8英寸；内存≥8G；通信接口：USB。</w:t>
            </w:r>
          </w:p>
        </w:tc>
      </w:tr>
      <w:tr w14:paraId="50C50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6"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DE80">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F63E">
            <w:pPr>
              <w:keepNext w:val="0"/>
              <w:keepLines/>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数字借阅一体机</w:t>
            </w:r>
          </w:p>
        </w:tc>
        <w:tc>
          <w:tcPr>
            <w:tcW w:w="7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A53A">
            <w:pPr>
              <w:keepNext w:val="0"/>
              <w:keepLines/>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1、硬件参数：安卓，尺寸32英寸。电容触摸屏控制系统，抗灰尘、抗划、耐油污。敲击寿命：使用寿命长，不怕刮伤，透光率98％，静电保护符合EN6100标准。显示器：LED液晶显示设备，高清高亮，分辨率1920*1080；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2、机柜：全钢2mm模具制造、表面汽车金属烤漆、独立电源管理、多媒体音响控制系统、内部构件全部电镀、彻底防锈、防磁、防静电；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提供艺术家系列、乐器系列、少数民族系列三种类型供选择。其中艺术家系列提供艺术家高清画像（25副）内容自动播放，画面以6秒/幅的速度自动进行轮播，点击屏幕画面时，画面将自动加载出当前画面对应的介绍页，包含艺术家的生平、名言、代表作品及曲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4、乐器系列提供乐器高清图像（中国乐器8副，西洋乐器12副）内容自动播放，方式同上；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5、少数民族系列提供少数民族音乐高清图像（15副）内容自动播放，方式同上。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6、为保证提供的音乐具备正式版权，要求在中标后签订合同前提供《信息网络传播视听节目许可证》、《网络文化经营许可证》、《信息系统安全保护等级备案证明》证书原件备查。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7、云端提供中世纪时期到近现代的正版音乐曲目数量不少于100万首，音乐类型为古典音乐和民族音乐（非流行歌曲），提供截图证明；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8、云端包含不少于20种专业乐器音乐作品供选择使用，提供截图证明。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9、云端包含苗族、侗族、布依族的原生态民歌精选专辑供选择使用，提供截图证明。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10、云端包含回族、壮族、维吾尔族的原生态民歌精选专辑供选择使用，提供截图证明。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11、云端包含土家族、瑶族、白族的原生态民歌精选专辑供选择使用，提供截图证明。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12、云端包含彝族、黎族、哈尼族、藏族的原生态民歌精选专辑供选择使用，提供截图证明。</w:t>
            </w:r>
          </w:p>
        </w:tc>
      </w:tr>
    </w:tbl>
    <w:p w14:paraId="27CAEA54">
      <w:pPr>
        <w:keepNext w:val="0"/>
        <w:keepLines w:val="0"/>
        <w:pageBreakBefore w:val="0"/>
        <w:widowControl w:val="0"/>
        <w:tabs>
          <w:tab w:val="left" w:pos="0"/>
        </w:tabs>
        <w:kinsoku/>
        <w:wordWrap/>
        <w:overflowPunct/>
        <w:topLinePunct w:val="0"/>
        <w:autoSpaceDE/>
        <w:autoSpaceDN/>
        <w:bidi w:val="0"/>
        <w:adjustRightInd/>
        <w:snapToGrid/>
        <w:spacing w:line="600" w:lineRule="exact"/>
        <w:ind w:left="0" w:leftChars="0" w:firstLine="422" w:firstLineChars="200"/>
        <w:jc w:val="left"/>
        <w:textAlignment w:val="auto"/>
        <w:outlineLvl w:val="2"/>
        <w:rPr>
          <w:rFonts w:hint="default" w:ascii="Times New Roman" w:hAnsi="Times New Roman" w:eastAsia="宋体" w:cs="Times New Roman"/>
          <w:b/>
          <w:bCs/>
          <w:i w:val="0"/>
          <w:iCs w:val="0"/>
          <w:kern w:val="2"/>
          <w:sz w:val="24"/>
          <w:szCs w:val="24"/>
          <w:u w:val="none"/>
          <w:lang w:val="en-US" w:eastAsia="zh-CN" w:bidi="ar-SA"/>
        </w:rPr>
      </w:pPr>
      <w:r>
        <w:rPr>
          <w:rFonts w:hint="default" w:ascii="宋体" w:hAnsi="宋体" w:eastAsia="宋体" w:cs="宋体"/>
          <w:b/>
          <w:bCs/>
          <w:i w:val="0"/>
          <w:iCs w:val="0"/>
          <w:kern w:val="2"/>
          <w:sz w:val="21"/>
          <w:szCs w:val="21"/>
          <w:u w:val="none"/>
          <w:lang w:val="en-US" w:eastAsia="zh-CN" w:bidi="ar-SA"/>
        </w:rPr>
        <w:t>（2）商务要求</w:t>
      </w:r>
    </w:p>
    <w:tbl>
      <w:tblPr>
        <w:tblStyle w:val="33"/>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996"/>
        <w:gridCol w:w="7044"/>
      </w:tblGrid>
      <w:tr w14:paraId="5203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blHeader/>
          <w:jc w:val="center"/>
        </w:trPr>
        <w:tc>
          <w:tcPr>
            <w:tcW w:w="438" w:type="dxa"/>
            <w:tcBorders>
              <w:tl2br w:val="nil"/>
              <w:tr2bl w:val="nil"/>
            </w:tcBorders>
            <w:shd w:val="pct10" w:color="ADB9CA" w:fill="D6DCE5"/>
            <w:vAlign w:val="center"/>
          </w:tcPr>
          <w:p w14:paraId="2224B183">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序号</w:t>
            </w:r>
          </w:p>
        </w:tc>
        <w:tc>
          <w:tcPr>
            <w:tcW w:w="996" w:type="dxa"/>
            <w:tcBorders>
              <w:tl2br w:val="nil"/>
              <w:tr2bl w:val="nil"/>
            </w:tcBorders>
            <w:shd w:val="pct10" w:color="ADB9CA" w:fill="D6DCE5"/>
            <w:vAlign w:val="center"/>
          </w:tcPr>
          <w:p w14:paraId="55E741FF">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eastAsia" w:ascii="黑体" w:hAnsi="黑体" w:eastAsia="黑体" w:cs="黑体"/>
                <w:b w:val="0"/>
                <w:bCs/>
                <w:color w:val="auto"/>
                <w:kern w:val="0"/>
                <w:sz w:val="24"/>
                <w:szCs w:val="24"/>
              </w:rPr>
            </w:pPr>
            <w:r>
              <w:rPr>
                <w:rFonts w:hint="eastAsia" w:ascii="黑体" w:hAnsi="黑体" w:eastAsia="黑体" w:cs="黑体"/>
                <w:b w:val="0"/>
                <w:bCs/>
                <w:color w:val="auto"/>
                <w:kern w:val="0"/>
                <w:sz w:val="24"/>
                <w:szCs w:val="24"/>
              </w:rPr>
              <w:t>商务条款</w:t>
            </w:r>
          </w:p>
        </w:tc>
        <w:tc>
          <w:tcPr>
            <w:tcW w:w="7044" w:type="dxa"/>
            <w:tcBorders>
              <w:tl2br w:val="nil"/>
              <w:tr2bl w:val="nil"/>
            </w:tcBorders>
            <w:shd w:val="pct10" w:color="ADB9CA" w:fill="D6DCE5"/>
            <w:vAlign w:val="center"/>
          </w:tcPr>
          <w:p w14:paraId="513FE891">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内    容</w:t>
            </w:r>
          </w:p>
        </w:tc>
      </w:tr>
      <w:tr w14:paraId="35E0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438" w:type="dxa"/>
            <w:tcBorders>
              <w:tl2br w:val="nil"/>
              <w:tr2bl w:val="nil"/>
            </w:tcBorders>
            <w:shd w:val="clear" w:color="C4BC96" w:fill="auto"/>
            <w:vAlign w:val="center"/>
          </w:tcPr>
          <w:p w14:paraId="6EBB7FE8">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1</w:t>
            </w:r>
          </w:p>
        </w:tc>
        <w:tc>
          <w:tcPr>
            <w:tcW w:w="996" w:type="dxa"/>
            <w:tcBorders>
              <w:tl2br w:val="nil"/>
              <w:tr2bl w:val="nil"/>
            </w:tcBorders>
            <w:shd w:val="clear" w:color="C4BC96" w:fill="auto"/>
            <w:vAlign w:val="center"/>
          </w:tcPr>
          <w:p w14:paraId="2C7837D6">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center"/>
              <w:textAlignment w:val="center"/>
              <w:rPr>
                <w:rFonts w:hint="default" w:ascii="Times New Roman" w:hAnsi="Times New Roman" w:eastAsia="宋体" w:cs="Times New Roman"/>
                <w:i w:val="0"/>
                <w:iCs w:val="0"/>
                <w:snapToGrid w:val="0"/>
                <w:color w:val="000000"/>
                <w:kern w:val="0"/>
                <w:sz w:val="22"/>
                <w:szCs w:val="22"/>
                <w:u w:val="none"/>
                <w:lang w:val="en-US" w:eastAsia="zh-CN" w:bidi="ar"/>
              </w:rPr>
            </w:pPr>
            <w:r>
              <w:rPr>
                <w:rFonts w:hint="default" w:ascii="Times New Roman" w:hAnsi="Times New Roman" w:eastAsia="宋体" w:cs="Times New Roman"/>
                <w:i w:val="0"/>
                <w:iCs w:val="0"/>
                <w:snapToGrid w:val="0"/>
                <w:color w:val="000000"/>
                <w:kern w:val="0"/>
                <w:sz w:val="22"/>
                <w:szCs w:val="22"/>
                <w:u w:val="none"/>
                <w:lang w:val="en-US" w:eastAsia="zh-CN" w:bidi="ar"/>
              </w:rPr>
              <w:t>项目工期/服务期</w:t>
            </w:r>
          </w:p>
        </w:tc>
        <w:tc>
          <w:tcPr>
            <w:tcW w:w="7044" w:type="dxa"/>
            <w:tcBorders>
              <w:tl2br w:val="nil"/>
              <w:tr2bl w:val="nil"/>
            </w:tcBorders>
            <w:shd w:val="clear" w:color="C4BC96" w:fill="auto"/>
            <w:vAlign w:val="center"/>
          </w:tcPr>
          <w:p w14:paraId="584D0D0F">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000000"/>
                <w:kern w:val="0"/>
                <w:sz w:val="22"/>
                <w:szCs w:val="22"/>
                <w:u w:val="none"/>
                <w:lang w:val="en-US" w:eastAsia="zh-CN" w:bidi="ar"/>
              </w:rPr>
            </w:pPr>
            <w:r>
              <w:rPr>
                <w:rFonts w:hint="default" w:ascii="Times New Roman" w:hAnsi="Times New Roman" w:eastAsia="宋体" w:cs="Times New Roman"/>
                <w:i w:val="0"/>
                <w:iCs w:val="0"/>
                <w:snapToGrid w:val="0"/>
                <w:color w:val="000000"/>
                <w:kern w:val="0"/>
                <w:sz w:val="22"/>
                <w:szCs w:val="22"/>
                <w:u w:val="none"/>
                <w:lang w:val="en-US" w:eastAsia="zh-CN" w:bidi="ar"/>
              </w:rPr>
              <w:t>整个项目分为建设期和服务期。</w:t>
            </w:r>
          </w:p>
          <w:p w14:paraId="402086C9">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000000"/>
                <w:kern w:val="0"/>
                <w:sz w:val="22"/>
                <w:szCs w:val="22"/>
                <w:u w:val="none"/>
                <w:lang w:val="en-US" w:eastAsia="zh-CN" w:bidi="ar"/>
              </w:rPr>
            </w:pPr>
            <w:r>
              <w:rPr>
                <w:rFonts w:hint="default" w:ascii="Times New Roman" w:hAnsi="Times New Roman" w:eastAsia="宋体" w:cs="Times New Roman"/>
                <w:i w:val="0"/>
                <w:iCs w:val="0"/>
                <w:snapToGrid w:val="0"/>
                <w:color w:val="000000"/>
                <w:kern w:val="0"/>
                <w:sz w:val="22"/>
                <w:szCs w:val="22"/>
                <w:highlight w:val="yellow"/>
                <w:u w:val="none"/>
                <w:lang w:val="en-US" w:eastAsia="zh-CN" w:bidi="ar"/>
              </w:rPr>
              <w:t>建设期：</w:t>
            </w:r>
            <w:r>
              <w:rPr>
                <w:rFonts w:hint="eastAsia" w:ascii="Times New Roman" w:hAnsi="Times New Roman" w:cs="Times New Roman"/>
                <w:i w:val="0"/>
                <w:iCs w:val="0"/>
                <w:snapToGrid w:val="0"/>
                <w:color w:val="auto"/>
                <w:kern w:val="0"/>
                <w:sz w:val="22"/>
                <w:szCs w:val="22"/>
                <w:highlight w:val="yellow"/>
                <w:u w:val="none"/>
                <w:lang w:val="en-US" w:eastAsia="zh-CN" w:bidi="ar"/>
              </w:rPr>
              <w:t>60天</w:t>
            </w:r>
            <w:r>
              <w:rPr>
                <w:rFonts w:hint="default" w:ascii="Times New Roman" w:hAnsi="Times New Roman" w:eastAsia="宋体" w:cs="Times New Roman"/>
                <w:i w:val="0"/>
                <w:iCs w:val="0"/>
                <w:snapToGrid w:val="0"/>
                <w:color w:val="auto"/>
                <w:kern w:val="0"/>
                <w:sz w:val="22"/>
                <w:szCs w:val="22"/>
                <w:u w:val="none"/>
                <w:lang w:val="en-US" w:eastAsia="zh-CN" w:bidi="ar"/>
              </w:rPr>
              <w:t>，合同签订生效之日起至项目初步验收通过之日为项目建设期。</w:t>
            </w:r>
            <w:r>
              <w:rPr>
                <w:rFonts w:hint="default" w:ascii="Times New Roman" w:hAnsi="Times New Roman" w:eastAsia="宋体" w:cs="Times New Roman"/>
                <w:i w:val="0"/>
                <w:iCs w:val="0"/>
                <w:snapToGrid w:val="0"/>
                <w:color w:val="000000"/>
                <w:kern w:val="0"/>
                <w:sz w:val="22"/>
                <w:szCs w:val="22"/>
                <w:u w:val="none"/>
                <w:lang w:val="en-US" w:eastAsia="zh-CN" w:bidi="ar"/>
              </w:rPr>
              <w:t>合同生效之日起30日内完成包括但不限于深化设计、设备采购、设备安装、系统集成、联调测试等全套工程实施并通过项目初步验收，初步验收由乙方提出申请，甲方组织验收。初步验收合格后进入系统试运行期，试运行期30日，</w:t>
            </w:r>
            <w:r>
              <w:rPr>
                <w:rFonts w:hint="default" w:ascii="Times New Roman" w:hAnsi="Times New Roman" w:eastAsia="宋体" w:cs="Times New Roman"/>
                <w:i w:val="0"/>
                <w:iCs w:val="0"/>
                <w:snapToGrid w:val="0"/>
                <w:color w:val="auto"/>
                <w:kern w:val="0"/>
                <w:sz w:val="22"/>
                <w:szCs w:val="22"/>
                <w:u w:val="none"/>
                <w:lang w:val="en-US" w:eastAsia="zh-CN" w:bidi="ar"/>
              </w:rPr>
              <w:t>试运行期期满后由乙方提交验收书面申请，由甲方</w:t>
            </w:r>
            <w:r>
              <w:rPr>
                <w:rFonts w:hint="default" w:ascii="Times New Roman" w:hAnsi="Times New Roman" w:eastAsia="宋体" w:cs="Times New Roman"/>
                <w:i w:val="0"/>
                <w:iCs w:val="0"/>
                <w:snapToGrid w:val="0"/>
                <w:color w:val="000000"/>
                <w:kern w:val="0"/>
                <w:sz w:val="22"/>
                <w:szCs w:val="22"/>
                <w:u w:val="none"/>
                <w:lang w:val="en-US" w:eastAsia="zh-CN" w:bidi="ar"/>
              </w:rPr>
              <w:t>组织</w:t>
            </w:r>
            <w:bookmarkStart w:id="70" w:name="OLE_LINK21"/>
            <w:r>
              <w:rPr>
                <w:rFonts w:hint="default" w:ascii="Times New Roman" w:hAnsi="Times New Roman" w:eastAsia="宋体" w:cs="Times New Roman"/>
                <w:i w:val="0"/>
                <w:iCs w:val="0"/>
                <w:snapToGrid w:val="0"/>
                <w:color w:val="000000"/>
                <w:kern w:val="0"/>
                <w:sz w:val="22"/>
                <w:szCs w:val="22"/>
                <w:u w:val="none"/>
                <w:lang w:val="en-US" w:eastAsia="zh-CN" w:bidi="ar"/>
              </w:rPr>
              <w:t>验收</w:t>
            </w:r>
            <w:bookmarkEnd w:id="70"/>
            <w:r>
              <w:rPr>
                <w:rFonts w:hint="default" w:ascii="Times New Roman" w:hAnsi="Times New Roman" w:eastAsia="宋体" w:cs="Times New Roman"/>
                <w:i w:val="0"/>
                <w:iCs w:val="0"/>
                <w:snapToGrid w:val="0"/>
                <w:color w:val="000000"/>
                <w:kern w:val="0"/>
                <w:sz w:val="22"/>
                <w:szCs w:val="22"/>
                <w:u w:val="none"/>
                <w:lang w:val="en-US" w:eastAsia="zh-CN" w:bidi="ar"/>
              </w:rPr>
              <w:t>。</w:t>
            </w:r>
          </w:p>
        </w:tc>
      </w:tr>
      <w:tr w14:paraId="5632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38" w:type="dxa"/>
            <w:tcBorders>
              <w:tl2br w:val="nil"/>
              <w:tr2bl w:val="nil"/>
            </w:tcBorders>
            <w:shd w:val="clear" w:color="C4BC96" w:fill="auto"/>
            <w:vAlign w:val="center"/>
          </w:tcPr>
          <w:p w14:paraId="23D219CE">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2</w:t>
            </w:r>
          </w:p>
        </w:tc>
        <w:tc>
          <w:tcPr>
            <w:tcW w:w="996" w:type="dxa"/>
            <w:tcBorders>
              <w:tl2br w:val="nil"/>
              <w:tr2bl w:val="nil"/>
            </w:tcBorders>
            <w:shd w:val="clear" w:color="C4BC96" w:fill="auto"/>
            <w:vAlign w:val="center"/>
          </w:tcPr>
          <w:p w14:paraId="4D31BE75">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center"/>
              <w:textAlignment w:val="center"/>
              <w:rPr>
                <w:rFonts w:hint="default" w:ascii="Times New Roman" w:hAnsi="Times New Roman" w:eastAsia="宋体" w:cs="Times New Roman"/>
                <w:i w:val="0"/>
                <w:iCs w:val="0"/>
                <w:snapToGrid w:val="0"/>
                <w:color w:val="000000"/>
                <w:kern w:val="0"/>
                <w:sz w:val="22"/>
                <w:szCs w:val="22"/>
                <w:u w:val="none"/>
                <w:lang w:val="en-US" w:eastAsia="zh-CN" w:bidi="ar"/>
              </w:rPr>
            </w:pPr>
            <w:r>
              <w:rPr>
                <w:rFonts w:hint="default" w:ascii="Times New Roman" w:hAnsi="Times New Roman" w:eastAsia="宋体" w:cs="Times New Roman"/>
                <w:i w:val="0"/>
                <w:iCs w:val="0"/>
                <w:snapToGrid w:val="0"/>
                <w:color w:val="000000"/>
                <w:kern w:val="0"/>
                <w:sz w:val="22"/>
                <w:szCs w:val="22"/>
                <w:u w:val="none"/>
                <w:lang w:val="en-US" w:eastAsia="zh-CN" w:bidi="ar"/>
              </w:rPr>
              <w:t>交货安装（服务）地点</w:t>
            </w:r>
          </w:p>
        </w:tc>
        <w:tc>
          <w:tcPr>
            <w:tcW w:w="7044" w:type="dxa"/>
            <w:tcBorders>
              <w:tl2br w:val="nil"/>
              <w:tr2bl w:val="nil"/>
            </w:tcBorders>
            <w:shd w:val="clear" w:color="C4BC96" w:fill="auto"/>
            <w:vAlign w:val="center"/>
          </w:tcPr>
          <w:p w14:paraId="1B56F835">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000000"/>
                <w:kern w:val="0"/>
                <w:sz w:val="22"/>
                <w:szCs w:val="22"/>
                <w:u w:val="none"/>
                <w:lang w:val="en-US" w:eastAsia="zh-CN" w:bidi="ar"/>
              </w:rPr>
            </w:pPr>
            <w:r>
              <w:rPr>
                <w:rFonts w:hint="default" w:ascii="Times New Roman" w:hAnsi="Times New Roman" w:eastAsia="宋体" w:cs="Times New Roman"/>
                <w:i w:val="0"/>
                <w:iCs w:val="0"/>
                <w:snapToGrid w:val="0"/>
                <w:color w:val="000000"/>
                <w:kern w:val="0"/>
                <w:sz w:val="22"/>
                <w:szCs w:val="22"/>
                <w:u w:val="none"/>
                <w:lang w:val="en-US" w:eastAsia="zh-CN" w:bidi="ar"/>
              </w:rPr>
              <w:t>甲方指定地点。</w:t>
            </w:r>
          </w:p>
        </w:tc>
      </w:tr>
      <w:tr w14:paraId="31BE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438" w:type="dxa"/>
            <w:tcBorders>
              <w:tl2br w:val="nil"/>
              <w:tr2bl w:val="nil"/>
            </w:tcBorders>
            <w:shd w:val="clear" w:color="C4BC96" w:fill="auto"/>
            <w:vAlign w:val="center"/>
          </w:tcPr>
          <w:p w14:paraId="0325E67A">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3</w:t>
            </w:r>
          </w:p>
        </w:tc>
        <w:tc>
          <w:tcPr>
            <w:tcW w:w="996" w:type="dxa"/>
            <w:tcBorders>
              <w:tl2br w:val="nil"/>
              <w:tr2bl w:val="nil"/>
            </w:tcBorders>
            <w:shd w:val="clear" w:color="C4BC96" w:fill="auto"/>
            <w:vAlign w:val="center"/>
          </w:tcPr>
          <w:p w14:paraId="3B68515E">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质保期</w:t>
            </w:r>
            <w:r>
              <w:rPr>
                <w:rFonts w:hint="default" w:ascii="Times New Roman" w:hAnsi="Times New Roman" w:eastAsia="宋体" w:cs="Times New Roman"/>
                <w:color w:val="auto"/>
                <w:sz w:val="22"/>
                <w:szCs w:val="22"/>
                <w:u w:val="none"/>
                <w:lang w:val="en-US" w:eastAsia="zh-CN"/>
              </w:rPr>
              <w:t>（免费运维期限）</w:t>
            </w:r>
          </w:p>
        </w:tc>
        <w:tc>
          <w:tcPr>
            <w:tcW w:w="7044" w:type="dxa"/>
            <w:tcBorders>
              <w:tl2br w:val="nil"/>
              <w:tr2bl w:val="nil"/>
            </w:tcBorders>
            <w:shd w:val="clear" w:color="C4BC96" w:fill="auto"/>
            <w:vAlign w:val="center"/>
          </w:tcPr>
          <w:p w14:paraId="591E9E23">
            <w:pPr>
              <w:keepNext w:val="0"/>
              <w:keepLines w:val="0"/>
              <w:pageBreakBefore w:val="0"/>
              <w:tabs>
                <w:tab w:val="left" w:pos="548"/>
              </w:tabs>
              <w:kinsoku/>
              <w:wordWrap/>
              <w:overflowPunct w:val="0"/>
              <w:topLinePunct w:val="0"/>
              <w:autoSpaceDE/>
              <w:autoSpaceDN/>
              <w:bidi w:val="0"/>
              <w:adjustRightInd w:val="0"/>
              <w:snapToGrid w:val="0"/>
              <w:spacing w:line="308" w:lineRule="exact"/>
              <w:ind w:left="0" w:leftChars="0" w:right="0" w:rightChars="0" w:firstLine="0" w:firstLineChars="0"/>
              <w:rPr>
                <w:rFonts w:hint="default" w:ascii="Times New Roman" w:hAnsi="Times New Roman" w:eastAsia="宋体" w:cs="Times New Roman"/>
                <w:color w:val="auto"/>
                <w:sz w:val="22"/>
                <w:szCs w:val="22"/>
                <w:u w:val="none"/>
              </w:rPr>
            </w:pPr>
            <w:bookmarkStart w:id="71" w:name="OLE_LINK13"/>
            <w:r>
              <w:rPr>
                <w:rFonts w:hint="default" w:ascii="Times New Roman" w:hAnsi="Times New Roman" w:eastAsia="宋体" w:cs="Times New Roman"/>
                <w:color w:val="auto"/>
                <w:sz w:val="22"/>
                <w:szCs w:val="22"/>
                <w:u w:val="none"/>
                <w:lang w:val="en-US" w:eastAsia="zh-CN"/>
              </w:rPr>
              <w:t>本项目质量保证期</w:t>
            </w:r>
            <w:r>
              <w:rPr>
                <w:rFonts w:hint="eastAsia" w:ascii="Times New Roman" w:hAnsi="Times New Roman" w:cs="Times New Roman"/>
                <w:color w:val="auto"/>
                <w:sz w:val="22"/>
                <w:szCs w:val="22"/>
                <w:highlight w:val="yellow"/>
                <w:u w:val="none"/>
                <w:lang w:val="en-US" w:eastAsia="zh-CN"/>
              </w:rPr>
              <w:t>24个月</w:t>
            </w:r>
            <w:r>
              <w:rPr>
                <w:rFonts w:hint="default" w:ascii="Times New Roman" w:hAnsi="Times New Roman" w:eastAsia="宋体" w:cs="Times New Roman"/>
                <w:color w:val="auto"/>
                <w:sz w:val="22"/>
                <w:szCs w:val="22"/>
                <w:u w:val="none"/>
                <w:lang w:val="en-US" w:eastAsia="zh-CN"/>
              </w:rPr>
              <w:t>（从验收合格且交付之日开始计算），</w:t>
            </w:r>
            <w:r>
              <w:rPr>
                <w:rFonts w:hint="default" w:ascii="Times New Roman" w:hAnsi="Times New Roman" w:eastAsia="宋体" w:cs="Times New Roman"/>
                <w:color w:val="auto"/>
                <w:sz w:val="22"/>
                <w:szCs w:val="22"/>
                <w:u w:val="none"/>
              </w:rPr>
              <w:t>涉及的运行维护、升级更新、备品备件、耗材等</w:t>
            </w:r>
            <w:r>
              <w:rPr>
                <w:rFonts w:hint="default" w:ascii="Times New Roman" w:hAnsi="Times New Roman" w:eastAsia="宋体" w:cs="Times New Roman"/>
                <w:color w:val="auto"/>
                <w:sz w:val="22"/>
                <w:szCs w:val="22"/>
                <w:u w:val="none"/>
                <w:lang w:val="en-US" w:eastAsia="zh-CN"/>
              </w:rPr>
              <w:t>事项均由竞得人负责。</w:t>
            </w:r>
            <w:bookmarkEnd w:id="71"/>
          </w:p>
        </w:tc>
      </w:tr>
      <w:tr w14:paraId="0316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438" w:type="dxa"/>
            <w:vMerge w:val="restart"/>
            <w:tcBorders>
              <w:tl2br w:val="nil"/>
              <w:tr2bl w:val="nil"/>
            </w:tcBorders>
            <w:shd w:val="clear" w:color="auto" w:fill="auto"/>
            <w:vAlign w:val="center"/>
          </w:tcPr>
          <w:p w14:paraId="3A34F39B">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4</w:t>
            </w:r>
          </w:p>
        </w:tc>
        <w:tc>
          <w:tcPr>
            <w:tcW w:w="996" w:type="dxa"/>
            <w:vMerge w:val="restart"/>
            <w:tcBorders>
              <w:tl2br w:val="nil"/>
              <w:tr2bl w:val="nil"/>
            </w:tcBorders>
            <w:shd w:val="clear" w:color="auto" w:fill="auto"/>
            <w:vAlign w:val="center"/>
          </w:tcPr>
          <w:p w14:paraId="5B5BFF6A">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报价要求</w:t>
            </w:r>
          </w:p>
        </w:tc>
        <w:tc>
          <w:tcPr>
            <w:tcW w:w="7044" w:type="dxa"/>
            <w:tcBorders>
              <w:tl2br w:val="nil"/>
              <w:tr2bl w:val="nil"/>
            </w:tcBorders>
            <w:shd w:val="clear" w:color="auto" w:fill="auto"/>
            <w:vAlign w:val="center"/>
          </w:tcPr>
          <w:p w14:paraId="067902A8">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firstLine="0" w:firstLineChars="0"/>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val="en-US" w:eastAsia="zh-CN"/>
              </w:rPr>
              <w:t>4.1</w:t>
            </w:r>
            <w:r>
              <w:rPr>
                <w:rFonts w:hint="default" w:ascii="Times New Roman" w:hAnsi="Times New Roman" w:eastAsia="宋体" w:cs="Times New Roman"/>
                <w:color w:val="auto"/>
                <w:sz w:val="22"/>
                <w:szCs w:val="22"/>
                <w:lang w:eastAsia="zh-CN"/>
              </w:rPr>
              <w:t>竞价人</w:t>
            </w:r>
            <w:r>
              <w:rPr>
                <w:rFonts w:hint="default" w:ascii="Times New Roman" w:hAnsi="Times New Roman" w:eastAsia="宋体" w:cs="Times New Roman"/>
                <w:color w:val="auto"/>
                <w:sz w:val="22"/>
                <w:szCs w:val="22"/>
              </w:rPr>
              <w:t>的报价应包含为完成本招标文件提出的货物或服务等全部相关工作所有可能发生的费用，即投标</w:t>
            </w:r>
            <w:r>
              <w:rPr>
                <w:rFonts w:hint="default" w:ascii="Times New Roman" w:hAnsi="Times New Roman" w:eastAsia="宋体" w:cs="Times New Roman"/>
                <w:color w:val="auto"/>
                <w:sz w:val="22"/>
                <w:szCs w:val="22"/>
                <w:lang w:val="en-US" w:eastAsia="zh-CN"/>
              </w:rPr>
              <w:t>报价为全费用单价。若合价计算有误，按全费用单价修改合价。</w:t>
            </w:r>
            <w:r>
              <w:rPr>
                <w:rFonts w:hint="default" w:ascii="Times New Roman" w:hAnsi="Times New Roman" w:eastAsia="宋体" w:cs="Times New Roman"/>
                <w:color w:val="auto"/>
                <w:sz w:val="22"/>
                <w:szCs w:val="22"/>
              </w:rPr>
              <w:t>对在合同实施过程中可能发生的其他费用，</w:t>
            </w:r>
            <w:r>
              <w:rPr>
                <w:rFonts w:hint="default" w:ascii="Times New Roman" w:hAnsi="Times New Roman" w:eastAsia="宋体" w:cs="Times New Roman"/>
                <w:color w:val="auto"/>
                <w:sz w:val="22"/>
                <w:szCs w:val="22"/>
                <w:lang w:eastAsia="zh-CN"/>
              </w:rPr>
              <w:t>委托人</w:t>
            </w:r>
            <w:r>
              <w:rPr>
                <w:rFonts w:hint="default" w:ascii="Times New Roman" w:hAnsi="Times New Roman" w:eastAsia="宋体" w:cs="Times New Roman"/>
                <w:color w:val="auto"/>
                <w:sz w:val="22"/>
                <w:szCs w:val="22"/>
              </w:rPr>
              <w:t>概不负责。</w:t>
            </w:r>
          </w:p>
        </w:tc>
      </w:tr>
      <w:tr w14:paraId="159E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438" w:type="dxa"/>
            <w:vMerge w:val="continue"/>
            <w:tcBorders>
              <w:tl2br w:val="nil"/>
              <w:tr2bl w:val="nil"/>
            </w:tcBorders>
            <w:shd w:val="clear" w:color="auto" w:fill="auto"/>
            <w:vAlign w:val="center"/>
          </w:tcPr>
          <w:p w14:paraId="69B10913">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057207F4">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4CC6F650">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firstLine="0" w:firstLineChars="0"/>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val="en-US" w:eastAsia="zh-CN"/>
              </w:rPr>
              <w:t>4.2</w:t>
            </w:r>
            <w:r>
              <w:rPr>
                <w:rFonts w:hint="default" w:ascii="Times New Roman" w:hAnsi="Times New Roman" w:eastAsia="宋体" w:cs="Times New Roman"/>
                <w:color w:val="auto"/>
                <w:sz w:val="22"/>
                <w:szCs w:val="22"/>
              </w:rPr>
              <w:t>对本文件未列明，而</w:t>
            </w:r>
            <w:r>
              <w:rPr>
                <w:rFonts w:hint="default" w:ascii="Times New Roman" w:hAnsi="Times New Roman" w:eastAsia="宋体" w:cs="Times New Roman"/>
                <w:color w:val="auto"/>
                <w:sz w:val="22"/>
                <w:szCs w:val="22"/>
                <w:lang w:eastAsia="zh-CN"/>
              </w:rPr>
              <w:t>竞价人</w:t>
            </w:r>
            <w:r>
              <w:rPr>
                <w:rFonts w:hint="default" w:ascii="Times New Roman" w:hAnsi="Times New Roman" w:eastAsia="宋体" w:cs="Times New Roman"/>
                <w:color w:val="auto"/>
                <w:sz w:val="22"/>
                <w:szCs w:val="22"/>
              </w:rPr>
              <w:t>认为必需的费用也需列入投标总报价。在合同实施时，</w:t>
            </w:r>
            <w:r>
              <w:rPr>
                <w:rFonts w:hint="default" w:ascii="Times New Roman" w:hAnsi="Times New Roman" w:eastAsia="宋体" w:cs="Times New Roman"/>
                <w:color w:val="auto"/>
                <w:sz w:val="22"/>
                <w:szCs w:val="22"/>
                <w:lang w:eastAsia="zh-CN"/>
              </w:rPr>
              <w:t>委托人</w:t>
            </w:r>
            <w:r>
              <w:rPr>
                <w:rFonts w:hint="default" w:ascii="Times New Roman" w:hAnsi="Times New Roman" w:eastAsia="宋体" w:cs="Times New Roman"/>
                <w:color w:val="auto"/>
                <w:sz w:val="22"/>
                <w:szCs w:val="22"/>
              </w:rPr>
              <w:t>将不予支付</w:t>
            </w:r>
            <w:r>
              <w:rPr>
                <w:rFonts w:hint="default" w:ascii="Times New Roman" w:hAnsi="Times New Roman" w:eastAsia="宋体" w:cs="Times New Roman"/>
                <w:color w:val="auto"/>
                <w:sz w:val="22"/>
                <w:szCs w:val="22"/>
                <w:lang w:eastAsia="zh-CN"/>
              </w:rPr>
              <w:t>竞得人</w:t>
            </w:r>
            <w:r>
              <w:rPr>
                <w:rFonts w:hint="default" w:ascii="Times New Roman" w:hAnsi="Times New Roman" w:eastAsia="宋体" w:cs="Times New Roman"/>
                <w:color w:val="auto"/>
                <w:sz w:val="22"/>
                <w:szCs w:val="22"/>
              </w:rPr>
              <w:t>没有列入的项目费用，并认为此项目的费用已包含在</w:t>
            </w:r>
            <w:r>
              <w:rPr>
                <w:rFonts w:hint="default" w:ascii="Times New Roman" w:hAnsi="Times New Roman" w:eastAsia="宋体" w:cs="Times New Roman"/>
                <w:color w:val="auto"/>
                <w:sz w:val="22"/>
                <w:szCs w:val="22"/>
                <w:lang w:val="en-US" w:eastAsia="zh-CN"/>
              </w:rPr>
              <w:t>响应</w:t>
            </w:r>
            <w:r>
              <w:rPr>
                <w:rFonts w:hint="default" w:ascii="Times New Roman" w:hAnsi="Times New Roman" w:eastAsia="宋体" w:cs="Times New Roman"/>
                <w:color w:val="auto"/>
                <w:sz w:val="22"/>
                <w:szCs w:val="22"/>
              </w:rPr>
              <w:t>总报价中。</w:t>
            </w:r>
          </w:p>
        </w:tc>
      </w:tr>
      <w:tr w14:paraId="667D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438" w:type="dxa"/>
            <w:vMerge w:val="restart"/>
            <w:tcBorders>
              <w:tl2br w:val="nil"/>
              <w:tr2bl w:val="nil"/>
            </w:tcBorders>
            <w:shd w:val="clear" w:color="auto" w:fill="auto"/>
            <w:vAlign w:val="center"/>
          </w:tcPr>
          <w:p w14:paraId="7AD66DCB">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5</w:t>
            </w:r>
          </w:p>
        </w:tc>
        <w:tc>
          <w:tcPr>
            <w:tcW w:w="996" w:type="dxa"/>
            <w:vMerge w:val="restart"/>
            <w:tcBorders>
              <w:tl2br w:val="nil"/>
              <w:tr2bl w:val="nil"/>
            </w:tcBorders>
            <w:shd w:val="clear" w:color="auto" w:fill="auto"/>
            <w:vAlign w:val="center"/>
          </w:tcPr>
          <w:p w14:paraId="18ABA159">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highlight w:val="none"/>
              </w:rPr>
            </w:pPr>
            <w:r>
              <w:rPr>
                <w:rFonts w:hint="default" w:ascii="Times New Roman" w:hAnsi="Times New Roman" w:eastAsia="宋体" w:cs="Times New Roman"/>
                <w:b w:val="0"/>
                <w:bCs/>
                <w:color w:val="auto"/>
                <w:sz w:val="22"/>
                <w:szCs w:val="22"/>
                <w:highlight w:val="none"/>
              </w:rPr>
              <w:t>付款方式</w:t>
            </w:r>
          </w:p>
        </w:tc>
        <w:tc>
          <w:tcPr>
            <w:tcW w:w="7044" w:type="dxa"/>
            <w:tcBorders>
              <w:tl2br w:val="nil"/>
              <w:tr2bl w:val="nil"/>
            </w:tcBorders>
            <w:shd w:val="clear" w:color="auto" w:fill="auto"/>
            <w:vAlign w:val="center"/>
          </w:tcPr>
          <w:p w14:paraId="62971CC4">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auto"/>
                <w:kern w:val="0"/>
                <w:sz w:val="22"/>
                <w:szCs w:val="22"/>
                <w:u w:val="none"/>
                <w:lang w:val="en-US" w:eastAsia="zh-CN" w:bidi="ar"/>
              </w:rPr>
            </w:pPr>
            <w:bookmarkStart w:id="72" w:name="OLE_LINK6"/>
            <w:r>
              <w:rPr>
                <w:rFonts w:hint="default" w:ascii="Times New Roman" w:hAnsi="Times New Roman" w:eastAsia="宋体" w:cs="Times New Roman"/>
                <w:i w:val="0"/>
                <w:iCs w:val="0"/>
                <w:snapToGrid w:val="0"/>
                <w:color w:val="auto"/>
                <w:kern w:val="0"/>
                <w:sz w:val="22"/>
                <w:szCs w:val="22"/>
                <w:u w:val="none"/>
                <w:lang w:val="en-US" w:eastAsia="zh-CN" w:bidi="ar"/>
              </w:rPr>
              <w:t>5.1按项目进度分期付款：</w:t>
            </w:r>
          </w:p>
          <w:p w14:paraId="5BC928D9">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auto"/>
                <w:kern w:val="0"/>
                <w:sz w:val="22"/>
                <w:szCs w:val="22"/>
                <w:u w:val="none"/>
                <w:lang w:val="en-US" w:eastAsia="zh-CN" w:bidi="ar"/>
              </w:rPr>
            </w:pPr>
            <w:r>
              <w:rPr>
                <w:rFonts w:hint="default" w:ascii="Times New Roman" w:hAnsi="Times New Roman" w:eastAsia="宋体" w:cs="Times New Roman"/>
                <w:i w:val="0"/>
                <w:iCs w:val="0"/>
                <w:snapToGrid w:val="0"/>
                <w:color w:val="auto"/>
                <w:kern w:val="0"/>
                <w:sz w:val="22"/>
                <w:szCs w:val="22"/>
                <w:u w:val="none"/>
                <w:lang w:val="en-US" w:eastAsia="zh-CN" w:bidi="ar"/>
              </w:rPr>
              <w:t>5.1.1分期付款：支付以验收小组签署的合格意见及日期为依据。</w:t>
            </w:r>
          </w:p>
          <w:p w14:paraId="6E11F746">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auto"/>
                <w:kern w:val="0"/>
                <w:sz w:val="22"/>
                <w:szCs w:val="22"/>
                <w:highlight w:val="yellow"/>
                <w:u w:val="none"/>
                <w:lang w:val="en-US" w:eastAsia="zh-CN" w:bidi="ar"/>
              </w:rPr>
            </w:pPr>
            <w:bookmarkStart w:id="73" w:name="OLE_LINK12"/>
            <w:r>
              <w:rPr>
                <w:rFonts w:hint="default" w:ascii="Times New Roman" w:hAnsi="Times New Roman" w:eastAsia="宋体" w:cs="Times New Roman"/>
                <w:i w:val="0"/>
                <w:iCs w:val="0"/>
                <w:snapToGrid w:val="0"/>
                <w:color w:val="auto"/>
                <w:kern w:val="0"/>
                <w:sz w:val="22"/>
                <w:szCs w:val="22"/>
                <w:highlight w:val="yellow"/>
                <w:u w:val="none"/>
                <w:lang w:val="en-US" w:eastAsia="zh-CN" w:bidi="ar"/>
              </w:rPr>
              <w:t>项目通过签订合同后30日内，</w:t>
            </w:r>
            <w:r>
              <w:rPr>
                <w:rFonts w:hint="eastAsia" w:ascii="Times New Roman" w:hAnsi="Times New Roman" w:cs="Times New Roman"/>
                <w:i w:val="0"/>
                <w:iCs w:val="0"/>
                <w:snapToGrid w:val="0"/>
                <w:color w:val="auto"/>
                <w:kern w:val="0"/>
                <w:sz w:val="22"/>
                <w:szCs w:val="22"/>
                <w:highlight w:val="yellow"/>
                <w:u w:val="none"/>
                <w:lang w:val="en-US" w:eastAsia="zh-CN" w:bidi="ar"/>
              </w:rPr>
              <w:t>支付合同总金额的49%</w:t>
            </w:r>
            <w:r>
              <w:rPr>
                <w:rFonts w:hint="default" w:ascii="Times New Roman" w:hAnsi="Times New Roman" w:eastAsia="宋体" w:cs="Times New Roman"/>
                <w:i w:val="0"/>
                <w:iCs w:val="0"/>
                <w:snapToGrid w:val="0"/>
                <w:color w:val="auto"/>
                <w:kern w:val="0"/>
                <w:sz w:val="22"/>
                <w:szCs w:val="22"/>
                <w:highlight w:val="yellow"/>
                <w:u w:val="none"/>
                <w:lang w:val="en-US" w:eastAsia="zh-CN" w:bidi="ar"/>
              </w:rPr>
              <w:t>；</w:t>
            </w:r>
          </w:p>
          <w:p w14:paraId="3438FC26">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auto"/>
                <w:kern w:val="0"/>
                <w:sz w:val="22"/>
                <w:szCs w:val="22"/>
                <w:highlight w:val="yellow"/>
                <w:u w:val="none"/>
                <w:lang w:val="en-US" w:eastAsia="zh-CN" w:bidi="ar"/>
              </w:rPr>
            </w:pPr>
            <w:r>
              <w:rPr>
                <w:rFonts w:hint="default" w:ascii="Times New Roman" w:hAnsi="Times New Roman" w:eastAsia="宋体" w:cs="Times New Roman"/>
                <w:i w:val="0"/>
                <w:iCs w:val="0"/>
                <w:snapToGrid w:val="0"/>
                <w:color w:val="auto"/>
                <w:kern w:val="0"/>
                <w:sz w:val="22"/>
                <w:szCs w:val="22"/>
                <w:highlight w:val="yellow"/>
                <w:u w:val="none"/>
                <w:lang w:val="en-US" w:eastAsia="zh-CN" w:bidi="ar"/>
              </w:rPr>
              <w:t>项目试运行期满、通过</w:t>
            </w:r>
            <w:r>
              <w:rPr>
                <w:rFonts w:hint="eastAsia" w:ascii="Times New Roman" w:hAnsi="Times New Roman" w:eastAsia="宋体" w:cs="Times New Roman"/>
                <w:i w:val="0"/>
                <w:iCs w:val="0"/>
                <w:snapToGrid w:val="0"/>
                <w:color w:val="auto"/>
                <w:kern w:val="0"/>
                <w:sz w:val="22"/>
                <w:szCs w:val="22"/>
                <w:highlight w:val="yellow"/>
                <w:u w:val="none"/>
                <w:lang w:val="en-US" w:eastAsia="zh-CN" w:bidi="ar"/>
              </w:rPr>
              <w:t>初</w:t>
            </w:r>
            <w:r>
              <w:rPr>
                <w:rFonts w:hint="default" w:ascii="Times New Roman" w:hAnsi="Times New Roman" w:eastAsia="宋体" w:cs="Times New Roman"/>
                <w:i w:val="0"/>
                <w:iCs w:val="0"/>
                <w:snapToGrid w:val="0"/>
                <w:color w:val="auto"/>
                <w:kern w:val="0"/>
                <w:sz w:val="22"/>
                <w:szCs w:val="22"/>
                <w:highlight w:val="yellow"/>
                <w:u w:val="none"/>
                <w:lang w:val="en-US" w:eastAsia="zh-CN" w:bidi="ar"/>
              </w:rPr>
              <w:t>验合格后30日内，</w:t>
            </w:r>
            <w:r>
              <w:rPr>
                <w:rFonts w:hint="eastAsia" w:ascii="Times New Roman" w:hAnsi="Times New Roman" w:cs="Times New Roman"/>
                <w:i w:val="0"/>
                <w:iCs w:val="0"/>
                <w:snapToGrid w:val="0"/>
                <w:color w:val="auto"/>
                <w:kern w:val="0"/>
                <w:sz w:val="22"/>
                <w:szCs w:val="22"/>
                <w:highlight w:val="yellow"/>
                <w:u w:val="none"/>
                <w:lang w:val="en-US" w:eastAsia="zh-CN" w:bidi="ar"/>
              </w:rPr>
              <w:t>支付合同总金额的48%</w:t>
            </w:r>
            <w:r>
              <w:rPr>
                <w:rFonts w:hint="default" w:ascii="Times New Roman" w:hAnsi="Times New Roman" w:eastAsia="宋体" w:cs="Times New Roman"/>
                <w:i w:val="0"/>
                <w:iCs w:val="0"/>
                <w:snapToGrid w:val="0"/>
                <w:color w:val="auto"/>
                <w:kern w:val="0"/>
                <w:sz w:val="22"/>
                <w:szCs w:val="22"/>
                <w:highlight w:val="yellow"/>
                <w:u w:val="none"/>
                <w:lang w:val="en-US" w:eastAsia="zh-CN" w:bidi="ar"/>
              </w:rPr>
              <w:t>；</w:t>
            </w:r>
          </w:p>
          <w:p w14:paraId="34CAC320">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auto"/>
                <w:kern w:val="0"/>
                <w:sz w:val="22"/>
                <w:szCs w:val="22"/>
                <w:highlight w:val="yellow"/>
                <w:u w:val="none"/>
                <w:lang w:val="en-US" w:eastAsia="zh-CN" w:bidi="ar"/>
              </w:rPr>
            </w:pPr>
            <w:r>
              <w:rPr>
                <w:rFonts w:hint="default" w:ascii="Times New Roman" w:hAnsi="Times New Roman" w:eastAsia="宋体" w:cs="Times New Roman"/>
                <w:i w:val="0"/>
                <w:iCs w:val="0"/>
                <w:snapToGrid w:val="0"/>
                <w:color w:val="auto"/>
                <w:kern w:val="0"/>
                <w:sz w:val="22"/>
                <w:szCs w:val="22"/>
                <w:highlight w:val="yellow"/>
                <w:u w:val="none"/>
                <w:lang w:val="en-US" w:eastAsia="zh-CN" w:bidi="ar"/>
              </w:rPr>
              <w:t>项目通过</w:t>
            </w:r>
            <w:r>
              <w:rPr>
                <w:rFonts w:hint="eastAsia" w:ascii="Times New Roman" w:hAnsi="Times New Roman" w:eastAsia="宋体" w:cs="Times New Roman"/>
                <w:i w:val="0"/>
                <w:iCs w:val="0"/>
                <w:snapToGrid w:val="0"/>
                <w:color w:val="auto"/>
                <w:kern w:val="0"/>
                <w:sz w:val="22"/>
                <w:szCs w:val="22"/>
                <w:highlight w:val="yellow"/>
                <w:u w:val="none"/>
                <w:lang w:val="en-US" w:eastAsia="zh-CN" w:bidi="ar"/>
              </w:rPr>
              <w:t>初</w:t>
            </w:r>
            <w:r>
              <w:rPr>
                <w:rFonts w:hint="default" w:ascii="Times New Roman" w:hAnsi="Times New Roman" w:eastAsia="宋体" w:cs="Times New Roman"/>
                <w:i w:val="0"/>
                <w:iCs w:val="0"/>
                <w:snapToGrid w:val="0"/>
                <w:color w:val="auto"/>
                <w:kern w:val="0"/>
                <w:sz w:val="22"/>
                <w:szCs w:val="22"/>
                <w:highlight w:val="yellow"/>
                <w:u w:val="none"/>
                <w:lang w:val="en-US" w:eastAsia="zh-CN" w:bidi="ar"/>
              </w:rPr>
              <w:t>验合格后，免费运维第</w:t>
            </w:r>
            <w:r>
              <w:rPr>
                <w:rFonts w:hint="eastAsia" w:ascii="Times New Roman" w:hAnsi="Times New Roman" w:cs="Times New Roman"/>
                <w:i w:val="0"/>
                <w:iCs w:val="0"/>
                <w:snapToGrid w:val="0"/>
                <w:color w:val="auto"/>
                <w:kern w:val="0"/>
                <w:sz w:val="22"/>
                <w:szCs w:val="22"/>
                <w:highlight w:val="yellow"/>
                <w:u w:val="none"/>
                <w:lang w:val="en-US" w:eastAsia="zh-CN" w:bidi="ar"/>
              </w:rPr>
              <w:t>24个月</w:t>
            </w:r>
            <w:r>
              <w:rPr>
                <w:rFonts w:hint="default" w:ascii="Times New Roman" w:hAnsi="Times New Roman" w:eastAsia="宋体" w:cs="Times New Roman"/>
                <w:i w:val="0"/>
                <w:iCs w:val="0"/>
                <w:snapToGrid w:val="0"/>
                <w:color w:val="auto"/>
                <w:kern w:val="0"/>
                <w:sz w:val="22"/>
                <w:szCs w:val="22"/>
                <w:highlight w:val="yellow"/>
                <w:u w:val="none"/>
                <w:lang w:val="en-US" w:eastAsia="zh-CN" w:bidi="ar"/>
              </w:rPr>
              <w:t>满且考核合格后30日内，支付按约应付剩余款项（含合同总金额的3%的质量保证金）。</w:t>
            </w:r>
          </w:p>
          <w:bookmarkEnd w:id="73"/>
          <w:p w14:paraId="5C5CC3BB">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000000"/>
                <w:kern w:val="0"/>
                <w:sz w:val="22"/>
                <w:szCs w:val="22"/>
                <w:u w:val="none"/>
                <w:lang w:val="en-US" w:eastAsia="zh-CN" w:bidi="ar"/>
              </w:rPr>
            </w:pPr>
            <w:r>
              <w:rPr>
                <w:rFonts w:hint="default" w:ascii="Times New Roman" w:hAnsi="Times New Roman" w:eastAsia="宋体" w:cs="Times New Roman"/>
                <w:i w:val="0"/>
                <w:iCs w:val="0"/>
                <w:snapToGrid w:val="0"/>
                <w:color w:val="auto"/>
                <w:kern w:val="0"/>
                <w:sz w:val="22"/>
                <w:szCs w:val="22"/>
                <w:u w:val="none"/>
                <w:lang w:val="en-US" w:eastAsia="zh-CN" w:bidi="ar"/>
              </w:rPr>
              <w:t>5.1.2根据各验收阶段牵头单位出具的验收结果报告支付相应款项。</w:t>
            </w:r>
            <w:bookmarkEnd w:id="72"/>
          </w:p>
        </w:tc>
      </w:tr>
      <w:tr w14:paraId="258E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438" w:type="dxa"/>
            <w:vMerge w:val="continue"/>
            <w:tcBorders>
              <w:tl2br w:val="nil"/>
              <w:tr2bl w:val="nil"/>
            </w:tcBorders>
            <w:shd w:val="clear" w:color="auto" w:fill="auto"/>
            <w:vAlign w:val="center"/>
          </w:tcPr>
          <w:p w14:paraId="34AB88E3">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451AFBAE">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77E89FE9">
            <w:pPr>
              <w:keepNext w:val="0"/>
              <w:keepLines w:val="0"/>
              <w:pageBreakBefore w:val="0"/>
              <w:widowControl w:val="0"/>
              <w:suppressLineNumbers w:val="0"/>
              <w:kinsoku/>
              <w:wordWrap/>
              <w:overflowPunct w:val="0"/>
              <w:topLinePunct w:val="0"/>
              <w:autoSpaceDE/>
              <w:autoSpaceDN/>
              <w:bidi w:val="0"/>
              <w:adjustRightInd w:val="0"/>
              <w:snapToGrid w:val="0"/>
              <w:spacing w:afterLines="0" w:line="307" w:lineRule="exact"/>
              <w:jc w:val="both"/>
              <w:textAlignment w:val="center"/>
              <w:rPr>
                <w:rFonts w:hint="default" w:ascii="Times New Roman" w:hAnsi="Times New Roman" w:eastAsia="宋体" w:cs="Times New Roman"/>
                <w:i w:val="0"/>
                <w:iCs w:val="0"/>
                <w:snapToGrid w:val="0"/>
                <w:color w:val="000000"/>
                <w:kern w:val="0"/>
                <w:sz w:val="22"/>
                <w:szCs w:val="22"/>
                <w:u w:val="none"/>
                <w:lang w:val="en-US" w:eastAsia="zh-CN" w:bidi="ar"/>
              </w:rPr>
            </w:pPr>
            <w:r>
              <w:rPr>
                <w:rFonts w:hint="default" w:ascii="Times New Roman" w:hAnsi="Times New Roman" w:eastAsia="宋体" w:cs="Times New Roman"/>
                <w:i w:val="0"/>
                <w:iCs w:val="0"/>
                <w:snapToGrid w:val="0"/>
                <w:color w:val="000000"/>
                <w:kern w:val="0"/>
                <w:sz w:val="22"/>
                <w:szCs w:val="22"/>
                <w:u w:val="none"/>
                <w:lang w:val="en-US" w:eastAsia="zh-CN" w:bidi="ar"/>
              </w:rPr>
              <w:t>5.2乙方必须按国家有关财税规定开具发票。</w:t>
            </w:r>
          </w:p>
        </w:tc>
      </w:tr>
      <w:tr w14:paraId="1466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38" w:type="dxa"/>
            <w:vMerge w:val="continue"/>
            <w:tcBorders>
              <w:tl2br w:val="nil"/>
              <w:tr2bl w:val="nil"/>
            </w:tcBorders>
            <w:shd w:val="clear" w:color="auto" w:fill="auto"/>
            <w:vAlign w:val="center"/>
          </w:tcPr>
          <w:p w14:paraId="6C484F9C">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764A1F0C">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0467193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firstLine="0" w:firstLineChars="0"/>
              <w:textAlignment w:val="auto"/>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2"/>
                <w:szCs w:val="22"/>
                <w:lang w:val="en-US" w:eastAsia="zh-CN"/>
              </w:rPr>
              <w:t>5.3</w:t>
            </w:r>
            <w:r>
              <w:rPr>
                <w:rFonts w:hint="default" w:ascii="Times New Roman" w:hAnsi="Times New Roman" w:eastAsia="宋体" w:cs="Times New Roman"/>
                <w:color w:val="000000"/>
                <w:sz w:val="22"/>
                <w:szCs w:val="22"/>
              </w:rPr>
              <w:t>本项目按照项目完成进度情况支付相应的款项，具体比例在合同中约定。</w:t>
            </w:r>
          </w:p>
        </w:tc>
      </w:tr>
      <w:tr w14:paraId="3327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38" w:type="dxa"/>
            <w:vMerge w:val="restart"/>
            <w:tcBorders>
              <w:tl2br w:val="nil"/>
              <w:tr2bl w:val="nil"/>
            </w:tcBorders>
            <w:shd w:val="clear" w:color="auto" w:fill="auto"/>
            <w:vAlign w:val="center"/>
          </w:tcPr>
          <w:p w14:paraId="55DED165">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6</w:t>
            </w:r>
          </w:p>
        </w:tc>
        <w:tc>
          <w:tcPr>
            <w:tcW w:w="996" w:type="dxa"/>
            <w:vMerge w:val="restart"/>
            <w:tcBorders>
              <w:tl2br w:val="nil"/>
              <w:tr2bl w:val="nil"/>
            </w:tcBorders>
            <w:shd w:val="clear" w:color="auto" w:fill="auto"/>
            <w:vAlign w:val="center"/>
          </w:tcPr>
          <w:p w14:paraId="0991A8C7">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验收要求</w:t>
            </w:r>
          </w:p>
        </w:tc>
        <w:tc>
          <w:tcPr>
            <w:tcW w:w="7044" w:type="dxa"/>
            <w:tcBorders>
              <w:tl2br w:val="nil"/>
              <w:tr2bl w:val="nil"/>
            </w:tcBorders>
            <w:shd w:val="clear" w:color="auto" w:fill="auto"/>
            <w:vAlign w:val="center"/>
          </w:tcPr>
          <w:p w14:paraId="745247CD">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6.1</w:t>
            </w:r>
            <w:r>
              <w:rPr>
                <w:rFonts w:hint="default" w:ascii="Times New Roman" w:hAnsi="Times New Roman" w:eastAsia="宋体" w:cs="Times New Roman"/>
                <w:color w:val="000000"/>
                <w:sz w:val="22"/>
                <w:szCs w:val="22"/>
                <w:highlight w:val="none"/>
                <w:lang w:eastAsia="zh-CN"/>
              </w:rPr>
              <w:t>履约验收时间：</w:t>
            </w:r>
            <w:r>
              <w:rPr>
                <w:rFonts w:hint="default" w:ascii="Times New Roman" w:hAnsi="Times New Roman" w:eastAsia="宋体" w:cs="Times New Roman"/>
                <w:color w:val="000000"/>
                <w:sz w:val="22"/>
                <w:szCs w:val="22"/>
                <w:highlight w:val="none"/>
                <w:lang w:val="en-US" w:eastAsia="zh-CN"/>
              </w:rPr>
              <w:t>初步验收、试运行</w:t>
            </w:r>
            <w:r>
              <w:rPr>
                <w:rFonts w:hint="eastAsia" w:ascii="Times New Roman" w:hAnsi="Times New Roman" w:eastAsia="宋体" w:cs="Times New Roman"/>
                <w:color w:val="auto"/>
                <w:sz w:val="22"/>
                <w:szCs w:val="22"/>
                <w:highlight w:val="none"/>
                <w:lang w:val="en-US" w:eastAsia="zh-CN"/>
              </w:rPr>
              <w:t>时间</w:t>
            </w:r>
            <w:r>
              <w:rPr>
                <w:rFonts w:hint="default" w:ascii="Times New Roman" w:hAnsi="Times New Roman" w:eastAsia="宋体" w:cs="Times New Roman"/>
                <w:color w:val="000000"/>
                <w:sz w:val="22"/>
                <w:szCs w:val="22"/>
                <w:highlight w:val="none"/>
                <w:lang w:val="en-US" w:eastAsia="zh-CN"/>
              </w:rPr>
              <w:t>由乙方提出申请，甲方牵头组织</w:t>
            </w:r>
            <w:r>
              <w:rPr>
                <w:rFonts w:hint="default" w:ascii="Times New Roman" w:hAnsi="Times New Roman" w:eastAsia="宋体" w:cs="Times New Roman"/>
                <w:color w:val="000000"/>
                <w:sz w:val="22"/>
                <w:szCs w:val="22"/>
                <w:highlight w:val="none"/>
                <w:lang w:eastAsia="zh-CN"/>
              </w:rPr>
              <w:t>验收并出具验收结果报告。</w:t>
            </w:r>
          </w:p>
        </w:tc>
      </w:tr>
      <w:tr w14:paraId="41F2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438" w:type="dxa"/>
            <w:vMerge w:val="continue"/>
            <w:tcBorders>
              <w:tl2br w:val="nil"/>
              <w:tr2bl w:val="nil"/>
            </w:tcBorders>
            <w:shd w:val="clear" w:color="auto" w:fill="auto"/>
            <w:vAlign w:val="center"/>
          </w:tcPr>
          <w:p w14:paraId="0B94953C">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47613BF0">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08DEC4C9">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6.2</w:t>
            </w:r>
            <w:r>
              <w:rPr>
                <w:rFonts w:hint="default" w:ascii="Times New Roman" w:hAnsi="Times New Roman" w:eastAsia="宋体" w:cs="Times New Roman"/>
                <w:color w:val="000000"/>
                <w:sz w:val="22"/>
                <w:szCs w:val="22"/>
                <w:highlight w:val="none"/>
                <w:lang w:eastAsia="zh-CN"/>
              </w:rPr>
              <w:t>履约验收方式：系统按公开竞价文件及双方共同协商确定的软件需求分析说明书、系统初步设计文件、国家和行业制定的有关标准要求进行验收，当两者发生矛盾时，以所有文件中最高性能指标为准。</w:t>
            </w:r>
          </w:p>
        </w:tc>
      </w:tr>
      <w:tr w14:paraId="45A3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438" w:type="dxa"/>
            <w:vMerge w:val="continue"/>
            <w:tcBorders>
              <w:tl2br w:val="nil"/>
              <w:tr2bl w:val="nil"/>
            </w:tcBorders>
            <w:shd w:val="clear" w:color="auto" w:fill="auto"/>
            <w:vAlign w:val="center"/>
          </w:tcPr>
          <w:p w14:paraId="6D5B4ED7">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4CAFAC3B">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2DD51BB4">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6.3</w:t>
            </w:r>
            <w:r>
              <w:rPr>
                <w:rFonts w:hint="default" w:ascii="Times New Roman" w:hAnsi="Times New Roman" w:eastAsia="宋体" w:cs="Times New Roman"/>
                <w:color w:val="000000"/>
                <w:sz w:val="22"/>
                <w:szCs w:val="22"/>
                <w:highlight w:val="none"/>
                <w:lang w:eastAsia="zh-CN"/>
              </w:rPr>
              <w:t>履约验收程序：本项目验收包括初步验收、最终验收</w:t>
            </w:r>
            <w:r>
              <w:rPr>
                <w:rFonts w:hint="default" w:ascii="Times New Roman" w:hAnsi="Times New Roman" w:eastAsia="宋体" w:cs="Times New Roman"/>
                <w:color w:val="000000"/>
                <w:sz w:val="22"/>
                <w:szCs w:val="22"/>
                <w:highlight w:val="none"/>
                <w:lang w:val="en-US" w:eastAsia="zh-CN"/>
              </w:rPr>
              <w:t>两</w:t>
            </w:r>
            <w:r>
              <w:rPr>
                <w:rFonts w:hint="default" w:ascii="Times New Roman" w:hAnsi="Times New Roman" w:eastAsia="宋体" w:cs="Times New Roman"/>
                <w:color w:val="000000"/>
                <w:sz w:val="22"/>
                <w:szCs w:val="22"/>
                <w:highlight w:val="none"/>
                <w:lang w:eastAsia="zh-CN"/>
              </w:rPr>
              <w:t>个阶段。</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应在项目验收时做好项目质量控制、成本控制、进度控制等管理。做好项目过程中各种文档的管理，如：公开竞价文件及响应文件、合同、会议纪要、验收报告等。</w:t>
            </w:r>
          </w:p>
        </w:tc>
      </w:tr>
      <w:tr w14:paraId="1EE1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438" w:type="dxa"/>
            <w:vMerge w:val="continue"/>
            <w:tcBorders>
              <w:tl2br w:val="nil"/>
              <w:tr2bl w:val="nil"/>
            </w:tcBorders>
            <w:shd w:val="clear" w:color="auto" w:fill="auto"/>
            <w:vAlign w:val="center"/>
          </w:tcPr>
          <w:p w14:paraId="39143070">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22A3ACB4">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151B42E8">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6.4履约验收内容：</w:t>
            </w:r>
          </w:p>
          <w:p w14:paraId="47105D68">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验收内容主要包括产品到货验收、系统功能验收、文档的完整性验收、数据对接全面性验收。</w:t>
            </w:r>
          </w:p>
          <w:p w14:paraId="4FC1EB9C">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6.4.1产品到货验收</w:t>
            </w:r>
          </w:p>
          <w:p w14:paraId="7D1D42B6">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所有产品开箱外观是否完整，测试是否通过，主机、应用软件是否与合同书所要求的清单相符合。</w:t>
            </w:r>
          </w:p>
          <w:p w14:paraId="66A48B99">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6.4.2系统功能验收</w:t>
            </w:r>
          </w:p>
          <w:p w14:paraId="7490E46F">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系统部署完成后对整体信息系统进行联调测试，并形成联调测试验收报告。</w:t>
            </w:r>
          </w:p>
          <w:p w14:paraId="78DF4176">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6.4.3文档完整性验收</w:t>
            </w:r>
          </w:p>
          <w:p w14:paraId="30B230D8">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乙方需提供所有项目建设要求的文档，包括全部有关产品说明书、原厂家安装手册、资料以及系统设计文档、安装配置手册、使用手册、运行维护手册、图纸、测试文档、验收报告，以及项目管理、质量管理等方面的文档。</w:t>
            </w:r>
          </w:p>
        </w:tc>
      </w:tr>
      <w:tr w14:paraId="4806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38" w:type="dxa"/>
            <w:vMerge w:val="continue"/>
            <w:tcBorders>
              <w:tl2br w:val="nil"/>
              <w:tr2bl w:val="nil"/>
            </w:tcBorders>
            <w:shd w:val="clear" w:color="auto" w:fill="auto"/>
            <w:vAlign w:val="center"/>
          </w:tcPr>
          <w:p w14:paraId="50F9F759">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0B73878F">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6CD36C55">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auto"/>
                <w:sz w:val="22"/>
                <w:szCs w:val="22"/>
                <w:highlight w:val="none"/>
                <w:lang w:val="en-US" w:eastAsia="zh-CN"/>
              </w:rPr>
            </w:pPr>
            <w:r>
              <w:rPr>
                <w:rFonts w:hint="default" w:ascii="Times New Roman" w:hAnsi="Times New Roman" w:eastAsia="宋体" w:cs="Times New Roman"/>
                <w:color w:val="auto"/>
                <w:sz w:val="22"/>
                <w:szCs w:val="22"/>
                <w:highlight w:val="none"/>
                <w:lang w:val="en-US" w:eastAsia="zh-CN"/>
              </w:rPr>
              <w:t>6.5履约验收标准</w:t>
            </w:r>
          </w:p>
          <w:p w14:paraId="064387F7">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eastAsia" w:ascii="Times New Roman" w:hAnsi="Times New Roman" w:eastAsia="宋体" w:cs="Times New Roman"/>
                <w:color w:val="auto"/>
                <w:sz w:val="22"/>
                <w:szCs w:val="22"/>
                <w:highlight w:val="none"/>
                <w:lang w:val="en-US" w:eastAsia="zh-CN"/>
              </w:rPr>
            </w:pPr>
            <w:bookmarkStart w:id="74" w:name="OLE_LINK22"/>
            <w:bookmarkStart w:id="75" w:name="OLE_LINK10"/>
            <w:r>
              <w:rPr>
                <w:rFonts w:hint="default" w:ascii="Times New Roman" w:hAnsi="Times New Roman" w:eastAsia="宋体" w:cs="Times New Roman"/>
                <w:color w:val="auto"/>
                <w:sz w:val="22"/>
                <w:szCs w:val="22"/>
                <w:highlight w:val="none"/>
                <w:lang w:val="en-US" w:eastAsia="zh-CN"/>
              </w:rPr>
              <w:t>6.5.1</w:t>
            </w:r>
            <w:r>
              <w:rPr>
                <w:rFonts w:hint="eastAsia" w:ascii="Times New Roman" w:hAnsi="Times New Roman" w:eastAsia="宋体" w:cs="Times New Roman"/>
                <w:color w:val="auto"/>
                <w:sz w:val="22"/>
                <w:szCs w:val="22"/>
                <w:highlight w:val="none"/>
                <w:lang w:val="en-US" w:eastAsia="zh-CN"/>
              </w:rPr>
              <w:t>项目建设单位在项目建成后一个月内，完成项目终验。终验日期十日前，供应商对照双方签署的合同及附件等国家政策法规及技术标准，完成竣工自验，并向项目建设单位递交自验文档。项目终验时，供应商需向甲方递交完整的项目资料，包括但不限于:设计文档、软件安装包、硬件资料(如有)、配置文档、测试文档、用户使用说明书、系统管理员使用说明书。</w:t>
            </w:r>
          </w:p>
          <w:p w14:paraId="636DFA2C">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auto"/>
                <w:sz w:val="22"/>
                <w:szCs w:val="22"/>
                <w:highlight w:val="none"/>
                <w:lang w:val="en-US" w:eastAsia="zh-CN"/>
              </w:rPr>
              <w:t>6.5.2</w:t>
            </w:r>
            <w:r>
              <w:rPr>
                <w:rFonts w:hint="eastAsia" w:ascii="Times New Roman" w:hAnsi="Times New Roman" w:eastAsia="宋体" w:cs="Times New Roman"/>
                <w:color w:val="auto"/>
                <w:sz w:val="22"/>
                <w:szCs w:val="22"/>
                <w:highlight w:val="none"/>
                <w:lang w:val="en-US" w:eastAsia="zh-CN"/>
              </w:rPr>
              <w:t>对未能通过终验的项目，竟价人要限期整改，整改完成后重新申请验收直至验收合格；对拒不整改或者整改后仍达不到验收标准的，财政部门不予支付项目相关款项</w:t>
            </w:r>
            <w:bookmarkEnd w:id="74"/>
            <w:r>
              <w:rPr>
                <w:rFonts w:hint="eastAsia" w:ascii="Times New Roman" w:hAnsi="Times New Roman" w:eastAsia="宋体" w:cs="Times New Roman"/>
                <w:color w:val="auto"/>
                <w:sz w:val="22"/>
                <w:szCs w:val="22"/>
                <w:highlight w:val="none"/>
                <w:lang w:val="en-US" w:eastAsia="zh-CN"/>
              </w:rPr>
              <w:t>。</w:t>
            </w:r>
            <w:bookmarkEnd w:id="75"/>
          </w:p>
        </w:tc>
      </w:tr>
      <w:tr w14:paraId="6C95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6" w:hRule="atLeast"/>
          <w:jc w:val="center"/>
        </w:trPr>
        <w:tc>
          <w:tcPr>
            <w:tcW w:w="438" w:type="dxa"/>
            <w:vMerge w:val="continue"/>
            <w:tcBorders>
              <w:tl2br w:val="nil"/>
              <w:tr2bl w:val="nil"/>
            </w:tcBorders>
            <w:shd w:val="clear" w:color="auto" w:fill="auto"/>
            <w:vAlign w:val="center"/>
          </w:tcPr>
          <w:p w14:paraId="23BCA240">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5129A3E5">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326EFBF4">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6.6.履约验收其他事项</w:t>
            </w:r>
          </w:p>
          <w:p w14:paraId="1F407CE7">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6.6.1乙方提供整体信息系统验收方案并协助甲方进行整体信息系统验收工作。</w:t>
            </w:r>
          </w:p>
          <w:p w14:paraId="6093A877">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6.6.2乙方以书面形式正式认可系统安装调试成功，甲方即可进行系统验收。</w:t>
            </w:r>
          </w:p>
          <w:p w14:paraId="6D60B1EB">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6.6.3乙方参与系统验收，共同进行测试和诊断所有模块和整个系统。</w:t>
            </w:r>
          </w:p>
          <w:p w14:paraId="7E1EA036">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6.6.4验收过程中出现任何软件故障，验收流程将暂停整改。整改过程中，乙方须提供完整的系统诊断流程。直至整改完成后，方可重启本阶段验收程序。</w:t>
            </w:r>
          </w:p>
          <w:p w14:paraId="1375C350">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6.6.5甲方负责项目全过程监督与验收，对质量不达标的有权下令整改或停工整顿。</w:t>
            </w:r>
          </w:p>
          <w:p w14:paraId="311AAF60">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6.6.6甲方不接受部分验收合格的系统。</w:t>
            </w:r>
          </w:p>
        </w:tc>
      </w:tr>
      <w:tr w14:paraId="1416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438" w:type="dxa"/>
            <w:vMerge w:val="restart"/>
            <w:tcBorders>
              <w:tl2br w:val="nil"/>
              <w:tr2bl w:val="nil"/>
            </w:tcBorders>
            <w:shd w:val="clear" w:color="auto" w:fill="auto"/>
            <w:vAlign w:val="center"/>
          </w:tcPr>
          <w:p w14:paraId="1CFF7788">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7</w:t>
            </w:r>
          </w:p>
        </w:tc>
        <w:tc>
          <w:tcPr>
            <w:tcW w:w="996" w:type="dxa"/>
            <w:vMerge w:val="restart"/>
            <w:tcBorders>
              <w:tl2br w:val="nil"/>
              <w:tr2bl w:val="nil"/>
            </w:tcBorders>
            <w:shd w:val="clear" w:color="auto" w:fill="auto"/>
            <w:vAlign w:val="center"/>
          </w:tcPr>
          <w:p w14:paraId="62EC89F7">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合同条款</w:t>
            </w:r>
          </w:p>
        </w:tc>
        <w:tc>
          <w:tcPr>
            <w:tcW w:w="7044" w:type="dxa"/>
            <w:tcBorders>
              <w:tl2br w:val="nil"/>
              <w:tr2bl w:val="nil"/>
            </w:tcBorders>
            <w:shd w:val="clear" w:color="auto" w:fill="auto"/>
            <w:vAlign w:val="center"/>
          </w:tcPr>
          <w:p w14:paraId="0C7B018A">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firstLine="0" w:firstLineChars="0"/>
              <w:rPr>
                <w:rFonts w:hint="default" w:ascii="Times New Roman" w:hAnsi="Times New Roman" w:eastAsia="宋体" w:cs="Times New Roman"/>
                <w:color w:val="000000"/>
                <w:sz w:val="22"/>
                <w:szCs w:val="22"/>
                <w:lang w:eastAsia="zh-CN"/>
              </w:rPr>
            </w:pPr>
            <w:r>
              <w:rPr>
                <w:rFonts w:hint="default" w:ascii="Times New Roman" w:hAnsi="Times New Roman" w:eastAsia="宋体" w:cs="Times New Roman"/>
                <w:color w:val="000000"/>
                <w:sz w:val="22"/>
                <w:szCs w:val="22"/>
                <w:lang w:val="en-US" w:eastAsia="zh-CN"/>
              </w:rPr>
              <w:t>7.1</w:t>
            </w:r>
            <w:r>
              <w:rPr>
                <w:rFonts w:hint="default" w:ascii="Times New Roman" w:hAnsi="Times New Roman" w:eastAsia="宋体" w:cs="Times New Roman"/>
                <w:color w:val="000000"/>
                <w:sz w:val="22"/>
                <w:szCs w:val="22"/>
                <w:lang w:eastAsia="zh-CN"/>
              </w:rPr>
              <w:t>竞得人</w:t>
            </w:r>
            <w:r>
              <w:rPr>
                <w:rFonts w:hint="default" w:ascii="Times New Roman" w:hAnsi="Times New Roman" w:eastAsia="宋体" w:cs="Times New Roman"/>
                <w:color w:val="000000"/>
                <w:sz w:val="22"/>
                <w:szCs w:val="22"/>
              </w:rPr>
              <w:t>违约承担违约责任。所有</w:t>
            </w:r>
            <w:r>
              <w:rPr>
                <w:rFonts w:hint="default" w:ascii="Times New Roman" w:hAnsi="Times New Roman" w:eastAsia="宋体" w:cs="Times New Roman"/>
                <w:color w:val="000000"/>
                <w:sz w:val="22"/>
                <w:szCs w:val="22"/>
                <w:lang w:eastAsia="zh-CN"/>
              </w:rPr>
              <w:t>成交</w:t>
            </w:r>
            <w:r>
              <w:rPr>
                <w:rFonts w:hint="default" w:ascii="Times New Roman" w:hAnsi="Times New Roman" w:eastAsia="宋体" w:cs="Times New Roman"/>
                <w:color w:val="000000"/>
                <w:sz w:val="22"/>
                <w:szCs w:val="22"/>
              </w:rPr>
              <w:t>内容均需按照</w:t>
            </w:r>
            <w:r>
              <w:rPr>
                <w:rFonts w:hint="default" w:ascii="Times New Roman" w:hAnsi="Times New Roman" w:eastAsia="宋体" w:cs="Times New Roman"/>
                <w:color w:val="000000"/>
                <w:sz w:val="22"/>
                <w:szCs w:val="22"/>
                <w:lang w:eastAsia="zh-CN"/>
              </w:rPr>
              <w:t>公开竞价</w:t>
            </w:r>
            <w:r>
              <w:rPr>
                <w:rFonts w:hint="default" w:ascii="Times New Roman" w:hAnsi="Times New Roman" w:eastAsia="宋体" w:cs="Times New Roman"/>
                <w:color w:val="000000"/>
                <w:sz w:val="22"/>
                <w:szCs w:val="22"/>
              </w:rPr>
              <w:t>文件指标要求进行检查核对后方可进行报验，不满足</w:t>
            </w:r>
            <w:r>
              <w:rPr>
                <w:rFonts w:hint="default" w:ascii="Times New Roman" w:hAnsi="Times New Roman" w:eastAsia="宋体" w:cs="Times New Roman"/>
                <w:color w:val="000000"/>
                <w:sz w:val="22"/>
                <w:szCs w:val="22"/>
                <w:lang w:eastAsia="zh-CN"/>
              </w:rPr>
              <w:t>公开竞价</w:t>
            </w:r>
            <w:r>
              <w:rPr>
                <w:rFonts w:hint="default" w:ascii="Times New Roman" w:hAnsi="Times New Roman" w:eastAsia="宋体" w:cs="Times New Roman"/>
                <w:color w:val="000000"/>
                <w:sz w:val="22"/>
                <w:szCs w:val="22"/>
              </w:rPr>
              <w:t>文件指标和</w:t>
            </w:r>
            <w:r>
              <w:rPr>
                <w:rFonts w:hint="default" w:ascii="Times New Roman" w:hAnsi="Times New Roman" w:eastAsia="宋体" w:cs="Times New Roman"/>
                <w:color w:val="000000"/>
                <w:sz w:val="22"/>
                <w:szCs w:val="22"/>
                <w:lang w:eastAsia="zh-CN"/>
              </w:rPr>
              <w:t>响应</w:t>
            </w:r>
            <w:r>
              <w:rPr>
                <w:rFonts w:hint="default" w:ascii="Times New Roman" w:hAnsi="Times New Roman" w:eastAsia="宋体" w:cs="Times New Roman"/>
                <w:color w:val="000000"/>
                <w:sz w:val="22"/>
                <w:szCs w:val="22"/>
              </w:rPr>
              <w:t>承诺的，</w:t>
            </w:r>
            <w:r>
              <w:rPr>
                <w:rFonts w:hint="default" w:ascii="Times New Roman" w:hAnsi="Times New Roman" w:eastAsia="宋体" w:cs="Times New Roman"/>
                <w:color w:val="000000"/>
                <w:sz w:val="22"/>
                <w:szCs w:val="22"/>
                <w:lang w:eastAsia="zh-CN"/>
              </w:rPr>
              <w:t>委托人</w:t>
            </w:r>
            <w:r>
              <w:rPr>
                <w:rFonts w:hint="default" w:ascii="Times New Roman" w:hAnsi="Times New Roman" w:eastAsia="宋体" w:cs="Times New Roman"/>
                <w:color w:val="000000"/>
                <w:sz w:val="22"/>
                <w:szCs w:val="22"/>
              </w:rPr>
              <w:t>有权不对其进行验收；同时</w:t>
            </w:r>
            <w:r>
              <w:rPr>
                <w:rFonts w:hint="default" w:ascii="Times New Roman" w:hAnsi="Times New Roman" w:eastAsia="宋体" w:cs="Times New Roman"/>
                <w:color w:val="000000"/>
                <w:sz w:val="22"/>
                <w:szCs w:val="22"/>
                <w:lang w:eastAsia="zh-CN"/>
              </w:rPr>
              <w:t>竞得人</w:t>
            </w:r>
            <w:r>
              <w:rPr>
                <w:rFonts w:hint="default" w:ascii="Times New Roman" w:hAnsi="Times New Roman" w:eastAsia="宋体" w:cs="Times New Roman"/>
                <w:color w:val="000000"/>
                <w:sz w:val="22"/>
                <w:szCs w:val="22"/>
              </w:rPr>
              <w:t>对不满足要求的内容承担违约责任</w:t>
            </w:r>
            <w:r>
              <w:rPr>
                <w:rFonts w:hint="default" w:ascii="Times New Roman" w:hAnsi="Times New Roman" w:eastAsia="宋体" w:cs="Times New Roman"/>
                <w:color w:val="000000"/>
                <w:sz w:val="22"/>
                <w:szCs w:val="22"/>
                <w:lang w:eastAsia="zh-CN"/>
              </w:rPr>
              <w:t>；投标人按技术要求在签订合同前提供相关文件。若存在弄虚作假行为，采购人可依法取消投标人中标资格。</w:t>
            </w:r>
          </w:p>
        </w:tc>
      </w:tr>
      <w:tr w14:paraId="549D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438" w:type="dxa"/>
            <w:vMerge w:val="continue"/>
            <w:tcBorders>
              <w:tl2br w:val="nil"/>
              <w:tr2bl w:val="nil"/>
            </w:tcBorders>
            <w:shd w:val="clear" w:color="auto" w:fill="auto"/>
            <w:vAlign w:val="center"/>
          </w:tcPr>
          <w:p w14:paraId="0B0A7CDB">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38B9BB86">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2ECB4E6C">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0" w:lineRule="exact"/>
              <w:ind w:right="0" w:rightChars="0" w:firstLine="0" w:firstLineChars="0"/>
              <w:rPr>
                <w:rFonts w:hint="default" w:ascii="Times New Roman" w:hAnsi="Times New Roman" w:eastAsia="宋体" w:cs="Times New Roman"/>
                <w:color w:val="000000"/>
                <w:sz w:val="22"/>
                <w:szCs w:val="22"/>
                <w:lang w:eastAsia="zh-CN"/>
              </w:rPr>
            </w:pPr>
            <w:r>
              <w:rPr>
                <w:rFonts w:hint="default" w:ascii="Times New Roman" w:hAnsi="Times New Roman" w:eastAsia="宋体" w:cs="Times New Roman"/>
                <w:color w:val="000000"/>
                <w:sz w:val="22"/>
                <w:szCs w:val="22"/>
                <w:lang w:val="en-US" w:eastAsia="zh-CN"/>
              </w:rPr>
              <w:t>7.2如果乙方未按合同规定的时间交货或提供服务，甲方有权从应付款中扣除误期赔偿费而不影响合同项下的其他补救方法，赔偿费按每日赔偿延期服务的合同价款的0.06 %计收，直至交货或提供服务为止，但误期赔偿费的最高限额不超过合同价款的百分之二十（20%）。</w:t>
            </w:r>
          </w:p>
        </w:tc>
      </w:tr>
      <w:tr w14:paraId="0025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438" w:type="dxa"/>
            <w:vMerge w:val="continue"/>
            <w:tcBorders>
              <w:tl2br w:val="nil"/>
              <w:tr2bl w:val="nil"/>
            </w:tcBorders>
            <w:shd w:val="clear" w:color="auto" w:fill="auto"/>
            <w:vAlign w:val="center"/>
          </w:tcPr>
          <w:p w14:paraId="78EEF6EC">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17146706">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5BC2E9CB">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0" w:lineRule="exact"/>
              <w:ind w:right="0" w:rightChars="0" w:firstLine="0" w:firstLineChars="0"/>
              <w:rPr>
                <w:rFonts w:hint="default" w:ascii="Times New Roman" w:hAnsi="Times New Roman" w:eastAsia="宋体" w:cs="Times New Roman"/>
                <w:color w:val="000000"/>
                <w:sz w:val="22"/>
                <w:szCs w:val="22"/>
                <w:lang w:eastAsia="zh-CN"/>
              </w:rPr>
            </w:pPr>
            <w:r>
              <w:rPr>
                <w:rFonts w:hint="default" w:ascii="Times New Roman" w:hAnsi="Times New Roman" w:eastAsia="宋体" w:cs="Times New Roman"/>
                <w:color w:val="000000"/>
                <w:sz w:val="22"/>
                <w:szCs w:val="22"/>
                <w:lang w:val="en-US" w:eastAsia="zh-CN"/>
              </w:rPr>
              <w:t>7.3双方约定，乙方迟延交付达到 30 天的，甲方可以终止、解除合同，并要求乙方承担延期赔偿。</w:t>
            </w:r>
          </w:p>
        </w:tc>
      </w:tr>
      <w:tr w14:paraId="49F2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438" w:type="dxa"/>
            <w:vMerge w:val="continue"/>
            <w:tcBorders>
              <w:tl2br w:val="nil"/>
              <w:tr2bl w:val="nil"/>
            </w:tcBorders>
            <w:shd w:val="clear" w:color="auto" w:fill="auto"/>
            <w:vAlign w:val="center"/>
          </w:tcPr>
          <w:p w14:paraId="3A0A60DF">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1AE75515">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p>
        </w:tc>
        <w:tc>
          <w:tcPr>
            <w:tcW w:w="7044" w:type="dxa"/>
            <w:tcBorders>
              <w:tl2br w:val="nil"/>
              <w:tr2bl w:val="nil"/>
            </w:tcBorders>
            <w:shd w:val="clear" w:color="auto" w:fill="auto"/>
            <w:vAlign w:val="center"/>
          </w:tcPr>
          <w:p w14:paraId="0331D6C4">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300" w:lineRule="exact"/>
              <w:ind w:right="0" w:rightChars="0" w:firstLine="0" w:firstLineChars="0"/>
              <w:textAlignment w:val="auto"/>
              <w:rPr>
                <w:rFonts w:hint="default" w:ascii="Times New Roman" w:hAnsi="Times New Roman" w:eastAsia="宋体" w:cs="Times New Roman"/>
                <w:color w:val="000000"/>
                <w:sz w:val="22"/>
                <w:szCs w:val="22"/>
                <w:lang w:val="en-US" w:eastAsia="zh-CN"/>
              </w:rPr>
            </w:pPr>
            <w:r>
              <w:rPr>
                <w:rFonts w:hint="default" w:ascii="Times New Roman" w:hAnsi="Times New Roman" w:eastAsia="宋体" w:cs="Times New Roman"/>
                <w:color w:val="000000"/>
                <w:kern w:val="2"/>
                <w:sz w:val="22"/>
                <w:szCs w:val="22"/>
                <w:lang w:val="en-US" w:eastAsia="zh-CN" w:bidi="ar-SA"/>
              </w:rPr>
              <w:t>7.4在项目建设期内，因政策和其它因素调整，导致项目建设内容和模块不能如期建设或取消，响应的建设费用根据财政决算结果进行支付。</w:t>
            </w:r>
          </w:p>
        </w:tc>
      </w:tr>
      <w:tr w14:paraId="2C3E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38" w:type="dxa"/>
            <w:tcBorders>
              <w:tl2br w:val="nil"/>
              <w:tr2bl w:val="nil"/>
            </w:tcBorders>
            <w:shd w:val="clear" w:color="auto" w:fill="auto"/>
            <w:vAlign w:val="center"/>
          </w:tcPr>
          <w:p w14:paraId="119833E7">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8</w:t>
            </w:r>
          </w:p>
        </w:tc>
        <w:tc>
          <w:tcPr>
            <w:tcW w:w="996" w:type="dxa"/>
            <w:tcBorders>
              <w:tl2br w:val="nil"/>
              <w:tr2bl w:val="nil"/>
            </w:tcBorders>
            <w:shd w:val="clear" w:color="auto" w:fill="auto"/>
            <w:vAlign w:val="center"/>
          </w:tcPr>
          <w:p w14:paraId="782D1CC7">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履约保障条款</w:t>
            </w:r>
          </w:p>
        </w:tc>
        <w:tc>
          <w:tcPr>
            <w:tcW w:w="7044" w:type="dxa"/>
            <w:tcBorders>
              <w:tl2br w:val="nil"/>
              <w:tr2bl w:val="nil"/>
            </w:tcBorders>
            <w:shd w:val="clear" w:color="auto" w:fill="auto"/>
            <w:vAlign w:val="center"/>
          </w:tcPr>
          <w:p w14:paraId="5D1860D8">
            <w:pPr>
              <w:keepNext w:val="0"/>
              <w:keepLines w:val="0"/>
              <w:pageBreakBefore w:val="0"/>
              <w:widowControl w:val="0"/>
              <w:tabs>
                <w:tab w:val="left" w:pos="351"/>
                <w:tab w:val="left" w:pos="816"/>
              </w:tabs>
              <w:kinsoku/>
              <w:wordWrap/>
              <w:overflowPunct w:val="0"/>
              <w:topLinePunct w:val="0"/>
              <w:autoSpaceDE/>
              <w:autoSpaceDN/>
              <w:bidi w:val="0"/>
              <w:adjustRightInd w:val="0"/>
              <w:snapToGrid w:val="0"/>
              <w:spacing w:line="300" w:lineRule="exact"/>
              <w:ind w:left="0" w:right="0" w:rightChars="0" w:firstLine="0" w:firstLineChars="0"/>
              <w:jc w:val="left"/>
              <w:textAlignment w:val="auto"/>
              <w:rPr>
                <w:rFonts w:hint="default" w:ascii="Times New Roman" w:hAnsi="Times New Roman" w:eastAsia="宋体" w:cs="Times New Roman"/>
                <w:color w:val="000000"/>
                <w:kern w:val="0"/>
                <w:sz w:val="22"/>
                <w:szCs w:val="22"/>
                <w:highlight w:val="yellow"/>
                <w:lang w:val="en-US" w:eastAsia="zh-CN"/>
              </w:rPr>
            </w:pPr>
            <w:r>
              <w:rPr>
                <w:rFonts w:hint="default" w:ascii="Times New Roman" w:hAnsi="Times New Roman" w:eastAsia="宋体" w:cs="Times New Roman"/>
                <w:color w:val="000000"/>
                <w:kern w:val="0"/>
                <w:sz w:val="22"/>
                <w:szCs w:val="22"/>
                <w:highlight w:val="none"/>
                <w:lang w:val="en-US" w:eastAsia="zh-CN"/>
              </w:rPr>
              <w:t>无</w:t>
            </w:r>
          </w:p>
        </w:tc>
      </w:tr>
      <w:tr w14:paraId="4D70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38" w:type="dxa"/>
            <w:vMerge w:val="restart"/>
            <w:tcBorders>
              <w:tl2br w:val="nil"/>
              <w:tr2bl w:val="nil"/>
            </w:tcBorders>
            <w:shd w:val="clear" w:color="auto" w:fill="auto"/>
            <w:vAlign w:val="center"/>
          </w:tcPr>
          <w:p w14:paraId="472EDA5E">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9</w:t>
            </w:r>
          </w:p>
        </w:tc>
        <w:tc>
          <w:tcPr>
            <w:tcW w:w="996" w:type="dxa"/>
            <w:vMerge w:val="restart"/>
            <w:tcBorders>
              <w:tl2br w:val="nil"/>
              <w:tr2bl w:val="nil"/>
            </w:tcBorders>
            <w:shd w:val="clear" w:color="auto" w:fill="auto"/>
            <w:vAlign w:val="center"/>
          </w:tcPr>
          <w:p w14:paraId="2F7788A0">
            <w:pPr>
              <w:keepNext w:val="0"/>
              <w:keepLines w:val="0"/>
              <w:pageBreakBefore w:val="0"/>
              <w:widowControl w:val="0"/>
              <w:kinsoku/>
              <w:wordWrap/>
              <w:overflowPunct w:val="0"/>
              <w:topLinePunct w:val="0"/>
              <w:autoSpaceDE/>
              <w:autoSpaceDN/>
              <w:bidi w:val="0"/>
              <w:adjustRightInd w:val="0"/>
              <w:snapToGrid w:val="0"/>
              <w:spacing w:line="308" w:lineRule="exact"/>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color w:val="auto"/>
                <w:sz w:val="22"/>
                <w:szCs w:val="22"/>
              </w:rPr>
              <w:t>质量要求</w:t>
            </w:r>
          </w:p>
        </w:tc>
        <w:tc>
          <w:tcPr>
            <w:tcW w:w="7044" w:type="dxa"/>
            <w:tcBorders>
              <w:tl2br w:val="nil"/>
              <w:tr2bl w:val="nil"/>
            </w:tcBorders>
            <w:shd w:val="clear" w:color="auto" w:fill="auto"/>
            <w:vAlign w:val="center"/>
          </w:tcPr>
          <w:p w14:paraId="1E71DFAC">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rPr>
              <w:t>9.1</w:t>
            </w:r>
            <w:r>
              <w:rPr>
                <w:rFonts w:hint="default" w:ascii="Times New Roman" w:hAnsi="Times New Roman" w:eastAsia="宋体" w:cs="Times New Roman"/>
                <w:color w:val="000000"/>
                <w:kern w:val="0"/>
                <w:sz w:val="22"/>
                <w:szCs w:val="22"/>
              </w:rPr>
              <w:t>本次</w:t>
            </w:r>
            <w:r>
              <w:rPr>
                <w:rFonts w:hint="default" w:ascii="Times New Roman" w:hAnsi="Times New Roman" w:eastAsia="宋体" w:cs="Times New Roman"/>
                <w:color w:val="000000"/>
                <w:kern w:val="0"/>
                <w:sz w:val="22"/>
                <w:szCs w:val="22"/>
                <w:lang w:eastAsia="zh-CN"/>
              </w:rPr>
              <w:t>公开竞价</w:t>
            </w:r>
            <w:r>
              <w:rPr>
                <w:rFonts w:hint="default" w:ascii="Times New Roman" w:hAnsi="Times New Roman" w:eastAsia="宋体" w:cs="Times New Roman"/>
                <w:color w:val="000000"/>
                <w:kern w:val="0"/>
                <w:sz w:val="22"/>
                <w:szCs w:val="22"/>
              </w:rPr>
              <w:t>项目的产品和安装必须完全满足中华人民共和国国家质量标准及现行规范要求。</w:t>
            </w:r>
          </w:p>
        </w:tc>
      </w:tr>
      <w:tr w14:paraId="5667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438" w:type="dxa"/>
            <w:vMerge w:val="continue"/>
            <w:tcBorders>
              <w:tl2br w:val="nil"/>
              <w:tr2bl w:val="nil"/>
            </w:tcBorders>
            <w:shd w:val="clear" w:color="auto" w:fill="auto"/>
            <w:vAlign w:val="center"/>
          </w:tcPr>
          <w:p w14:paraId="23A83B05">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69C41974">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5F96B22D">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rPr>
              <w:t>9.2</w:t>
            </w:r>
            <w:r>
              <w:rPr>
                <w:rFonts w:hint="default" w:ascii="Times New Roman" w:hAnsi="Times New Roman" w:eastAsia="宋体" w:cs="Times New Roman"/>
                <w:color w:val="000000"/>
                <w:kern w:val="0"/>
                <w:sz w:val="22"/>
                <w:szCs w:val="22"/>
              </w:rPr>
              <w:t>所有设备和配件均要求是经过实际运行验证、性能稳定的全新产品，且设备上具有原制造厂商的铭牌、标志。</w:t>
            </w:r>
          </w:p>
        </w:tc>
      </w:tr>
      <w:tr w14:paraId="25B7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38" w:type="dxa"/>
            <w:vMerge w:val="continue"/>
            <w:tcBorders>
              <w:tl2br w:val="nil"/>
              <w:tr2bl w:val="nil"/>
            </w:tcBorders>
            <w:shd w:val="clear" w:color="auto" w:fill="auto"/>
            <w:vAlign w:val="center"/>
          </w:tcPr>
          <w:p w14:paraId="6ACADB70">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6D59768D">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6F08F36C">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rPr>
              <w:t>9.3</w:t>
            </w:r>
            <w:r>
              <w:rPr>
                <w:rFonts w:hint="default" w:ascii="Times New Roman" w:hAnsi="Times New Roman" w:eastAsia="宋体" w:cs="Times New Roman"/>
                <w:color w:val="000000"/>
                <w:kern w:val="0"/>
                <w:sz w:val="22"/>
                <w:szCs w:val="22"/>
              </w:rPr>
              <w:t>如有在本</w:t>
            </w:r>
            <w:r>
              <w:rPr>
                <w:rFonts w:hint="default" w:ascii="Times New Roman" w:hAnsi="Times New Roman" w:eastAsia="宋体" w:cs="Times New Roman"/>
                <w:color w:val="000000"/>
                <w:kern w:val="0"/>
                <w:sz w:val="22"/>
                <w:szCs w:val="22"/>
                <w:lang w:eastAsia="zh-CN"/>
              </w:rPr>
              <w:t>公开</w:t>
            </w:r>
            <w:r>
              <w:rPr>
                <w:rFonts w:hint="default" w:ascii="Times New Roman" w:hAnsi="Times New Roman" w:eastAsia="宋体" w:cs="Times New Roman"/>
                <w:color w:val="000000"/>
                <w:kern w:val="0"/>
                <w:sz w:val="22"/>
                <w:szCs w:val="22"/>
                <w:lang w:val="en-US" w:eastAsia="zh-CN"/>
              </w:rPr>
              <w:t>竞</w:t>
            </w:r>
            <w:r>
              <w:rPr>
                <w:rFonts w:hint="default" w:ascii="Times New Roman" w:hAnsi="Times New Roman" w:eastAsia="宋体" w:cs="Times New Roman"/>
                <w:color w:val="000000"/>
                <w:kern w:val="0"/>
                <w:sz w:val="22"/>
                <w:szCs w:val="22"/>
                <w:lang w:eastAsia="zh-CN"/>
              </w:rPr>
              <w:t>价</w:t>
            </w:r>
            <w:r>
              <w:rPr>
                <w:rFonts w:hint="default" w:ascii="Times New Roman" w:hAnsi="Times New Roman" w:eastAsia="宋体" w:cs="Times New Roman"/>
                <w:color w:val="000000"/>
                <w:kern w:val="0"/>
                <w:sz w:val="22"/>
                <w:szCs w:val="22"/>
              </w:rPr>
              <w:t>文件中未说明的设备运行所必须的其他辅助设备及软件系统，请在</w:t>
            </w:r>
            <w:r>
              <w:rPr>
                <w:rFonts w:hint="default" w:ascii="Times New Roman" w:hAnsi="Times New Roman" w:eastAsia="宋体" w:cs="Times New Roman"/>
                <w:color w:val="000000"/>
                <w:kern w:val="0"/>
                <w:sz w:val="22"/>
                <w:szCs w:val="22"/>
                <w:lang w:eastAsia="zh-CN"/>
              </w:rPr>
              <w:t>响应</w:t>
            </w:r>
            <w:r>
              <w:rPr>
                <w:rFonts w:hint="default" w:ascii="Times New Roman" w:hAnsi="Times New Roman" w:eastAsia="宋体" w:cs="Times New Roman"/>
                <w:color w:val="000000"/>
                <w:kern w:val="0"/>
                <w:sz w:val="22"/>
                <w:szCs w:val="22"/>
              </w:rPr>
              <w:t>文件中提供详细说明及相关报价。</w:t>
            </w:r>
          </w:p>
        </w:tc>
      </w:tr>
      <w:tr w14:paraId="6A45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38" w:type="dxa"/>
            <w:vMerge w:val="continue"/>
            <w:tcBorders>
              <w:tl2br w:val="nil"/>
              <w:tr2bl w:val="nil"/>
            </w:tcBorders>
            <w:shd w:val="clear" w:color="auto" w:fill="auto"/>
            <w:vAlign w:val="center"/>
          </w:tcPr>
          <w:p w14:paraId="7A092B9A">
            <w:pPr>
              <w:keepNext w:val="0"/>
              <w:keepLines w:val="0"/>
              <w:pageBreakBefore w:val="0"/>
              <w:numPr>
                <w:ilvl w:val="0"/>
                <w:numId w:val="13"/>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193BC51D">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3DB655F4">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9.4</w:t>
            </w:r>
            <w:r>
              <w:rPr>
                <w:rFonts w:hint="default" w:ascii="Times New Roman" w:hAnsi="Times New Roman" w:eastAsia="宋体" w:cs="Times New Roman"/>
                <w:color w:val="000000"/>
                <w:sz w:val="22"/>
                <w:szCs w:val="22"/>
                <w:highlight w:val="none"/>
                <w:lang w:eastAsia="zh-CN"/>
              </w:rPr>
              <w:t>竞价人在竞价及成交后，发生侵犯专利权的行为时，其侵权责任与委托人无关，应由竞价人承担相应的责任，并不得影响委托人的利益。</w:t>
            </w:r>
          </w:p>
        </w:tc>
      </w:tr>
      <w:tr w14:paraId="0949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2" w:hRule="atLeast"/>
          <w:jc w:val="center"/>
        </w:trPr>
        <w:tc>
          <w:tcPr>
            <w:tcW w:w="438" w:type="dxa"/>
            <w:tcBorders>
              <w:tl2br w:val="nil"/>
              <w:tr2bl w:val="nil"/>
            </w:tcBorders>
            <w:shd w:val="clear" w:color="auto" w:fill="auto"/>
            <w:vAlign w:val="center"/>
          </w:tcPr>
          <w:p w14:paraId="50E5B563">
            <w:pPr>
              <w:keepNext w:val="0"/>
              <w:keepLines w:val="0"/>
              <w:pageBreakBefore w:val="0"/>
              <w:numPr>
                <w:ilvl w:val="-1"/>
                <w:numId w:val="0"/>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lang w:val="en-US" w:eastAsia="zh-CN"/>
              </w:rPr>
            </w:pPr>
            <w:r>
              <w:rPr>
                <w:rFonts w:hint="default" w:ascii="Times New Roman" w:hAnsi="Times New Roman" w:eastAsia="宋体" w:cs="Times New Roman"/>
                <w:b w:val="0"/>
                <w:bCs/>
                <w:color w:val="auto"/>
                <w:sz w:val="22"/>
                <w:szCs w:val="22"/>
                <w:lang w:val="en-US" w:eastAsia="zh-CN"/>
              </w:rPr>
              <w:t>10</w:t>
            </w:r>
          </w:p>
        </w:tc>
        <w:tc>
          <w:tcPr>
            <w:tcW w:w="996" w:type="dxa"/>
            <w:tcBorders>
              <w:tl2br w:val="nil"/>
              <w:tr2bl w:val="nil"/>
            </w:tcBorders>
            <w:shd w:val="clear" w:color="auto" w:fill="auto"/>
            <w:vAlign w:val="center"/>
          </w:tcPr>
          <w:p w14:paraId="36A9F4F7">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lang w:val="en-US" w:eastAsia="zh-CN"/>
              </w:rPr>
            </w:pPr>
            <w:r>
              <w:rPr>
                <w:rFonts w:hint="default" w:ascii="Times New Roman" w:hAnsi="Times New Roman" w:eastAsia="宋体" w:cs="Times New Roman"/>
                <w:b w:val="0"/>
                <w:bCs/>
                <w:color w:val="auto"/>
                <w:kern w:val="0"/>
                <w:sz w:val="22"/>
                <w:szCs w:val="22"/>
                <w:lang w:val="en-US" w:eastAsia="zh-CN"/>
              </w:rPr>
              <w:t>售后服务</w:t>
            </w:r>
          </w:p>
        </w:tc>
        <w:tc>
          <w:tcPr>
            <w:tcW w:w="7044" w:type="dxa"/>
            <w:tcBorders>
              <w:tl2br w:val="nil"/>
              <w:tr2bl w:val="nil"/>
            </w:tcBorders>
            <w:shd w:val="clear" w:color="auto" w:fill="auto"/>
            <w:vAlign w:val="center"/>
          </w:tcPr>
          <w:p w14:paraId="63A9E971">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10.</w:t>
            </w:r>
            <w:r>
              <w:rPr>
                <w:rFonts w:hint="default" w:ascii="Times New Roman" w:hAnsi="Times New Roman" w:eastAsia="宋体" w:cs="Times New Roman"/>
                <w:color w:val="000000"/>
                <w:sz w:val="22"/>
                <w:szCs w:val="22"/>
                <w:highlight w:val="none"/>
                <w:lang w:eastAsia="zh-CN"/>
              </w:rPr>
              <w:t>1</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要严格按照</w:t>
            </w:r>
            <w:r>
              <w:rPr>
                <w:rFonts w:hint="default" w:ascii="Times New Roman" w:hAnsi="Times New Roman" w:eastAsia="宋体" w:cs="Times New Roman"/>
                <w:color w:val="000000"/>
                <w:sz w:val="22"/>
                <w:szCs w:val="22"/>
                <w:highlight w:val="none"/>
                <w:lang w:val="en-US" w:eastAsia="zh-CN"/>
              </w:rPr>
              <w:t>甲方</w:t>
            </w:r>
            <w:r>
              <w:rPr>
                <w:rFonts w:hint="default" w:ascii="Times New Roman" w:hAnsi="Times New Roman" w:eastAsia="宋体" w:cs="Times New Roman"/>
                <w:color w:val="000000"/>
                <w:sz w:val="22"/>
                <w:szCs w:val="22"/>
                <w:highlight w:val="none"/>
                <w:lang w:eastAsia="zh-CN"/>
              </w:rPr>
              <w:t>要求提供售后服务，建立专门的售后服务小组，并配备相应的专业技术人员和设施设备。</w:t>
            </w:r>
          </w:p>
          <w:p w14:paraId="547EE05B">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10.</w:t>
            </w:r>
            <w:r>
              <w:rPr>
                <w:rFonts w:hint="default" w:ascii="Times New Roman" w:hAnsi="Times New Roman" w:eastAsia="宋体" w:cs="Times New Roman"/>
                <w:color w:val="000000"/>
                <w:sz w:val="22"/>
                <w:szCs w:val="22"/>
                <w:highlight w:val="none"/>
                <w:lang w:eastAsia="zh-CN"/>
              </w:rPr>
              <w:t>2 在质保期内必须为最终用户提供全天候的技术服务支持，负责解答用户在产品使用中遇到的问题，并及时提出解决问题的建议和操作方法。技术服务热线支持应是中文服务。</w:t>
            </w:r>
          </w:p>
          <w:p w14:paraId="61F86430">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10.</w:t>
            </w:r>
            <w:r>
              <w:rPr>
                <w:rFonts w:hint="default" w:ascii="Times New Roman" w:hAnsi="Times New Roman" w:eastAsia="宋体" w:cs="Times New Roman"/>
                <w:color w:val="000000"/>
                <w:sz w:val="22"/>
                <w:szCs w:val="22"/>
                <w:highlight w:val="none"/>
                <w:lang w:eastAsia="zh-CN"/>
              </w:rPr>
              <w:t>3 所投的产品在质量保证期内使用发生故障时，</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在接到</w:t>
            </w:r>
            <w:r>
              <w:rPr>
                <w:rFonts w:hint="default" w:ascii="Times New Roman" w:hAnsi="Times New Roman" w:eastAsia="宋体" w:cs="Times New Roman"/>
                <w:color w:val="000000"/>
                <w:sz w:val="22"/>
                <w:szCs w:val="22"/>
                <w:highlight w:val="none"/>
                <w:lang w:val="en-US" w:eastAsia="zh-CN"/>
              </w:rPr>
              <w:t>甲方</w:t>
            </w:r>
            <w:r>
              <w:rPr>
                <w:rFonts w:hint="default" w:ascii="Times New Roman" w:hAnsi="Times New Roman" w:eastAsia="宋体" w:cs="Times New Roman"/>
                <w:color w:val="000000"/>
                <w:sz w:val="22"/>
                <w:szCs w:val="22"/>
                <w:highlight w:val="none"/>
                <w:lang w:eastAsia="zh-CN"/>
              </w:rPr>
              <w:t>故障通知后应及时响应（2小时响应，24小时内解决问题），不得影响正常使用（如果不能及时解决，应及时提供备件替代直至问题解决），所发生的一切费用由</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承担。</w:t>
            </w:r>
          </w:p>
          <w:p w14:paraId="09673D8A">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val="en-US" w:eastAsia="zh-CN"/>
              </w:rPr>
            </w:pPr>
            <w:r>
              <w:rPr>
                <w:rFonts w:hint="default" w:ascii="Times New Roman" w:hAnsi="Times New Roman" w:eastAsia="宋体" w:cs="Times New Roman"/>
                <w:color w:val="000000"/>
                <w:sz w:val="22"/>
                <w:szCs w:val="22"/>
                <w:highlight w:val="none"/>
                <w:lang w:val="en-US" w:eastAsia="zh-CN"/>
              </w:rPr>
              <w:t>10.</w:t>
            </w:r>
            <w:r>
              <w:rPr>
                <w:rFonts w:hint="default" w:ascii="Times New Roman" w:hAnsi="Times New Roman" w:eastAsia="宋体" w:cs="Times New Roman"/>
                <w:color w:val="000000"/>
                <w:sz w:val="22"/>
                <w:szCs w:val="22"/>
                <w:highlight w:val="none"/>
                <w:lang w:eastAsia="zh-CN"/>
              </w:rPr>
              <w:t>4 售后服务人员必须树立让用户满意是检验服务工作的最终标准的服务理念，要竭尽全力为用户服务。在服务过程中，积极、热情、耐心地解答用户提出的各种问题，认真传授维修保养常识。</w:t>
            </w:r>
          </w:p>
        </w:tc>
      </w:tr>
      <w:tr w14:paraId="76DC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438" w:type="dxa"/>
            <w:tcBorders>
              <w:tl2br w:val="nil"/>
              <w:tr2bl w:val="nil"/>
            </w:tcBorders>
            <w:shd w:val="clear" w:color="auto" w:fill="auto"/>
            <w:vAlign w:val="center"/>
          </w:tcPr>
          <w:p w14:paraId="5F36DFAE">
            <w:pPr>
              <w:keepNext w:val="0"/>
              <w:keepLines w:val="0"/>
              <w:pageBreakBefore w:val="0"/>
              <w:numPr>
                <w:ilvl w:val="-1"/>
                <w:numId w:val="0"/>
              </w:numPr>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lang w:val="en-US" w:eastAsia="zh-CN"/>
              </w:rPr>
            </w:pPr>
            <w:r>
              <w:rPr>
                <w:rFonts w:hint="default" w:ascii="Times New Roman" w:hAnsi="Times New Roman" w:eastAsia="宋体" w:cs="Times New Roman"/>
                <w:b w:val="0"/>
                <w:bCs/>
                <w:color w:val="auto"/>
                <w:sz w:val="22"/>
                <w:szCs w:val="22"/>
                <w:lang w:val="en-US" w:eastAsia="zh-CN"/>
              </w:rPr>
              <w:t>11</w:t>
            </w:r>
          </w:p>
        </w:tc>
        <w:tc>
          <w:tcPr>
            <w:tcW w:w="996" w:type="dxa"/>
            <w:tcBorders>
              <w:tl2br w:val="nil"/>
              <w:tr2bl w:val="nil"/>
            </w:tcBorders>
            <w:shd w:val="clear" w:color="auto" w:fill="auto"/>
            <w:vAlign w:val="center"/>
          </w:tcPr>
          <w:p w14:paraId="70159313">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lang w:val="en-US" w:eastAsia="zh-CN"/>
              </w:rPr>
            </w:pPr>
            <w:r>
              <w:rPr>
                <w:rFonts w:hint="default" w:ascii="Times New Roman" w:hAnsi="Times New Roman" w:eastAsia="宋体" w:cs="Times New Roman"/>
                <w:b w:val="0"/>
                <w:bCs/>
                <w:color w:val="auto"/>
                <w:kern w:val="0"/>
                <w:sz w:val="22"/>
                <w:szCs w:val="22"/>
                <w:lang w:val="en-US" w:eastAsia="zh-CN"/>
              </w:rPr>
              <w:t>培训服务</w:t>
            </w:r>
          </w:p>
        </w:tc>
        <w:tc>
          <w:tcPr>
            <w:tcW w:w="7044" w:type="dxa"/>
            <w:tcBorders>
              <w:tl2br w:val="nil"/>
              <w:tr2bl w:val="nil"/>
            </w:tcBorders>
            <w:shd w:val="clear" w:color="auto" w:fill="auto"/>
            <w:vAlign w:val="center"/>
          </w:tcPr>
          <w:p w14:paraId="3ED07921">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kern w:val="0"/>
                <w:sz w:val="22"/>
                <w:lang w:val="en-US" w:eastAsia="zh-CN"/>
              </w:rPr>
              <w:t>1</w:t>
            </w:r>
            <w:r>
              <w:rPr>
                <w:rFonts w:hint="default" w:ascii="Times New Roman" w:hAnsi="Times New Roman" w:eastAsia="宋体" w:cs="Times New Roman"/>
                <w:color w:val="000000"/>
                <w:sz w:val="22"/>
                <w:szCs w:val="22"/>
                <w:highlight w:val="none"/>
                <w:lang w:val="en-US" w:eastAsia="zh-CN"/>
              </w:rPr>
              <w:t>1.</w:t>
            </w:r>
            <w:r>
              <w:rPr>
                <w:rFonts w:hint="default" w:ascii="Times New Roman" w:hAnsi="Times New Roman" w:eastAsia="宋体" w:cs="Times New Roman"/>
                <w:color w:val="000000"/>
                <w:sz w:val="22"/>
                <w:szCs w:val="22"/>
                <w:highlight w:val="none"/>
                <w:lang w:eastAsia="zh-CN"/>
              </w:rPr>
              <w:t>1</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负责为</w:t>
            </w:r>
            <w:r>
              <w:rPr>
                <w:rFonts w:hint="default" w:ascii="Times New Roman" w:hAnsi="Times New Roman" w:eastAsia="宋体" w:cs="Times New Roman"/>
                <w:color w:val="000000"/>
                <w:sz w:val="22"/>
                <w:szCs w:val="22"/>
                <w:highlight w:val="none"/>
                <w:lang w:val="en-US" w:eastAsia="zh-CN"/>
              </w:rPr>
              <w:t>甲方</w:t>
            </w:r>
            <w:r>
              <w:rPr>
                <w:rFonts w:hint="default" w:ascii="Times New Roman" w:hAnsi="Times New Roman" w:eastAsia="宋体" w:cs="Times New Roman"/>
                <w:color w:val="000000"/>
                <w:sz w:val="22"/>
                <w:szCs w:val="22"/>
                <w:highlight w:val="none"/>
                <w:lang w:eastAsia="zh-CN"/>
              </w:rPr>
              <w:t>指定的有关技术人员提供维护、维修、现场使用培训。</w:t>
            </w:r>
          </w:p>
          <w:p w14:paraId="70401E1A">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11.</w:t>
            </w:r>
            <w:r>
              <w:rPr>
                <w:rFonts w:hint="default" w:ascii="Times New Roman" w:hAnsi="Times New Roman" w:eastAsia="宋体" w:cs="Times New Roman"/>
                <w:color w:val="000000"/>
                <w:sz w:val="22"/>
                <w:szCs w:val="22"/>
                <w:highlight w:val="none"/>
                <w:lang w:eastAsia="zh-CN"/>
              </w:rPr>
              <w:t>2</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向</w:t>
            </w:r>
            <w:r>
              <w:rPr>
                <w:rFonts w:hint="default" w:ascii="Times New Roman" w:hAnsi="Times New Roman" w:eastAsia="宋体" w:cs="Times New Roman"/>
                <w:color w:val="000000"/>
                <w:sz w:val="22"/>
                <w:szCs w:val="22"/>
                <w:highlight w:val="none"/>
                <w:lang w:val="en-US" w:eastAsia="zh-CN"/>
              </w:rPr>
              <w:t>甲方</w:t>
            </w:r>
            <w:r>
              <w:rPr>
                <w:rFonts w:hint="default" w:ascii="Times New Roman" w:hAnsi="Times New Roman" w:eastAsia="宋体" w:cs="Times New Roman"/>
                <w:color w:val="000000"/>
                <w:sz w:val="22"/>
                <w:szCs w:val="22"/>
                <w:highlight w:val="none"/>
                <w:lang w:eastAsia="zh-CN"/>
              </w:rPr>
              <w:t>技术人员提供的维护、维修、使用培训不少于两次。</w:t>
            </w:r>
          </w:p>
          <w:p w14:paraId="50C574F7">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11.</w:t>
            </w:r>
            <w:r>
              <w:rPr>
                <w:rFonts w:hint="default" w:ascii="Times New Roman" w:hAnsi="Times New Roman" w:eastAsia="宋体" w:cs="Times New Roman"/>
                <w:color w:val="000000"/>
                <w:sz w:val="22"/>
                <w:szCs w:val="22"/>
                <w:highlight w:val="none"/>
                <w:lang w:eastAsia="zh-CN"/>
              </w:rPr>
              <w:t>3</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提供详细的培训计划安排。</w:t>
            </w:r>
          </w:p>
          <w:p w14:paraId="502D1F22">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sz w:val="22"/>
                <w:szCs w:val="22"/>
                <w:highlight w:val="none"/>
                <w:lang w:eastAsia="zh-CN"/>
              </w:rPr>
            </w:pPr>
            <w:r>
              <w:rPr>
                <w:rFonts w:hint="default" w:ascii="Times New Roman" w:hAnsi="Times New Roman" w:eastAsia="宋体" w:cs="Times New Roman"/>
                <w:color w:val="000000"/>
                <w:sz w:val="22"/>
                <w:szCs w:val="22"/>
                <w:highlight w:val="none"/>
                <w:lang w:val="en-US" w:eastAsia="zh-CN"/>
              </w:rPr>
              <w:t>11.</w:t>
            </w:r>
            <w:r>
              <w:rPr>
                <w:rFonts w:hint="default" w:ascii="Times New Roman" w:hAnsi="Times New Roman" w:eastAsia="宋体" w:cs="Times New Roman"/>
                <w:color w:val="000000"/>
                <w:sz w:val="22"/>
                <w:szCs w:val="22"/>
                <w:highlight w:val="none"/>
                <w:lang w:eastAsia="zh-CN"/>
              </w:rPr>
              <w:t>4 培训内容：用户现场培训，在用户现场为操作人员、系统管理员提供系统管理、系统维护、基本操作等培训。</w:t>
            </w:r>
          </w:p>
          <w:p w14:paraId="464E219B">
            <w:pPr>
              <w:keepNext w:val="0"/>
              <w:keepLines w:val="0"/>
              <w:pageBreakBefore w:val="0"/>
              <w:numPr>
                <w:ilvl w:val="0"/>
                <w:numId w:val="0"/>
              </w:numPr>
              <w:tabs>
                <w:tab w:val="left" w:pos="351"/>
                <w:tab w:val="left" w:pos="816"/>
              </w:tabs>
              <w:kinsoku/>
              <w:wordWrap/>
              <w:overflowPunct w:val="0"/>
              <w:topLinePunct w:val="0"/>
              <w:autoSpaceDE/>
              <w:autoSpaceDN/>
              <w:bidi w:val="0"/>
              <w:adjustRightInd w:val="0"/>
              <w:snapToGrid w:val="0"/>
              <w:spacing w:line="308" w:lineRule="exact"/>
              <w:ind w:right="0" w:rightChars="0"/>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sz w:val="22"/>
                <w:szCs w:val="22"/>
                <w:highlight w:val="none"/>
                <w:lang w:val="en-US" w:eastAsia="zh-CN"/>
              </w:rPr>
              <w:t>11.</w:t>
            </w:r>
            <w:r>
              <w:rPr>
                <w:rFonts w:hint="default" w:ascii="Times New Roman" w:hAnsi="Times New Roman" w:eastAsia="宋体" w:cs="Times New Roman"/>
                <w:color w:val="000000"/>
                <w:sz w:val="22"/>
                <w:szCs w:val="22"/>
                <w:highlight w:val="none"/>
                <w:lang w:eastAsia="zh-CN"/>
              </w:rPr>
              <w:t>5</w:t>
            </w:r>
            <w:r>
              <w:rPr>
                <w:rFonts w:hint="default" w:ascii="Times New Roman" w:hAnsi="Times New Roman" w:eastAsia="宋体" w:cs="Times New Roman"/>
                <w:color w:val="000000"/>
                <w:sz w:val="22"/>
                <w:szCs w:val="22"/>
                <w:highlight w:val="none"/>
                <w:lang w:val="en-US" w:eastAsia="zh-CN"/>
              </w:rPr>
              <w:t>乙方</w:t>
            </w:r>
            <w:r>
              <w:rPr>
                <w:rFonts w:hint="default" w:ascii="Times New Roman" w:hAnsi="Times New Roman" w:eastAsia="宋体" w:cs="Times New Roman"/>
                <w:color w:val="000000"/>
                <w:sz w:val="22"/>
                <w:szCs w:val="22"/>
                <w:highlight w:val="none"/>
                <w:lang w:eastAsia="zh-CN"/>
              </w:rPr>
              <w:t>应</w:t>
            </w:r>
            <w:r>
              <w:rPr>
                <w:rFonts w:hint="default" w:ascii="Times New Roman" w:hAnsi="Times New Roman" w:eastAsia="宋体" w:cs="Times New Roman"/>
                <w:color w:val="000000"/>
                <w:kern w:val="0"/>
                <w:sz w:val="22"/>
              </w:rPr>
              <w:t>保证本系统的用户在培训后能够独立地对系统进行操作、管理和维护。</w:t>
            </w:r>
          </w:p>
          <w:p w14:paraId="06EBE136">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lang w:val="en-US" w:eastAsia="zh-CN"/>
              </w:rPr>
              <w:t>11.</w:t>
            </w:r>
            <w:r>
              <w:rPr>
                <w:rFonts w:hint="default" w:ascii="Times New Roman" w:hAnsi="Times New Roman" w:eastAsia="宋体" w:cs="Times New Roman"/>
                <w:color w:val="000000"/>
                <w:kern w:val="0"/>
                <w:sz w:val="22"/>
              </w:rPr>
              <w:t>6</w:t>
            </w:r>
            <w:r>
              <w:rPr>
                <w:rFonts w:hint="default" w:ascii="Times New Roman" w:hAnsi="Times New Roman" w:eastAsia="宋体" w:cs="Times New Roman"/>
                <w:color w:val="000000"/>
                <w:kern w:val="0"/>
                <w:sz w:val="22"/>
                <w:lang w:eastAsia="zh-CN"/>
              </w:rPr>
              <w:t xml:space="preserve"> </w:t>
            </w:r>
            <w:r>
              <w:rPr>
                <w:rFonts w:hint="default" w:ascii="Times New Roman" w:hAnsi="Times New Roman" w:eastAsia="宋体" w:cs="Times New Roman"/>
                <w:color w:val="000000"/>
                <w:kern w:val="0"/>
                <w:sz w:val="22"/>
              </w:rPr>
              <w:t>培训应包括技术培训和系统使用培训。</w:t>
            </w:r>
          </w:p>
          <w:p w14:paraId="1E511570">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lang w:val="en-US" w:eastAsia="zh-CN"/>
              </w:rPr>
              <w:t>11.</w:t>
            </w:r>
            <w:r>
              <w:rPr>
                <w:rFonts w:hint="default" w:ascii="Times New Roman" w:hAnsi="Times New Roman" w:eastAsia="宋体" w:cs="Times New Roman"/>
                <w:color w:val="000000"/>
                <w:kern w:val="0"/>
                <w:sz w:val="22"/>
              </w:rPr>
              <w:t>7</w:t>
            </w:r>
            <w:r>
              <w:rPr>
                <w:rFonts w:hint="default" w:ascii="Times New Roman" w:hAnsi="Times New Roman" w:eastAsia="宋体" w:cs="Times New Roman"/>
                <w:color w:val="000000"/>
                <w:kern w:val="0"/>
                <w:sz w:val="22"/>
                <w:lang w:eastAsia="zh-CN"/>
              </w:rPr>
              <w:t xml:space="preserve"> </w:t>
            </w:r>
            <w:r>
              <w:rPr>
                <w:rFonts w:hint="default" w:ascii="Times New Roman" w:hAnsi="Times New Roman" w:eastAsia="宋体" w:cs="Times New Roman"/>
                <w:color w:val="000000"/>
                <w:kern w:val="0"/>
                <w:sz w:val="22"/>
              </w:rPr>
              <w:t>培训教材应使用标准中文（书面）。</w:t>
            </w:r>
          </w:p>
          <w:p w14:paraId="7E0F910E">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lang w:val="en-US" w:eastAsia="zh-CN"/>
              </w:rPr>
              <w:t>11.</w:t>
            </w:r>
            <w:r>
              <w:rPr>
                <w:rFonts w:hint="default" w:ascii="Times New Roman" w:hAnsi="Times New Roman" w:eastAsia="宋体" w:cs="Times New Roman"/>
                <w:color w:val="000000"/>
                <w:kern w:val="0"/>
                <w:sz w:val="22"/>
              </w:rPr>
              <w:t>8</w:t>
            </w:r>
            <w:r>
              <w:rPr>
                <w:rFonts w:hint="default" w:ascii="Times New Roman" w:hAnsi="Times New Roman" w:eastAsia="宋体" w:cs="Times New Roman"/>
                <w:color w:val="000000"/>
                <w:kern w:val="0"/>
                <w:sz w:val="22"/>
                <w:lang w:eastAsia="zh-CN"/>
              </w:rPr>
              <w:t xml:space="preserve"> </w:t>
            </w:r>
            <w:r>
              <w:rPr>
                <w:rFonts w:hint="default" w:ascii="Times New Roman" w:hAnsi="Times New Roman" w:eastAsia="宋体" w:cs="Times New Roman"/>
                <w:color w:val="000000"/>
                <w:kern w:val="0"/>
                <w:sz w:val="22"/>
              </w:rPr>
              <w:t>培训课程应安排在整个项目计划的合适时间段内。</w:t>
            </w:r>
          </w:p>
        </w:tc>
      </w:tr>
      <w:tr w14:paraId="49F1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38" w:type="dxa"/>
            <w:vMerge w:val="restart"/>
            <w:tcBorders>
              <w:tl2br w:val="nil"/>
              <w:tr2bl w:val="nil"/>
            </w:tcBorders>
            <w:shd w:val="clear" w:color="auto" w:fill="auto"/>
            <w:vAlign w:val="center"/>
          </w:tcPr>
          <w:p w14:paraId="4FDC9A39">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lang w:eastAsia="zh-CN"/>
              </w:rPr>
            </w:pPr>
            <w:r>
              <w:rPr>
                <w:rFonts w:hint="default" w:ascii="Times New Roman" w:hAnsi="Times New Roman" w:eastAsia="宋体" w:cs="Times New Roman"/>
                <w:b w:val="0"/>
                <w:bCs/>
                <w:color w:val="auto"/>
                <w:sz w:val="22"/>
                <w:szCs w:val="22"/>
              </w:rPr>
              <w:t>1</w:t>
            </w:r>
            <w:r>
              <w:rPr>
                <w:rFonts w:hint="default" w:ascii="Times New Roman" w:hAnsi="Times New Roman" w:eastAsia="宋体" w:cs="Times New Roman"/>
                <w:b w:val="0"/>
                <w:bCs/>
                <w:color w:val="auto"/>
                <w:sz w:val="22"/>
                <w:szCs w:val="22"/>
                <w:lang w:val="en-US" w:eastAsia="zh-CN"/>
              </w:rPr>
              <w:t>2</w:t>
            </w:r>
          </w:p>
        </w:tc>
        <w:tc>
          <w:tcPr>
            <w:tcW w:w="996" w:type="dxa"/>
            <w:vMerge w:val="restart"/>
            <w:tcBorders>
              <w:tl2br w:val="nil"/>
              <w:tr2bl w:val="nil"/>
            </w:tcBorders>
            <w:shd w:val="clear" w:color="auto" w:fill="auto"/>
            <w:vAlign w:val="center"/>
          </w:tcPr>
          <w:p w14:paraId="6C403532">
            <w:pPr>
              <w:keepNext w:val="0"/>
              <w:keepLines w:val="0"/>
              <w:pageBreakBefore w:val="0"/>
              <w:widowControl w:val="0"/>
              <w:kinsoku/>
              <w:wordWrap/>
              <w:overflowPunct w:val="0"/>
              <w:topLinePunct w:val="0"/>
              <w:autoSpaceDE/>
              <w:autoSpaceDN/>
              <w:bidi w:val="0"/>
              <w:adjustRightInd w:val="0"/>
              <w:snapToGrid w:val="0"/>
              <w:spacing w:line="308" w:lineRule="exact"/>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color w:val="auto"/>
                <w:sz w:val="22"/>
                <w:szCs w:val="22"/>
              </w:rPr>
              <w:t>知识产权</w:t>
            </w:r>
          </w:p>
        </w:tc>
        <w:tc>
          <w:tcPr>
            <w:tcW w:w="7044" w:type="dxa"/>
            <w:tcBorders>
              <w:tl2br w:val="nil"/>
              <w:tr2bl w:val="nil"/>
            </w:tcBorders>
            <w:shd w:val="clear" w:color="auto" w:fill="auto"/>
            <w:vAlign w:val="center"/>
          </w:tcPr>
          <w:p w14:paraId="682DC1AD">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12.1乙方必须确保向甲方提供的服务所使用的开发平台及相关软硬件等产品均为合法获得，对因此而且可能引发的相关法律责任，由乙方自行承担。</w:t>
            </w:r>
          </w:p>
        </w:tc>
      </w:tr>
      <w:tr w14:paraId="537B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438" w:type="dxa"/>
            <w:vMerge w:val="continue"/>
            <w:tcBorders>
              <w:tl2br w:val="nil"/>
              <w:tr2bl w:val="nil"/>
            </w:tcBorders>
            <w:shd w:val="clear" w:color="auto" w:fill="auto"/>
            <w:vAlign w:val="center"/>
          </w:tcPr>
          <w:p w14:paraId="558F9454">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47F8BF7A">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09EF6955">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12.2本合同项目成果的专利申请权、版权及其他非专利技术的所有权及使用权均归甲方所有，乙方享有署名权。为保证甲方所获的知识产权的完整性，乙方应向甲方交付本合同所涉项目成果的所有数据、程序、资料、文档等。乙方须预留必要的二次开发标准接口，甲方有权在此基础上进行必要的二次开发和整合。</w:t>
            </w:r>
          </w:p>
        </w:tc>
      </w:tr>
      <w:tr w14:paraId="41E0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38" w:type="dxa"/>
            <w:vMerge w:val="continue"/>
            <w:tcBorders>
              <w:tl2br w:val="nil"/>
              <w:tr2bl w:val="nil"/>
            </w:tcBorders>
            <w:shd w:val="clear" w:color="auto" w:fill="auto"/>
            <w:vAlign w:val="center"/>
          </w:tcPr>
          <w:p w14:paraId="2D6E54A2">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5D4A446C">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05F75DDA">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12.3乙方为甲方提供的并且已被支付的全部产品的使用权均属甲方所有。</w:t>
            </w:r>
          </w:p>
        </w:tc>
      </w:tr>
      <w:tr w14:paraId="1062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438" w:type="dxa"/>
            <w:vMerge w:val="continue"/>
            <w:tcBorders>
              <w:tl2br w:val="nil"/>
              <w:tr2bl w:val="nil"/>
            </w:tcBorders>
            <w:shd w:val="clear" w:color="auto" w:fill="auto"/>
            <w:vAlign w:val="center"/>
          </w:tcPr>
          <w:p w14:paraId="558C3FD4">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firstLine="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37A2D896">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4CB46B65">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12.4任何一方除非是为了履行本合同需要否则未经对方书面同意不得向本合同以外的第三方提供本合同项目应用软件的执行程序和全部源代码，国家法律法规规定的除外。</w:t>
            </w:r>
          </w:p>
        </w:tc>
      </w:tr>
      <w:tr w14:paraId="2CEF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38" w:type="dxa"/>
            <w:vMerge w:val="continue"/>
            <w:tcBorders>
              <w:tl2br w:val="nil"/>
              <w:tr2bl w:val="nil"/>
            </w:tcBorders>
            <w:shd w:val="clear" w:color="auto" w:fill="auto"/>
            <w:vAlign w:val="center"/>
          </w:tcPr>
          <w:p w14:paraId="1A0BED1B">
            <w:pPr>
              <w:keepNext w:val="0"/>
              <w:keepLines w:val="0"/>
              <w:pageBreakBefore w:val="0"/>
              <w:numPr>
                <w:ilvl w:val="0"/>
                <w:numId w:val="0"/>
              </w:numPr>
              <w:tabs>
                <w:tab w:val="left" w:pos="102"/>
              </w:tabs>
              <w:kinsoku/>
              <w:wordWrap/>
              <w:overflowPunct w:val="0"/>
              <w:topLinePunct w:val="0"/>
              <w:autoSpaceDE/>
              <w:autoSpaceDN/>
              <w:bidi w:val="0"/>
              <w:adjustRightInd w:val="0"/>
              <w:snapToGrid w:val="0"/>
              <w:spacing w:line="308" w:lineRule="exact"/>
              <w:ind w:leftChars="0" w:right="0" w:rightChars="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5BB9A2C2">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7B988FC2">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12.5在本合同有效期内，任何一方或双方对合同标的的技术成果所作的革新和改进，双方约定，本合同标的的技术成果后续改进的成果归甲方享有。</w:t>
            </w:r>
          </w:p>
        </w:tc>
      </w:tr>
      <w:tr w14:paraId="442B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38" w:type="dxa"/>
            <w:vMerge w:val="continue"/>
            <w:tcBorders>
              <w:tl2br w:val="nil"/>
              <w:tr2bl w:val="nil"/>
            </w:tcBorders>
            <w:shd w:val="clear" w:color="auto" w:fill="auto"/>
            <w:vAlign w:val="center"/>
          </w:tcPr>
          <w:p w14:paraId="70207B31">
            <w:pPr>
              <w:keepNext w:val="0"/>
              <w:keepLines w:val="0"/>
              <w:pageBreakBefore w:val="0"/>
              <w:numPr>
                <w:ilvl w:val="0"/>
                <w:numId w:val="0"/>
              </w:numPr>
              <w:tabs>
                <w:tab w:val="left" w:pos="102"/>
              </w:tabs>
              <w:kinsoku/>
              <w:wordWrap/>
              <w:overflowPunct w:val="0"/>
              <w:topLinePunct w:val="0"/>
              <w:autoSpaceDE/>
              <w:autoSpaceDN/>
              <w:bidi w:val="0"/>
              <w:adjustRightInd w:val="0"/>
              <w:snapToGrid w:val="0"/>
              <w:spacing w:line="308" w:lineRule="exact"/>
              <w:ind w:leftChars="0" w:right="0" w:rightChars="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29DFBC67">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066CFB30">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12.6甲方在今后的业务发展中，可以将平台软件系统安装部署在其他地点，乙方应无条件提供完善的技术支持。</w:t>
            </w:r>
          </w:p>
        </w:tc>
      </w:tr>
      <w:tr w14:paraId="704A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438" w:type="dxa"/>
            <w:vMerge w:val="continue"/>
            <w:tcBorders>
              <w:tl2br w:val="nil"/>
              <w:tr2bl w:val="nil"/>
            </w:tcBorders>
            <w:shd w:val="clear" w:color="auto" w:fill="auto"/>
            <w:vAlign w:val="center"/>
          </w:tcPr>
          <w:p w14:paraId="4F907641">
            <w:pPr>
              <w:keepNext w:val="0"/>
              <w:keepLines w:val="0"/>
              <w:pageBreakBefore w:val="0"/>
              <w:numPr>
                <w:ilvl w:val="0"/>
                <w:numId w:val="0"/>
              </w:numPr>
              <w:tabs>
                <w:tab w:val="left" w:pos="102"/>
              </w:tabs>
              <w:kinsoku/>
              <w:wordWrap/>
              <w:overflowPunct w:val="0"/>
              <w:topLinePunct w:val="0"/>
              <w:autoSpaceDE/>
              <w:autoSpaceDN/>
              <w:bidi w:val="0"/>
              <w:adjustRightInd w:val="0"/>
              <w:snapToGrid w:val="0"/>
              <w:spacing w:line="308" w:lineRule="exact"/>
              <w:ind w:leftChars="0" w:right="0" w:rightChars="0"/>
              <w:jc w:val="center"/>
              <w:rPr>
                <w:rFonts w:hint="default" w:ascii="Times New Roman" w:hAnsi="Times New Roman" w:eastAsia="宋体" w:cs="Times New Roman"/>
                <w:b w:val="0"/>
                <w:bCs/>
                <w:color w:val="auto"/>
                <w:sz w:val="22"/>
                <w:szCs w:val="22"/>
              </w:rPr>
            </w:pPr>
          </w:p>
        </w:tc>
        <w:tc>
          <w:tcPr>
            <w:tcW w:w="996" w:type="dxa"/>
            <w:vMerge w:val="continue"/>
            <w:tcBorders>
              <w:tl2br w:val="nil"/>
              <w:tr2bl w:val="nil"/>
            </w:tcBorders>
            <w:shd w:val="clear" w:color="auto" w:fill="auto"/>
            <w:vAlign w:val="center"/>
          </w:tcPr>
          <w:p w14:paraId="7086F5A9">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p>
        </w:tc>
        <w:tc>
          <w:tcPr>
            <w:tcW w:w="7044" w:type="dxa"/>
            <w:tcBorders>
              <w:tl2br w:val="nil"/>
              <w:tr2bl w:val="nil"/>
            </w:tcBorders>
            <w:shd w:val="clear" w:color="auto" w:fill="auto"/>
            <w:vAlign w:val="center"/>
          </w:tcPr>
          <w:p w14:paraId="4F2EDBFE">
            <w:pPr>
              <w:keepNext w:val="0"/>
              <w:keepLines w:val="0"/>
              <w:pageBreakBefore w:val="0"/>
              <w:widowControl w:val="0"/>
              <w:numPr>
                <w:ilvl w:val="0"/>
                <w:numId w:val="0"/>
              </w:numPr>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12.7乙方为甲方提供的所有产品和技术资料需为乙方自主知识产权或其他合法途径获得，具体包括但不限于：应用程序源代码及载体、程序可执行代码及载体、技术文档等，不得侵犯第三方的相关权利，包括所有权、使用权及知识产权等权利，如涉及到侵犯第三方相关权利的，由乙方承担一切法律责任，如因此给甲方造成损失和费用的，由乙方向甲方全额赔付。乙方提供给甲方的所有文档、项目的软件产品，甲方拥有免费不受限制的使用权利。乙方需要根据采购需求提供详细项目实施方案。</w:t>
            </w:r>
          </w:p>
        </w:tc>
      </w:tr>
      <w:tr w14:paraId="24CF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438" w:type="dxa"/>
            <w:tcBorders>
              <w:tl2br w:val="nil"/>
              <w:tr2bl w:val="nil"/>
            </w:tcBorders>
            <w:shd w:val="clear" w:color="auto" w:fill="auto"/>
            <w:vAlign w:val="center"/>
          </w:tcPr>
          <w:p w14:paraId="2DA1F062">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lang w:eastAsia="zh-CN"/>
              </w:rPr>
            </w:pPr>
            <w:r>
              <w:rPr>
                <w:rFonts w:hint="default" w:ascii="Times New Roman" w:hAnsi="Times New Roman" w:eastAsia="宋体" w:cs="Times New Roman"/>
                <w:b w:val="0"/>
                <w:bCs/>
                <w:color w:val="auto"/>
                <w:sz w:val="22"/>
                <w:szCs w:val="22"/>
              </w:rPr>
              <w:t>1</w:t>
            </w:r>
            <w:r>
              <w:rPr>
                <w:rFonts w:hint="default" w:ascii="Times New Roman" w:hAnsi="Times New Roman" w:eastAsia="宋体" w:cs="Times New Roman"/>
                <w:b w:val="0"/>
                <w:bCs/>
                <w:color w:val="auto"/>
                <w:sz w:val="22"/>
                <w:szCs w:val="22"/>
                <w:lang w:val="en-US" w:eastAsia="zh-CN"/>
              </w:rPr>
              <w:t>3</w:t>
            </w:r>
          </w:p>
        </w:tc>
        <w:tc>
          <w:tcPr>
            <w:tcW w:w="996" w:type="dxa"/>
            <w:tcBorders>
              <w:tl2br w:val="nil"/>
              <w:tr2bl w:val="nil"/>
            </w:tcBorders>
            <w:shd w:val="clear" w:color="auto" w:fill="auto"/>
            <w:vAlign w:val="center"/>
          </w:tcPr>
          <w:p w14:paraId="7113F48E">
            <w:pPr>
              <w:keepNext w:val="0"/>
              <w:keepLines w:val="0"/>
              <w:pageBreakBefore w:val="0"/>
              <w:widowControl w:val="0"/>
              <w:kinsoku/>
              <w:wordWrap/>
              <w:overflowPunct w:val="0"/>
              <w:topLinePunct w:val="0"/>
              <w:autoSpaceDE/>
              <w:autoSpaceDN/>
              <w:bidi w:val="0"/>
              <w:adjustRightInd w:val="0"/>
              <w:snapToGrid w:val="0"/>
              <w:spacing w:line="308" w:lineRule="exact"/>
              <w:jc w:val="center"/>
              <w:textAlignment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color w:val="auto"/>
                <w:kern w:val="0"/>
                <w:sz w:val="22"/>
                <w:szCs w:val="22"/>
              </w:rPr>
              <w:t>保密</w:t>
            </w:r>
          </w:p>
        </w:tc>
        <w:tc>
          <w:tcPr>
            <w:tcW w:w="7044" w:type="dxa"/>
            <w:tcBorders>
              <w:tl2br w:val="nil"/>
              <w:tr2bl w:val="nil"/>
            </w:tcBorders>
            <w:shd w:val="clear" w:color="auto" w:fill="auto"/>
            <w:vAlign w:val="center"/>
          </w:tcPr>
          <w:p w14:paraId="3811AF09">
            <w:pPr>
              <w:keepNext w:val="0"/>
              <w:keepLines w:val="0"/>
              <w:pageBreakBefore w:val="0"/>
              <w:widowControl w:val="0"/>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w:t>
            </w:r>
            <w:r>
              <w:rPr>
                <w:rFonts w:hint="default" w:ascii="Times New Roman" w:hAnsi="Times New Roman" w:eastAsia="宋体" w:cs="Times New Roman"/>
                <w:color w:val="000000"/>
                <w:kern w:val="0"/>
                <w:sz w:val="22"/>
                <w:szCs w:val="22"/>
                <w:lang w:val="en-US" w:eastAsia="zh-CN"/>
              </w:rPr>
              <w:t>3</w:t>
            </w:r>
            <w:r>
              <w:rPr>
                <w:rFonts w:hint="default" w:ascii="Times New Roman" w:hAnsi="Times New Roman" w:eastAsia="宋体" w:cs="Times New Roman"/>
                <w:color w:val="000000"/>
                <w:kern w:val="0"/>
                <w:sz w:val="22"/>
                <w:szCs w:val="22"/>
              </w:rPr>
              <w:t>.</w:t>
            </w:r>
            <w:r>
              <w:rPr>
                <w:rFonts w:hint="default" w:ascii="Times New Roman" w:hAnsi="Times New Roman" w:eastAsia="宋体" w:cs="Times New Roman"/>
                <w:color w:val="000000"/>
                <w:kern w:val="0"/>
                <w:sz w:val="22"/>
                <w:szCs w:val="22"/>
                <w:lang w:val="en-US" w:eastAsia="zh-CN"/>
              </w:rPr>
              <w:t>1</w:t>
            </w:r>
            <w:r>
              <w:rPr>
                <w:rFonts w:hint="default" w:ascii="Times New Roman" w:hAnsi="Times New Roman" w:eastAsia="宋体" w:cs="Times New Roman"/>
                <w:color w:val="000000"/>
                <w:kern w:val="0"/>
                <w:sz w:val="22"/>
                <w:szCs w:val="22"/>
              </w:rPr>
              <w:t>乙方有权依据合同约定和项目需要，向甲方了解有关情况，调阅有关资料等，甲方应予积极配合。</w:t>
            </w:r>
          </w:p>
          <w:p w14:paraId="32082D15">
            <w:pPr>
              <w:keepNext w:val="0"/>
              <w:keepLines w:val="0"/>
              <w:pageBreakBefore w:val="0"/>
              <w:widowControl w:val="0"/>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w:t>
            </w:r>
            <w:r>
              <w:rPr>
                <w:rFonts w:hint="default" w:ascii="Times New Roman" w:hAnsi="Times New Roman" w:eastAsia="宋体" w:cs="Times New Roman"/>
                <w:color w:val="000000"/>
                <w:kern w:val="0"/>
                <w:sz w:val="22"/>
                <w:szCs w:val="22"/>
                <w:lang w:val="en-US" w:eastAsia="zh-CN"/>
              </w:rPr>
              <w:t>3.2</w:t>
            </w:r>
            <w:r>
              <w:rPr>
                <w:rFonts w:hint="default" w:ascii="Times New Roman" w:hAnsi="Times New Roman" w:eastAsia="宋体" w:cs="Times New Roman"/>
                <w:color w:val="000000"/>
                <w:kern w:val="0"/>
                <w:sz w:val="22"/>
                <w:szCs w:val="22"/>
              </w:rPr>
              <w:t>乙方有义务妥善保管和保护由甲方提供的前款信息和资料等，未经甲方书面同意，乙方不得复制、记录或以其他方式泄露所了解的甲方的秘密。</w:t>
            </w:r>
          </w:p>
          <w:p w14:paraId="24AF8F15">
            <w:pPr>
              <w:keepNext w:val="0"/>
              <w:keepLines w:val="0"/>
              <w:pageBreakBefore w:val="0"/>
              <w:widowControl w:val="0"/>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rPr>
              <w:t>1</w:t>
            </w:r>
            <w:r>
              <w:rPr>
                <w:rFonts w:hint="default" w:ascii="Times New Roman" w:hAnsi="Times New Roman" w:eastAsia="宋体" w:cs="Times New Roman"/>
                <w:color w:val="000000"/>
                <w:kern w:val="0"/>
                <w:sz w:val="22"/>
                <w:szCs w:val="22"/>
                <w:lang w:val="en-US" w:eastAsia="zh-CN"/>
              </w:rPr>
              <w:t>3</w:t>
            </w:r>
            <w:r>
              <w:rPr>
                <w:rFonts w:hint="default" w:ascii="Times New Roman" w:hAnsi="Times New Roman" w:eastAsia="宋体" w:cs="Times New Roman"/>
                <w:color w:val="000000"/>
                <w:kern w:val="0"/>
                <w:sz w:val="22"/>
                <w:szCs w:val="22"/>
              </w:rPr>
              <w:t>.</w:t>
            </w:r>
            <w:r>
              <w:rPr>
                <w:rFonts w:hint="default" w:ascii="Times New Roman" w:hAnsi="Times New Roman" w:eastAsia="宋体" w:cs="Times New Roman"/>
                <w:color w:val="000000"/>
                <w:kern w:val="0"/>
                <w:sz w:val="22"/>
                <w:szCs w:val="22"/>
                <w:lang w:val="en-US" w:eastAsia="zh-CN"/>
              </w:rPr>
              <w:t>3</w:t>
            </w:r>
            <w:r>
              <w:rPr>
                <w:rFonts w:hint="default" w:ascii="Times New Roman" w:hAnsi="Times New Roman" w:eastAsia="宋体" w:cs="Times New Roman"/>
                <w:color w:val="000000"/>
                <w:kern w:val="0"/>
                <w:sz w:val="22"/>
                <w:szCs w:val="22"/>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2C9C150A">
            <w:pPr>
              <w:keepNext w:val="0"/>
              <w:keepLines w:val="0"/>
              <w:pageBreakBefore w:val="0"/>
              <w:widowControl w:val="0"/>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val="en-US" w:eastAsia="zh-CN"/>
              </w:rPr>
              <w:t>13.4</w:t>
            </w:r>
            <w:r>
              <w:rPr>
                <w:rFonts w:hint="default" w:ascii="Times New Roman" w:hAnsi="Times New Roman" w:eastAsia="宋体" w:cs="Times New Roman"/>
                <w:color w:val="000000"/>
                <w:kern w:val="0"/>
                <w:sz w:val="22"/>
                <w:szCs w:val="22"/>
              </w:rPr>
              <w:t>双方约定，</w:t>
            </w:r>
            <w:r>
              <w:rPr>
                <w:rFonts w:hint="default" w:ascii="Times New Roman" w:hAnsi="Times New Roman" w:eastAsia="宋体" w:cs="Times New Roman"/>
                <w:color w:val="000000"/>
                <w:kern w:val="0"/>
                <w:sz w:val="22"/>
                <w:szCs w:val="22"/>
                <w:lang w:eastAsia="zh-CN"/>
              </w:rPr>
              <w:t>根据国家保密相关法律签订保密协议</w:t>
            </w:r>
            <w:r>
              <w:rPr>
                <w:rFonts w:hint="default" w:ascii="Times New Roman" w:hAnsi="Times New Roman" w:eastAsia="宋体" w:cs="Times New Roman"/>
                <w:color w:val="000000"/>
                <w:kern w:val="0"/>
                <w:sz w:val="22"/>
                <w:szCs w:val="22"/>
              </w:rPr>
              <w:t>；如一方违反本条约定致使另一方遭受损失的，守约方有权要求违约方承担全部的损失。</w:t>
            </w:r>
          </w:p>
        </w:tc>
      </w:tr>
      <w:tr w14:paraId="2413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38" w:type="dxa"/>
            <w:tcBorders>
              <w:tl2br w:val="nil"/>
              <w:tr2bl w:val="nil"/>
            </w:tcBorders>
            <w:shd w:val="clear" w:color="auto" w:fill="auto"/>
            <w:vAlign w:val="center"/>
          </w:tcPr>
          <w:p w14:paraId="35E237C0">
            <w:pPr>
              <w:keepNext w:val="0"/>
              <w:keepLines w:val="0"/>
              <w:pageBreakBefore w:val="0"/>
              <w:tabs>
                <w:tab w:val="left" w:pos="102"/>
              </w:tabs>
              <w:kinsoku/>
              <w:wordWrap/>
              <w:overflowPunct w:val="0"/>
              <w:topLinePunct w:val="0"/>
              <w:autoSpaceDE/>
              <w:autoSpaceDN/>
              <w:bidi w:val="0"/>
              <w:adjustRightInd w:val="0"/>
              <w:snapToGrid w:val="0"/>
              <w:spacing w:line="308" w:lineRule="exact"/>
              <w:ind w:left="0" w:leftChars="0" w:right="0" w:rightChars="0"/>
              <w:jc w:val="center"/>
              <w:rPr>
                <w:rFonts w:hint="default" w:ascii="Times New Roman" w:hAnsi="Times New Roman" w:eastAsia="宋体" w:cs="Times New Roman"/>
                <w:b w:val="0"/>
                <w:bCs/>
                <w:color w:val="auto"/>
                <w:sz w:val="22"/>
                <w:szCs w:val="22"/>
                <w:lang w:eastAsia="zh-CN"/>
              </w:rPr>
            </w:pPr>
            <w:r>
              <w:rPr>
                <w:rFonts w:hint="default" w:ascii="Times New Roman" w:hAnsi="Times New Roman" w:eastAsia="宋体" w:cs="Times New Roman"/>
                <w:b w:val="0"/>
                <w:bCs/>
                <w:color w:val="auto"/>
                <w:sz w:val="22"/>
                <w:szCs w:val="22"/>
              </w:rPr>
              <w:t>1</w:t>
            </w:r>
            <w:r>
              <w:rPr>
                <w:rFonts w:hint="default" w:ascii="Times New Roman" w:hAnsi="Times New Roman" w:eastAsia="宋体" w:cs="Times New Roman"/>
                <w:b w:val="0"/>
                <w:bCs/>
                <w:color w:val="auto"/>
                <w:sz w:val="22"/>
                <w:szCs w:val="22"/>
                <w:lang w:val="en-US" w:eastAsia="zh-CN"/>
              </w:rPr>
              <w:t>4</w:t>
            </w:r>
          </w:p>
        </w:tc>
        <w:tc>
          <w:tcPr>
            <w:tcW w:w="996" w:type="dxa"/>
            <w:tcBorders>
              <w:tl2br w:val="nil"/>
              <w:tr2bl w:val="nil"/>
            </w:tcBorders>
            <w:shd w:val="clear" w:color="auto" w:fill="auto"/>
            <w:vAlign w:val="center"/>
          </w:tcPr>
          <w:p w14:paraId="32E0ACD7">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default" w:ascii="Times New Roman" w:hAnsi="Times New Roman" w:eastAsia="宋体" w:cs="Times New Roman"/>
                <w:b w:val="0"/>
                <w:bCs/>
                <w:color w:val="auto"/>
                <w:kern w:val="0"/>
                <w:sz w:val="22"/>
                <w:szCs w:val="22"/>
              </w:rPr>
            </w:pPr>
            <w:r>
              <w:rPr>
                <w:rFonts w:hint="default" w:ascii="Times New Roman" w:hAnsi="Times New Roman" w:eastAsia="宋体" w:cs="Times New Roman"/>
                <w:b w:val="0"/>
                <w:bCs/>
                <w:color w:val="auto"/>
                <w:kern w:val="0"/>
                <w:sz w:val="22"/>
                <w:szCs w:val="22"/>
              </w:rPr>
              <w:t>廉政要求</w:t>
            </w:r>
          </w:p>
        </w:tc>
        <w:tc>
          <w:tcPr>
            <w:tcW w:w="7044" w:type="dxa"/>
            <w:tcBorders>
              <w:tl2br w:val="nil"/>
              <w:tr2bl w:val="nil"/>
            </w:tcBorders>
            <w:shd w:val="clear" w:color="auto" w:fill="auto"/>
            <w:vAlign w:val="center"/>
          </w:tcPr>
          <w:p w14:paraId="53E9DB77">
            <w:pPr>
              <w:keepNext w:val="0"/>
              <w:keepLines w:val="0"/>
              <w:pageBreakBefore w:val="0"/>
              <w:widowControl w:val="0"/>
              <w:kinsoku/>
              <w:wordWrap/>
              <w:overflowPunct w:val="0"/>
              <w:topLinePunct w:val="0"/>
              <w:autoSpaceDE/>
              <w:autoSpaceDN/>
              <w:bidi w:val="0"/>
              <w:adjustRightInd w:val="0"/>
              <w:snapToGrid w:val="0"/>
              <w:spacing w:line="300" w:lineRule="exact"/>
              <w:ind w:firstLine="0" w:firstLineChars="0"/>
              <w:jc w:val="left"/>
              <w:textAlignment w:val="center"/>
              <w:rPr>
                <w:rFonts w:hint="default" w:ascii="Times New Roman" w:hAnsi="Times New Roman" w:eastAsia="宋体" w:cs="Times New Roman"/>
                <w:color w:val="000000"/>
                <w:kern w:val="0"/>
                <w:sz w:val="22"/>
                <w:szCs w:val="22"/>
              </w:rPr>
            </w:pPr>
            <w:r>
              <w:rPr>
                <w:rFonts w:hint="default" w:ascii="Times New Roman" w:hAnsi="Times New Roman" w:eastAsia="宋体" w:cs="Times New Roman"/>
                <w:color w:val="000000"/>
                <w:kern w:val="0"/>
                <w:sz w:val="22"/>
                <w:szCs w:val="22"/>
                <w:lang w:eastAsia="zh-CN"/>
              </w:rPr>
              <w:t>竞价人</w:t>
            </w:r>
            <w:r>
              <w:rPr>
                <w:rFonts w:hint="default" w:ascii="Times New Roman" w:hAnsi="Times New Roman" w:eastAsia="宋体" w:cs="Times New Roman"/>
                <w:color w:val="000000"/>
                <w:kern w:val="0"/>
                <w:sz w:val="22"/>
                <w:szCs w:val="22"/>
              </w:rPr>
              <w:t>自觉遵守廉政要求，承诺在项目招投标及实施阶段，遵守法律、法规及</w:t>
            </w:r>
            <w:r>
              <w:rPr>
                <w:rFonts w:hint="default" w:ascii="Times New Roman" w:hAnsi="Times New Roman" w:eastAsia="宋体" w:cs="Times New Roman"/>
                <w:color w:val="000000"/>
                <w:kern w:val="0"/>
                <w:sz w:val="22"/>
                <w:szCs w:val="22"/>
                <w:lang w:eastAsia="zh-CN"/>
              </w:rPr>
              <w:t>委托人</w:t>
            </w:r>
            <w:r>
              <w:rPr>
                <w:rFonts w:hint="default" w:ascii="Times New Roman" w:hAnsi="Times New Roman" w:eastAsia="宋体" w:cs="Times New Roman"/>
                <w:color w:val="000000"/>
                <w:kern w:val="0"/>
                <w:sz w:val="22"/>
                <w:szCs w:val="22"/>
              </w:rPr>
              <w:t>相关规定，自觉接受监督。如有违法、违规行为，应承担相应的法律责任，</w:t>
            </w:r>
            <w:r>
              <w:rPr>
                <w:rFonts w:hint="default" w:ascii="Times New Roman" w:hAnsi="Times New Roman" w:eastAsia="宋体" w:cs="Times New Roman"/>
                <w:color w:val="000000"/>
                <w:kern w:val="0"/>
                <w:sz w:val="22"/>
                <w:szCs w:val="22"/>
                <w:lang w:eastAsia="zh-CN"/>
              </w:rPr>
              <w:t>委托人</w:t>
            </w:r>
            <w:r>
              <w:rPr>
                <w:rFonts w:hint="default" w:ascii="Times New Roman" w:hAnsi="Times New Roman" w:eastAsia="宋体" w:cs="Times New Roman"/>
                <w:color w:val="000000"/>
                <w:kern w:val="0"/>
                <w:sz w:val="22"/>
                <w:szCs w:val="22"/>
              </w:rPr>
              <w:t>有权不予签订合同或解除合同。</w:t>
            </w:r>
          </w:p>
        </w:tc>
      </w:tr>
    </w:tbl>
    <w:p w14:paraId="49165838">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ascii="宋体" w:hAnsi="宋体"/>
          <w:b/>
          <w:bCs/>
          <w:sz w:val="24"/>
        </w:rPr>
      </w:pPr>
      <w:r>
        <w:rPr>
          <w:rFonts w:hint="eastAsia" w:ascii="宋体" w:hAnsi="宋体"/>
          <w:b/>
          <w:bCs/>
          <w:sz w:val="24"/>
          <w:u w:val="single"/>
        </w:rPr>
        <w:t>对于上述项目要求，投标人应在投标文件中进行响应，作出承诺及说明</w:t>
      </w:r>
      <w:r>
        <w:rPr>
          <w:rFonts w:hint="eastAsia" w:ascii="宋体" w:hAnsi="宋体"/>
          <w:b/>
          <w:bCs/>
          <w:sz w:val="24"/>
        </w:rPr>
        <w:t>。</w:t>
      </w:r>
    </w:p>
    <w:p w14:paraId="0E631924">
      <w:pPr>
        <w:rPr>
          <w:rFonts w:hint="eastAsia" w:ascii="宋体" w:hAnsi="宋体"/>
          <w:b/>
          <w:bCs/>
          <w:sz w:val="24"/>
        </w:rPr>
      </w:pPr>
      <w:r>
        <w:rPr>
          <w:rFonts w:hint="eastAsia" w:ascii="宋体" w:hAnsi="宋体"/>
          <w:b/>
          <w:bCs/>
          <w:sz w:val="24"/>
        </w:rPr>
        <w:br w:type="page"/>
      </w:r>
    </w:p>
    <w:p w14:paraId="73EFD144">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jc w:val="center"/>
        <w:textAlignment w:val="auto"/>
        <w:outlineLvl w:val="0"/>
        <w:rPr>
          <w:rFonts w:hint="eastAsia" w:ascii="宋体" w:hAnsi="宋体" w:eastAsia="宋体" w:cs="宋体"/>
          <w:b/>
          <w:bCs/>
          <w:color w:val="auto"/>
          <w:kern w:val="44"/>
          <w:sz w:val="30"/>
          <w:szCs w:val="48"/>
          <w:highlight w:val="none"/>
          <w:lang w:val="en-US" w:eastAsia="zh-CN" w:bidi="ar-SA"/>
        </w:rPr>
      </w:pPr>
      <w:bookmarkStart w:id="76" w:name="_Toc20718"/>
      <w:r>
        <w:rPr>
          <w:rFonts w:hint="eastAsia" w:ascii="宋体" w:hAnsi="宋体" w:eastAsia="宋体" w:cs="宋体"/>
          <w:b/>
          <w:bCs/>
          <w:color w:val="auto"/>
          <w:kern w:val="44"/>
          <w:sz w:val="30"/>
          <w:szCs w:val="48"/>
          <w:highlight w:val="none"/>
          <w:lang w:val="en-US" w:eastAsia="zh-CN" w:bidi="ar-SA"/>
        </w:rPr>
        <w:t>第四章 评审方法及标准</w:t>
      </w:r>
      <w:bookmarkEnd w:id="53"/>
      <w:bookmarkEnd w:id="54"/>
      <w:bookmarkEnd w:id="55"/>
      <w:bookmarkEnd w:id="76"/>
    </w:p>
    <w:p w14:paraId="0D4D6918">
      <w:pPr>
        <w:pStyle w:val="44"/>
        <w:keepNext w:val="0"/>
        <w:keepLines w:val="0"/>
        <w:pageBreakBefore w:val="0"/>
        <w:widowControl w:val="0"/>
        <w:kinsoku/>
        <w:wordWrap/>
        <w:overflowPunct/>
        <w:topLinePunct w:val="0"/>
        <w:autoSpaceDE/>
        <w:autoSpaceDN/>
        <w:bidi w:val="0"/>
        <w:adjustRightInd w:val="0"/>
        <w:snapToGrid w:val="0"/>
        <w:spacing w:before="0" w:beforeLines="0" w:line="300" w:lineRule="exact"/>
        <w:ind w:firstLine="480"/>
        <w:textAlignment w:val="auto"/>
        <w:rPr>
          <w:rFonts w:hint="eastAsia"/>
          <w:color w:val="auto"/>
          <w:highlight w:val="none"/>
        </w:rPr>
      </w:pPr>
    </w:p>
    <w:p w14:paraId="64617AC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highlight w:val="none"/>
        </w:rPr>
      </w:pPr>
      <w:r>
        <w:rPr>
          <w:rFonts w:hint="eastAsia"/>
          <w:color w:val="auto"/>
          <w:highlight w:val="none"/>
        </w:rPr>
        <w:t>本项目将按照</w:t>
      </w:r>
      <w:r>
        <w:rPr>
          <w:rFonts w:hint="eastAsia"/>
          <w:color w:val="auto"/>
          <w:highlight w:val="none"/>
          <w:lang w:val="en-US" w:eastAsia="zh-CN"/>
        </w:rPr>
        <w:t>谈判</w:t>
      </w:r>
      <w:r>
        <w:rPr>
          <w:rFonts w:hint="eastAsia"/>
          <w:color w:val="auto"/>
          <w:highlight w:val="none"/>
        </w:rPr>
        <w:t>文件第一至第三章的相关要求及本章的规定评审。</w:t>
      </w:r>
    </w:p>
    <w:p w14:paraId="5D80945E">
      <w:pPr>
        <w:pStyle w:val="3"/>
        <w:keepNext/>
        <w:keepLines/>
        <w:pageBreakBefore w:val="0"/>
        <w:widowControl w:val="0"/>
        <w:kinsoku/>
        <w:wordWrap/>
        <w:overflowPunct/>
        <w:topLinePunct w:val="0"/>
        <w:autoSpaceDE/>
        <w:autoSpaceDN/>
        <w:bidi w:val="0"/>
        <w:adjustRightInd/>
        <w:snapToGrid/>
        <w:spacing w:before="0" w:beforeLines="0" w:after="0" w:line="360" w:lineRule="auto"/>
        <w:jc w:val="center"/>
        <w:textAlignment w:val="auto"/>
        <w:rPr>
          <w:rFonts w:hint="eastAsia" w:ascii="宋体" w:hAnsi="宋体" w:eastAsia="宋体" w:cs="宋体"/>
          <w:b/>
          <w:bCs/>
          <w:color w:val="auto"/>
          <w:highlight w:val="none"/>
        </w:rPr>
      </w:pPr>
      <w:bookmarkStart w:id="77" w:name="_Toc25199"/>
      <w:bookmarkStart w:id="78" w:name="_Toc14340"/>
      <w:bookmarkStart w:id="79" w:name="_Toc9881"/>
      <w:bookmarkStart w:id="80" w:name="_Toc28005"/>
      <w:r>
        <w:rPr>
          <w:rFonts w:hint="eastAsia" w:ascii="宋体" w:hAnsi="宋体" w:eastAsia="宋体" w:cs="宋体"/>
          <w:b/>
          <w:bCs/>
          <w:color w:val="auto"/>
          <w:highlight w:val="none"/>
        </w:rPr>
        <w:t>第一节 资格审查</w:t>
      </w:r>
      <w:bookmarkEnd w:id="77"/>
      <w:bookmarkEnd w:id="78"/>
      <w:bookmarkEnd w:id="79"/>
      <w:bookmarkEnd w:id="80"/>
    </w:p>
    <w:p w14:paraId="2E15C1C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highlight w:val="none"/>
        </w:rPr>
        <w:t>1.1依据相关法律法规规定，由</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rPr>
        <w:t>对</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进行资格审查。资格审查表如下：</w:t>
      </w:r>
    </w:p>
    <w:p w14:paraId="4AB7AE0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资格审查表</w:t>
      </w:r>
    </w:p>
    <w:tbl>
      <w:tblPr>
        <w:tblStyle w:val="33"/>
        <w:tblW w:w="5153"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594"/>
        <w:gridCol w:w="960"/>
        <w:gridCol w:w="4639"/>
        <w:gridCol w:w="2392"/>
      </w:tblGrid>
      <w:tr w14:paraId="1D03DD0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52" w:hRule="atLeast"/>
        </w:trPr>
        <w:tc>
          <w:tcPr>
            <w:tcW w:w="346" w:type="pct"/>
            <w:tcBorders>
              <w:tl2br w:val="nil"/>
              <w:tr2bl w:val="nil"/>
            </w:tcBorders>
            <w:shd w:val="pct10" w:color="ADB9CA" w:fill="D6DCE5"/>
            <w:tcMar>
              <w:top w:w="0" w:type="dxa"/>
              <w:left w:w="0" w:type="dxa"/>
              <w:bottom w:w="0" w:type="dxa"/>
              <w:right w:w="0" w:type="dxa"/>
            </w:tcMar>
            <w:vAlign w:val="center"/>
          </w:tcPr>
          <w:p w14:paraId="6FA6828D">
            <w:pPr>
              <w:pStyle w:val="47"/>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559" w:type="pct"/>
            <w:tcBorders>
              <w:tl2br w:val="nil"/>
              <w:tr2bl w:val="nil"/>
            </w:tcBorders>
            <w:shd w:val="pct10" w:color="ADB9CA" w:fill="D6DCE5"/>
            <w:tcMar>
              <w:top w:w="0" w:type="dxa"/>
              <w:left w:w="0" w:type="dxa"/>
              <w:bottom w:w="0" w:type="dxa"/>
              <w:right w:w="0" w:type="dxa"/>
            </w:tcMar>
            <w:vAlign w:val="center"/>
          </w:tcPr>
          <w:p w14:paraId="6EFBAF00">
            <w:pPr>
              <w:pStyle w:val="47"/>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评审指标</w:t>
            </w:r>
          </w:p>
        </w:tc>
        <w:tc>
          <w:tcPr>
            <w:tcW w:w="2701" w:type="pct"/>
            <w:tcBorders>
              <w:tl2br w:val="nil"/>
              <w:tr2bl w:val="nil"/>
            </w:tcBorders>
            <w:shd w:val="pct10" w:color="ADB9CA" w:fill="D6DCE5"/>
            <w:tcMar>
              <w:top w:w="0" w:type="dxa"/>
              <w:left w:w="0" w:type="dxa"/>
              <w:bottom w:w="0" w:type="dxa"/>
              <w:right w:w="0" w:type="dxa"/>
            </w:tcMar>
            <w:vAlign w:val="center"/>
          </w:tcPr>
          <w:p w14:paraId="470F9C0D">
            <w:pPr>
              <w:pStyle w:val="47"/>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c>
          <w:tcPr>
            <w:tcW w:w="1393" w:type="pct"/>
            <w:tcBorders>
              <w:tl2br w:val="nil"/>
              <w:tr2bl w:val="nil"/>
            </w:tcBorders>
            <w:shd w:val="pct10" w:color="ADB9CA" w:fill="D6DCE5"/>
            <w:tcMar>
              <w:top w:w="0" w:type="dxa"/>
              <w:left w:w="0" w:type="dxa"/>
              <w:bottom w:w="0" w:type="dxa"/>
              <w:right w:w="0" w:type="dxa"/>
            </w:tcMar>
            <w:vAlign w:val="center"/>
          </w:tcPr>
          <w:p w14:paraId="669F5CE3">
            <w:pPr>
              <w:pStyle w:val="47"/>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格式及材料要求</w:t>
            </w:r>
          </w:p>
        </w:tc>
      </w:tr>
      <w:tr w14:paraId="1D25A59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770" w:hRule="atLeast"/>
        </w:trPr>
        <w:tc>
          <w:tcPr>
            <w:tcW w:w="346" w:type="pct"/>
            <w:tcBorders>
              <w:tl2br w:val="nil"/>
              <w:tr2bl w:val="nil"/>
            </w:tcBorders>
            <w:tcMar>
              <w:top w:w="0" w:type="dxa"/>
              <w:left w:w="0" w:type="dxa"/>
              <w:bottom w:w="0" w:type="dxa"/>
              <w:right w:w="0" w:type="dxa"/>
            </w:tcMar>
            <w:vAlign w:val="center"/>
          </w:tcPr>
          <w:p w14:paraId="595D7339">
            <w:pPr>
              <w:pStyle w:val="47"/>
              <w:keepNext w:val="0"/>
              <w:keepLines w:val="0"/>
              <w:pageBreakBefore w:val="0"/>
              <w:numPr>
                <w:ilvl w:val="0"/>
                <w:numId w:val="14"/>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193B9772">
            <w:pPr>
              <w:pStyle w:val="47"/>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营业执照</w:t>
            </w:r>
          </w:p>
        </w:tc>
        <w:tc>
          <w:tcPr>
            <w:tcW w:w="2701" w:type="pct"/>
            <w:tcBorders>
              <w:tl2br w:val="nil"/>
              <w:tr2bl w:val="nil"/>
            </w:tcBorders>
            <w:tcMar>
              <w:top w:w="0" w:type="dxa"/>
              <w:left w:w="0" w:type="dxa"/>
              <w:bottom w:w="0" w:type="dxa"/>
              <w:right w:w="0" w:type="dxa"/>
            </w:tcMar>
            <w:vAlign w:val="center"/>
          </w:tcPr>
          <w:p w14:paraId="448B074A">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为企业（包括合伙企业）的，应提供有效的“营业执照”；</w:t>
            </w:r>
          </w:p>
          <w:p w14:paraId="51A3564B">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为事业单位的，应提供有效的“事业单位法人证书”；</w:t>
            </w:r>
          </w:p>
          <w:p w14:paraId="65A0911C">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是非企业机构的，应提供有效的“执业许可证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登记证书”等证明文件；</w:t>
            </w:r>
          </w:p>
          <w:p w14:paraId="6C750206">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是个体工商户的，应提供有效的“个体工商户营业执照”；</w:t>
            </w:r>
          </w:p>
          <w:p w14:paraId="4ADEF18C">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是自然人的，应提供有效的自然人身份证明。</w:t>
            </w:r>
          </w:p>
        </w:tc>
        <w:tc>
          <w:tcPr>
            <w:tcW w:w="1393" w:type="pct"/>
            <w:tcBorders>
              <w:tl2br w:val="nil"/>
              <w:tr2bl w:val="nil"/>
            </w:tcBorders>
            <w:tcMar>
              <w:top w:w="0" w:type="dxa"/>
              <w:left w:w="0" w:type="dxa"/>
              <w:bottom w:w="0" w:type="dxa"/>
              <w:right w:w="0" w:type="dxa"/>
            </w:tcMar>
            <w:vAlign w:val="center"/>
          </w:tcPr>
          <w:p w14:paraId="1831B65D">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提供有效的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营业执照（或事业单位法人登记证书）和税务登记证的扫描件或影印件，应完整地体现出营业执照（或事业单位法人登记证书）和税务登记证的全部内容。已办理“三证合一“或”五证合一”登记的，</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rPr>
              <w:t>文件中提供营业执照（或事业单位法人登记证书）扫描件即可。</w:t>
            </w:r>
          </w:p>
        </w:tc>
      </w:tr>
      <w:tr w14:paraId="0089E4E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770" w:hRule="atLeast"/>
        </w:trPr>
        <w:tc>
          <w:tcPr>
            <w:tcW w:w="346" w:type="pct"/>
            <w:tcBorders>
              <w:tl2br w:val="nil"/>
              <w:tr2bl w:val="nil"/>
            </w:tcBorders>
            <w:tcMar>
              <w:top w:w="0" w:type="dxa"/>
              <w:left w:w="0" w:type="dxa"/>
              <w:bottom w:w="0" w:type="dxa"/>
              <w:right w:w="0" w:type="dxa"/>
            </w:tcMar>
            <w:vAlign w:val="center"/>
          </w:tcPr>
          <w:p w14:paraId="631A6A70">
            <w:pPr>
              <w:pStyle w:val="47"/>
              <w:keepNext w:val="0"/>
              <w:keepLines w:val="0"/>
              <w:pageBreakBefore w:val="0"/>
              <w:numPr>
                <w:ilvl w:val="0"/>
                <w:numId w:val="14"/>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05EB4624">
            <w:pPr>
              <w:pStyle w:val="47"/>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资格声明</w:t>
            </w:r>
          </w:p>
        </w:tc>
        <w:tc>
          <w:tcPr>
            <w:tcW w:w="2701" w:type="pct"/>
            <w:tcBorders>
              <w:tl2br w:val="nil"/>
              <w:tr2bl w:val="nil"/>
            </w:tcBorders>
            <w:tcMar>
              <w:top w:w="0" w:type="dxa"/>
              <w:left w:w="0" w:type="dxa"/>
              <w:bottom w:w="0" w:type="dxa"/>
              <w:right w:w="0" w:type="dxa"/>
            </w:tcMar>
            <w:vAlign w:val="center"/>
          </w:tcPr>
          <w:p w14:paraId="66D9ACA2">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格式、填写要求符合</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rPr>
              <w:t>文件规定并加盖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单位公章</w:t>
            </w:r>
          </w:p>
        </w:tc>
        <w:tc>
          <w:tcPr>
            <w:tcW w:w="1393" w:type="pct"/>
            <w:tcBorders>
              <w:tl2br w:val="nil"/>
              <w:tr2bl w:val="nil"/>
            </w:tcBorders>
            <w:tcMar>
              <w:top w:w="0" w:type="dxa"/>
              <w:left w:w="0" w:type="dxa"/>
              <w:bottom w:w="0" w:type="dxa"/>
              <w:right w:w="0" w:type="dxa"/>
            </w:tcMar>
            <w:vAlign w:val="center"/>
          </w:tcPr>
          <w:p w14:paraId="72CC3A02">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详见附件3-3</w:t>
            </w:r>
          </w:p>
        </w:tc>
      </w:tr>
      <w:tr w14:paraId="6C71A6F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3318" w:hRule="atLeast"/>
        </w:trPr>
        <w:tc>
          <w:tcPr>
            <w:tcW w:w="346" w:type="pct"/>
            <w:tcBorders>
              <w:tl2br w:val="nil"/>
              <w:tr2bl w:val="nil"/>
            </w:tcBorders>
            <w:tcMar>
              <w:top w:w="0" w:type="dxa"/>
              <w:left w:w="0" w:type="dxa"/>
              <w:bottom w:w="0" w:type="dxa"/>
              <w:right w:w="0" w:type="dxa"/>
            </w:tcMar>
            <w:vAlign w:val="center"/>
          </w:tcPr>
          <w:p w14:paraId="1326B9F9">
            <w:pPr>
              <w:pStyle w:val="47"/>
              <w:keepNext w:val="0"/>
              <w:keepLines w:val="0"/>
              <w:pageBreakBefore w:val="0"/>
              <w:numPr>
                <w:ilvl w:val="0"/>
                <w:numId w:val="14"/>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7B47997F">
            <w:pPr>
              <w:pStyle w:val="47"/>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信用记录</w:t>
            </w:r>
          </w:p>
        </w:tc>
        <w:tc>
          <w:tcPr>
            <w:tcW w:w="2701" w:type="pct"/>
            <w:tcBorders>
              <w:tl2br w:val="nil"/>
              <w:tr2bl w:val="nil"/>
            </w:tcBorders>
            <w:tcMar>
              <w:top w:w="0" w:type="dxa"/>
              <w:left w:w="0" w:type="dxa"/>
              <w:bottom w:w="0" w:type="dxa"/>
              <w:right w:w="0" w:type="dxa"/>
            </w:tcMar>
            <w:vAlign w:val="center"/>
          </w:tcPr>
          <w:p w14:paraId="4C41DE5C">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查询渠道：信用中国网站和中国政府采购网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www.creditchina.gov.cn、www.ccgp.gov.cn）；</w:t>
            </w:r>
          </w:p>
          <w:p w14:paraId="0194C5F8">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截止时点：报名截止时间以后、资格审查阶段</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的实际查询时间；</w:t>
            </w:r>
          </w:p>
          <w:p w14:paraId="7D4F0E00">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信用信息查询记录和证据留存具体方式：查询结果网页打印页作为查询记录和证据，与其他</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文件一并保存；</w:t>
            </w:r>
          </w:p>
          <w:p w14:paraId="7CE19050">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信用信息的使用原则：经认定的被列入失信被执行人、重大税收违法案件当事人名单、政府采购严重违法失信行为记录名单的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，其响应无效。联合体形式</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的，联合体成员存在不良信用记录，视同联合体存在不良信用记录。</w:t>
            </w:r>
          </w:p>
        </w:tc>
        <w:tc>
          <w:tcPr>
            <w:tcW w:w="1393" w:type="pct"/>
            <w:tcBorders>
              <w:tl2br w:val="nil"/>
              <w:tr2bl w:val="nil"/>
            </w:tcBorders>
            <w:tcMar>
              <w:top w:w="0" w:type="dxa"/>
              <w:left w:w="0" w:type="dxa"/>
              <w:bottom w:w="0" w:type="dxa"/>
              <w:right w:w="0" w:type="dxa"/>
            </w:tcMar>
            <w:vAlign w:val="center"/>
          </w:tcPr>
          <w:p w14:paraId="2B08643D">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无须</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提供，由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查询。</w:t>
            </w:r>
          </w:p>
        </w:tc>
      </w:tr>
      <w:tr w14:paraId="7ED10C6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1400" w:hRule="atLeast"/>
        </w:trPr>
        <w:tc>
          <w:tcPr>
            <w:tcW w:w="346" w:type="pct"/>
            <w:tcBorders>
              <w:tl2br w:val="nil"/>
              <w:tr2bl w:val="nil"/>
            </w:tcBorders>
            <w:tcMar>
              <w:top w:w="0" w:type="dxa"/>
              <w:left w:w="0" w:type="dxa"/>
              <w:bottom w:w="0" w:type="dxa"/>
              <w:right w:w="0" w:type="dxa"/>
            </w:tcMar>
            <w:vAlign w:val="center"/>
          </w:tcPr>
          <w:p w14:paraId="0EEE8167">
            <w:pPr>
              <w:pStyle w:val="47"/>
              <w:keepNext w:val="0"/>
              <w:keepLines w:val="0"/>
              <w:pageBreakBefore w:val="0"/>
              <w:numPr>
                <w:ilvl w:val="0"/>
                <w:numId w:val="14"/>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2051509E">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无重大违法记录声明函、无不良信用记录声明函</w:t>
            </w:r>
          </w:p>
        </w:tc>
        <w:tc>
          <w:tcPr>
            <w:tcW w:w="2701" w:type="pct"/>
            <w:tcBorders>
              <w:tl2br w:val="nil"/>
              <w:tr2bl w:val="nil"/>
            </w:tcBorders>
            <w:tcMar>
              <w:top w:w="0" w:type="dxa"/>
              <w:left w:w="0" w:type="dxa"/>
              <w:bottom w:w="0" w:type="dxa"/>
              <w:right w:w="0" w:type="dxa"/>
            </w:tcMar>
            <w:vAlign w:val="center"/>
          </w:tcPr>
          <w:p w14:paraId="46FC08FD">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格式、填写要求符合</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rPr>
              <w:t>文件规定并加盖</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单位公章</w:t>
            </w:r>
          </w:p>
        </w:tc>
        <w:tc>
          <w:tcPr>
            <w:tcW w:w="1393" w:type="pct"/>
            <w:tcBorders>
              <w:tl2br w:val="nil"/>
              <w:tr2bl w:val="nil"/>
            </w:tcBorders>
            <w:tcMar>
              <w:top w:w="0" w:type="dxa"/>
              <w:left w:w="0" w:type="dxa"/>
              <w:bottom w:w="0" w:type="dxa"/>
              <w:right w:w="0" w:type="dxa"/>
            </w:tcMar>
            <w:vAlign w:val="center"/>
          </w:tcPr>
          <w:p w14:paraId="4A36BB37">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详见附件3-4</w:t>
            </w:r>
          </w:p>
        </w:tc>
      </w:tr>
      <w:tr w14:paraId="4F64B3C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1400" w:hRule="atLeast"/>
        </w:trPr>
        <w:tc>
          <w:tcPr>
            <w:tcW w:w="346" w:type="pct"/>
            <w:tcBorders>
              <w:tl2br w:val="nil"/>
              <w:tr2bl w:val="nil"/>
            </w:tcBorders>
            <w:tcMar>
              <w:top w:w="0" w:type="dxa"/>
              <w:left w:w="0" w:type="dxa"/>
              <w:bottom w:w="0" w:type="dxa"/>
              <w:right w:w="0" w:type="dxa"/>
            </w:tcMar>
            <w:vAlign w:val="center"/>
          </w:tcPr>
          <w:p w14:paraId="4C927EBD">
            <w:pPr>
              <w:pStyle w:val="47"/>
              <w:keepNext w:val="0"/>
              <w:keepLines w:val="0"/>
              <w:pageBreakBefore w:val="0"/>
              <w:numPr>
                <w:ilvl w:val="0"/>
                <w:numId w:val="14"/>
              </w:numPr>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44C023F5">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存在关联关系的</w:t>
            </w:r>
            <w:r>
              <w:rPr>
                <w:rFonts w:hint="eastAsia" w:ascii="宋体" w:hAnsi="宋体" w:eastAsia="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不参与</w:t>
            </w: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highlight w:val="none"/>
              </w:rPr>
              <w:t>的承诺书</w:t>
            </w:r>
          </w:p>
        </w:tc>
        <w:tc>
          <w:tcPr>
            <w:tcW w:w="2701" w:type="pct"/>
            <w:tcBorders>
              <w:tl2br w:val="nil"/>
              <w:tr2bl w:val="nil"/>
            </w:tcBorders>
            <w:tcMar>
              <w:top w:w="0" w:type="dxa"/>
              <w:left w:w="0" w:type="dxa"/>
              <w:bottom w:w="0" w:type="dxa"/>
              <w:right w:w="0" w:type="dxa"/>
            </w:tcMar>
            <w:vAlign w:val="center"/>
          </w:tcPr>
          <w:p w14:paraId="3C02D617">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格式、填写要求符合</w:t>
            </w: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highlight w:val="none"/>
              </w:rPr>
              <w:t>文件规定并加盖</w:t>
            </w:r>
            <w:r>
              <w:rPr>
                <w:rFonts w:hint="eastAsia" w:ascii="宋体" w:hAnsi="宋体" w:eastAsia="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单位公章</w:t>
            </w:r>
          </w:p>
        </w:tc>
        <w:tc>
          <w:tcPr>
            <w:tcW w:w="1393" w:type="pct"/>
            <w:tcBorders>
              <w:tl2br w:val="nil"/>
              <w:tr2bl w:val="nil"/>
            </w:tcBorders>
            <w:tcMar>
              <w:top w:w="0" w:type="dxa"/>
              <w:left w:w="0" w:type="dxa"/>
              <w:bottom w:w="0" w:type="dxa"/>
              <w:right w:w="0" w:type="dxa"/>
            </w:tcMar>
            <w:vAlign w:val="center"/>
          </w:tcPr>
          <w:p w14:paraId="0037FEC2">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详见附件3-5</w:t>
            </w:r>
          </w:p>
        </w:tc>
      </w:tr>
      <w:tr w14:paraId="6C3F3D1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1400" w:hRule="atLeast"/>
        </w:trPr>
        <w:tc>
          <w:tcPr>
            <w:tcW w:w="346" w:type="pct"/>
            <w:tcBorders>
              <w:tl2br w:val="nil"/>
              <w:tr2bl w:val="nil"/>
            </w:tcBorders>
            <w:tcMar>
              <w:top w:w="0" w:type="dxa"/>
              <w:left w:w="0" w:type="dxa"/>
              <w:bottom w:w="0" w:type="dxa"/>
              <w:right w:w="0" w:type="dxa"/>
            </w:tcMar>
            <w:vAlign w:val="center"/>
          </w:tcPr>
          <w:p w14:paraId="54035851">
            <w:pPr>
              <w:pStyle w:val="47"/>
              <w:keepNext w:val="0"/>
              <w:keepLines w:val="0"/>
              <w:pageBreakBefore w:val="0"/>
              <w:numPr>
                <w:ilvl w:val="0"/>
                <w:numId w:val="14"/>
              </w:numPr>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17A2CF16">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湖南省政府采购供应商资格承诺函</w:t>
            </w:r>
          </w:p>
        </w:tc>
        <w:tc>
          <w:tcPr>
            <w:tcW w:w="2701" w:type="pct"/>
            <w:tcBorders>
              <w:tl2br w:val="nil"/>
              <w:tr2bl w:val="nil"/>
            </w:tcBorders>
            <w:tcMar>
              <w:top w:w="0" w:type="dxa"/>
              <w:left w:w="0" w:type="dxa"/>
              <w:bottom w:w="0" w:type="dxa"/>
              <w:right w:w="0" w:type="dxa"/>
            </w:tcMar>
            <w:vAlign w:val="center"/>
          </w:tcPr>
          <w:p w14:paraId="55EE2141">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格式、填写要求符合</w:t>
            </w: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highlight w:val="none"/>
              </w:rPr>
              <w:t>文件规定并加盖</w:t>
            </w:r>
            <w:r>
              <w:rPr>
                <w:rFonts w:hint="eastAsia" w:ascii="宋体" w:hAnsi="宋体" w:eastAsia="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单位公章</w:t>
            </w:r>
          </w:p>
        </w:tc>
        <w:tc>
          <w:tcPr>
            <w:tcW w:w="1393" w:type="pct"/>
            <w:tcBorders>
              <w:tl2br w:val="nil"/>
              <w:tr2bl w:val="nil"/>
            </w:tcBorders>
            <w:tcMar>
              <w:top w:w="0" w:type="dxa"/>
              <w:left w:w="0" w:type="dxa"/>
              <w:bottom w:w="0" w:type="dxa"/>
              <w:right w:w="0" w:type="dxa"/>
            </w:tcMar>
            <w:vAlign w:val="center"/>
          </w:tcPr>
          <w:p w14:paraId="3B796CD9">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详见附件3-6</w:t>
            </w:r>
          </w:p>
        </w:tc>
      </w:tr>
      <w:tr w14:paraId="4B575A4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53" w:hRule="atLeast"/>
        </w:trPr>
        <w:tc>
          <w:tcPr>
            <w:tcW w:w="346" w:type="pct"/>
            <w:tcBorders>
              <w:tl2br w:val="nil"/>
              <w:tr2bl w:val="nil"/>
            </w:tcBorders>
            <w:tcMar>
              <w:top w:w="0" w:type="dxa"/>
              <w:left w:w="0" w:type="dxa"/>
              <w:bottom w:w="0" w:type="dxa"/>
              <w:right w:w="0" w:type="dxa"/>
            </w:tcMar>
            <w:vAlign w:val="center"/>
          </w:tcPr>
          <w:p w14:paraId="016D77FB">
            <w:pPr>
              <w:pStyle w:val="47"/>
              <w:keepNext w:val="0"/>
              <w:keepLines w:val="0"/>
              <w:pageBreakBefore w:val="0"/>
              <w:numPr>
                <w:ilvl w:val="0"/>
                <w:numId w:val="14"/>
              </w:numPr>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084DF5B0">
            <w:pPr>
              <w:pStyle w:val="47"/>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特定资格</w:t>
            </w:r>
          </w:p>
          <w:p w14:paraId="0C536E10">
            <w:pPr>
              <w:pStyle w:val="47"/>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条件</w:t>
            </w:r>
          </w:p>
        </w:tc>
        <w:tc>
          <w:tcPr>
            <w:tcW w:w="2701" w:type="pct"/>
            <w:tcBorders>
              <w:tl2br w:val="nil"/>
              <w:tr2bl w:val="nil"/>
            </w:tcBorders>
            <w:tcMar>
              <w:top w:w="0" w:type="dxa"/>
              <w:left w:w="0" w:type="dxa"/>
              <w:bottom w:w="0" w:type="dxa"/>
              <w:right w:w="0" w:type="dxa"/>
            </w:tcMar>
            <w:vAlign w:val="center"/>
          </w:tcPr>
          <w:p w14:paraId="05E0E890">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rPr>
              <w:t>格式、填写要求符合</w:t>
            </w: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highlight w:val="none"/>
              </w:rPr>
              <w:t>文件规定并加盖</w:t>
            </w:r>
            <w:r>
              <w:rPr>
                <w:rFonts w:hint="eastAsia" w:ascii="宋体" w:hAnsi="宋体" w:eastAsia="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单位公章</w:t>
            </w:r>
          </w:p>
        </w:tc>
        <w:tc>
          <w:tcPr>
            <w:tcW w:w="1393" w:type="pct"/>
            <w:tcBorders>
              <w:tl2br w:val="nil"/>
              <w:tr2bl w:val="nil"/>
            </w:tcBorders>
            <w:tcMar>
              <w:top w:w="0" w:type="dxa"/>
              <w:left w:w="0" w:type="dxa"/>
              <w:bottom w:w="0" w:type="dxa"/>
              <w:right w:w="0" w:type="dxa"/>
            </w:tcMar>
            <w:vAlign w:val="center"/>
          </w:tcPr>
          <w:p w14:paraId="2BFF4C03">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详见附件3-</w:t>
            </w:r>
            <w:r>
              <w:rPr>
                <w:rFonts w:hint="eastAsia" w:ascii="宋体" w:hAnsi="宋体" w:eastAsia="宋体" w:cs="宋体"/>
                <w:b w:val="0"/>
                <w:bCs/>
                <w:color w:val="auto"/>
                <w:sz w:val="21"/>
                <w:szCs w:val="21"/>
                <w:highlight w:val="none"/>
                <w:lang w:val="en-US" w:eastAsia="zh-CN"/>
              </w:rPr>
              <w:t>7</w:t>
            </w:r>
          </w:p>
        </w:tc>
      </w:tr>
      <w:tr w14:paraId="1529BB8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12" w:hRule="atLeast"/>
        </w:trPr>
        <w:tc>
          <w:tcPr>
            <w:tcW w:w="346" w:type="pct"/>
            <w:tcBorders>
              <w:tl2br w:val="nil"/>
              <w:tr2bl w:val="nil"/>
            </w:tcBorders>
            <w:tcMar>
              <w:top w:w="0" w:type="dxa"/>
              <w:left w:w="0" w:type="dxa"/>
              <w:bottom w:w="0" w:type="dxa"/>
              <w:right w:w="0" w:type="dxa"/>
            </w:tcMar>
            <w:vAlign w:val="center"/>
          </w:tcPr>
          <w:p w14:paraId="0390DA11">
            <w:pPr>
              <w:pStyle w:val="47"/>
              <w:keepNext w:val="0"/>
              <w:keepLines w:val="0"/>
              <w:pageBreakBefore w:val="0"/>
              <w:numPr>
                <w:ilvl w:val="0"/>
                <w:numId w:val="14"/>
              </w:numPr>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383A6C54">
            <w:pPr>
              <w:pStyle w:val="47"/>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授权委托书</w:t>
            </w:r>
          </w:p>
        </w:tc>
        <w:tc>
          <w:tcPr>
            <w:tcW w:w="2701" w:type="pct"/>
            <w:tcBorders>
              <w:tl2br w:val="nil"/>
              <w:tr2bl w:val="nil"/>
            </w:tcBorders>
            <w:tcMar>
              <w:top w:w="0" w:type="dxa"/>
              <w:left w:w="0" w:type="dxa"/>
              <w:bottom w:w="0" w:type="dxa"/>
              <w:right w:w="0" w:type="dxa"/>
            </w:tcMar>
            <w:vAlign w:val="center"/>
          </w:tcPr>
          <w:p w14:paraId="5956DBE9">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格式、填写要求符合</w:t>
            </w: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highlight w:val="none"/>
              </w:rPr>
              <w:t>文件规定并加盖</w:t>
            </w:r>
            <w:r>
              <w:rPr>
                <w:rFonts w:hint="eastAsia" w:ascii="宋体" w:hAnsi="宋体" w:eastAsia="宋体" w:cs="宋体"/>
                <w:b w:val="0"/>
                <w:bCs/>
                <w:color w:val="auto"/>
                <w:sz w:val="21"/>
                <w:szCs w:val="21"/>
                <w:highlight w:val="none"/>
                <w:lang w:eastAsia="zh-CN"/>
              </w:rPr>
              <w:t>供应商</w:t>
            </w:r>
            <w:r>
              <w:rPr>
                <w:rFonts w:hint="eastAsia" w:ascii="宋体" w:hAnsi="宋体" w:eastAsia="宋体" w:cs="宋体"/>
                <w:b w:val="0"/>
                <w:bCs/>
                <w:color w:val="auto"/>
                <w:sz w:val="21"/>
                <w:szCs w:val="21"/>
                <w:highlight w:val="none"/>
              </w:rPr>
              <w:t>单位公章</w:t>
            </w:r>
          </w:p>
        </w:tc>
        <w:tc>
          <w:tcPr>
            <w:tcW w:w="1393" w:type="pct"/>
            <w:tcBorders>
              <w:tl2br w:val="nil"/>
              <w:tr2bl w:val="nil"/>
            </w:tcBorders>
            <w:tcMar>
              <w:top w:w="0" w:type="dxa"/>
              <w:left w:w="0" w:type="dxa"/>
              <w:bottom w:w="0" w:type="dxa"/>
              <w:right w:w="0" w:type="dxa"/>
            </w:tcMar>
            <w:vAlign w:val="center"/>
          </w:tcPr>
          <w:p w14:paraId="175EB7C0">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详见附件二</w:t>
            </w:r>
          </w:p>
        </w:tc>
      </w:tr>
      <w:tr w14:paraId="04EF1FD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12" w:hRule="atLeast"/>
        </w:trPr>
        <w:tc>
          <w:tcPr>
            <w:tcW w:w="346" w:type="pct"/>
            <w:tcBorders>
              <w:tl2br w:val="nil"/>
              <w:tr2bl w:val="nil"/>
            </w:tcBorders>
            <w:tcMar>
              <w:top w:w="0" w:type="dxa"/>
              <w:left w:w="0" w:type="dxa"/>
              <w:bottom w:w="0" w:type="dxa"/>
              <w:right w:w="0" w:type="dxa"/>
            </w:tcMar>
            <w:vAlign w:val="center"/>
          </w:tcPr>
          <w:p w14:paraId="3A286D67">
            <w:pPr>
              <w:pStyle w:val="47"/>
              <w:keepNext w:val="0"/>
              <w:keepLines w:val="0"/>
              <w:pageBreakBefore w:val="0"/>
              <w:numPr>
                <w:ilvl w:val="0"/>
                <w:numId w:val="14"/>
              </w:numPr>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3704EFD9">
            <w:pPr>
              <w:pStyle w:val="47"/>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保证金</w:t>
            </w:r>
          </w:p>
        </w:tc>
        <w:tc>
          <w:tcPr>
            <w:tcW w:w="2701" w:type="pct"/>
            <w:tcBorders>
              <w:tl2br w:val="nil"/>
              <w:tr2bl w:val="nil"/>
            </w:tcBorders>
            <w:tcMar>
              <w:top w:w="0" w:type="dxa"/>
              <w:left w:w="0" w:type="dxa"/>
              <w:bottom w:w="0" w:type="dxa"/>
              <w:right w:w="0" w:type="dxa"/>
            </w:tcMar>
            <w:vAlign w:val="center"/>
          </w:tcPr>
          <w:p w14:paraId="04C1BEBD">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符合</w:t>
            </w: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highlight w:val="none"/>
              </w:rPr>
              <w:t>文件须知要求</w:t>
            </w:r>
          </w:p>
        </w:tc>
        <w:tc>
          <w:tcPr>
            <w:tcW w:w="1393" w:type="pct"/>
            <w:tcBorders>
              <w:tl2br w:val="nil"/>
              <w:tr2bl w:val="nil"/>
            </w:tcBorders>
            <w:tcMar>
              <w:top w:w="0" w:type="dxa"/>
              <w:left w:w="0" w:type="dxa"/>
              <w:bottom w:w="0" w:type="dxa"/>
              <w:right w:w="0" w:type="dxa"/>
            </w:tcMar>
            <w:vAlign w:val="center"/>
          </w:tcPr>
          <w:p w14:paraId="487BEA20">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由系统提供保证金到账情况</w:t>
            </w:r>
          </w:p>
        </w:tc>
      </w:tr>
      <w:tr w14:paraId="1249D75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424" w:hRule="atLeast"/>
        </w:trPr>
        <w:tc>
          <w:tcPr>
            <w:tcW w:w="346" w:type="pct"/>
            <w:tcBorders>
              <w:tl2br w:val="nil"/>
              <w:tr2bl w:val="nil"/>
            </w:tcBorders>
            <w:tcMar>
              <w:top w:w="0" w:type="dxa"/>
              <w:left w:w="0" w:type="dxa"/>
              <w:bottom w:w="0" w:type="dxa"/>
              <w:right w:w="0" w:type="dxa"/>
            </w:tcMar>
            <w:vAlign w:val="center"/>
          </w:tcPr>
          <w:p w14:paraId="2F05025A">
            <w:pPr>
              <w:pStyle w:val="47"/>
              <w:keepNext w:val="0"/>
              <w:keepLines w:val="0"/>
              <w:pageBreakBefore w:val="0"/>
              <w:numPr>
                <w:ilvl w:val="0"/>
                <w:numId w:val="14"/>
              </w:numPr>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auto"/>
                <w:sz w:val="21"/>
                <w:szCs w:val="21"/>
                <w:highlight w:val="none"/>
              </w:rPr>
            </w:pPr>
          </w:p>
        </w:tc>
        <w:tc>
          <w:tcPr>
            <w:tcW w:w="559" w:type="pct"/>
            <w:tcBorders>
              <w:tl2br w:val="nil"/>
              <w:tr2bl w:val="nil"/>
            </w:tcBorders>
            <w:tcMar>
              <w:top w:w="0" w:type="dxa"/>
              <w:left w:w="0" w:type="dxa"/>
              <w:bottom w:w="0" w:type="dxa"/>
              <w:right w:w="0" w:type="dxa"/>
            </w:tcMar>
            <w:vAlign w:val="center"/>
          </w:tcPr>
          <w:p w14:paraId="35711594">
            <w:pPr>
              <w:pStyle w:val="47"/>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其他要求</w:t>
            </w:r>
          </w:p>
        </w:tc>
        <w:tc>
          <w:tcPr>
            <w:tcW w:w="2701" w:type="pct"/>
            <w:tcBorders>
              <w:tl2br w:val="nil"/>
              <w:tr2bl w:val="nil"/>
            </w:tcBorders>
            <w:tcMar>
              <w:top w:w="0" w:type="dxa"/>
              <w:left w:w="0" w:type="dxa"/>
              <w:bottom w:w="0" w:type="dxa"/>
              <w:right w:w="0" w:type="dxa"/>
            </w:tcMar>
            <w:vAlign w:val="center"/>
          </w:tcPr>
          <w:p w14:paraId="152A516C">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符合法律、行政法规规定的其他条件或</w:t>
            </w: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highlight w:val="none"/>
              </w:rPr>
              <w:t>文件列明的其他要求</w:t>
            </w:r>
          </w:p>
        </w:tc>
        <w:tc>
          <w:tcPr>
            <w:tcW w:w="1393" w:type="pct"/>
            <w:tcBorders>
              <w:tl2br w:val="nil"/>
              <w:tr2bl w:val="nil"/>
            </w:tcBorders>
            <w:tcMar>
              <w:top w:w="0" w:type="dxa"/>
              <w:left w:w="0" w:type="dxa"/>
              <w:bottom w:w="0" w:type="dxa"/>
              <w:right w:w="0" w:type="dxa"/>
            </w:tcMar>
            <w:vAlign w:val="center"/>
          </w:tcPr>
          <w:p w14:paraId="133FCE60">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b w:val="0"/>
                <w:bCs/>
                <w:color w:val="auto"/>
                <w:sz w:val="21"/>
                <w:szCs w:val="21"/>
                <w:highlight w:val="none"/>
              </w:rPr>
            </w:pPr>
          </w:p>
        </w:tc>
      </w:tr>
    </w:tbl>
    <w:p w14:paraId="4F5C35FE">
      <w:pPr>
        <w:rPr>
          <w:color w:val="auto"/>
          <w:highlight w:val="none"/>
        </w:rPr>
      </w:pPr>
      <w:r>
        <w:rPr>
          <w:rFonts w:hint="eastAsia"/>
          <w:color w:val="auto"/>
          <w:highlight w:val="none"/>
        </w:rPr>
        <w:br w:type="page"/>
      </w:r>
    </w:p>
    <w:p w14:paraId="3FE7F2DB">
      <w:pPr>
        <w:pStyle w:val="3"/>
        <w:keepNext/>
        <w:keepLines/>
        <w:pageBreakBefore w:val="0"/>
        <w:widowControl w:val="0"/>
        <w:kinsoku/>
        <w:wordWrap/>
        <w:overflowPunct/>
        <w:topLinePunct w:val="0"/>
        <w:autoSpaceDE/>
        <w:autoSpaceDN/>
        <w:bidi w:val="0"/>
        <w:adjustRightInd/>
        <w:snapToGrid/>
        <w:spacing w:before="0" w:beforeLines="0" w:after="0" w:line="360" w:lineRule="auto"/>
        <w:jc w:val="center"/>
        <w:textAlignment w:val="auto"/>
        <w:rPr>
          <w:rFonts w:hint="eastAsia" w:ascii="宋体" w:hAnsi="宋体" w:eastAsia="宋体" w:cs="宋体"/>
          <w:b/>
          <w:bCs/>
          <w:color w:val="auto"/>
          <w:highlight w:val="none"/>
        </w:rPr>
      </w:pPr>
      <w:bookmarkStart w:id="81" w:name="_Toc25592"/>
      <w:bookmarkStart w:id="82" w:name="_Toc31994"/>
      <w:bookmarkStart w:id="83" w:name="_Toc6409"/>
      <w:bookmarkStart w:id="84" w:name="_Toc14497"/>
      <w:r>
        <w:rPr>
          <w:rFonts w:hint="eastAsia" w:ascii="宋体" w:hAnsi="宋体" w:eastAsia="宋体" w:cs="宋体"/>
          <w:b/>
          <w:bCs/>
          <w:color w:val="auto"/>
          <w:highlight w:val="none"/>
        </w:rPr>
        <w:t>第二节 符合性审查</w:t>
      </w:r>
      <w:bookmarkEnd w:id="81"/>
      <w:bookmarkEnd w:id="82"/>
      <w:bookmarkEnd w:id="83"/>
      <w:bookmarkEnd w:id="84"/>
    </w:p>
    <w:p w14:paraId="157C83DA">
      <w:pPr>
        <w:pStyle w:val="17"/>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2.1</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rPr>
        <w:t>对通过资格审查的</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的响应文件进行符合性审查，以确定其是否满足</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文件的实质性要求。符合性审查表如下：</w:t>
      </w:r>
    </w:p>
    <w:p w14:paraId="2E86BDD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符合性审查表</w:t>
      </w:r>
    </w:p>
    <w:tbl>
      <w:tblPr>
        <w:tblStyle w:val="34"/>
        <w:tblW w:w="511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790"/>
        <w:gridCol w:w="3216"/>
        <w:gridCol w:w="3075"/>
      </w:tblGrid>
      <w:tr w14:paraId="5B0DC9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blHeader/>
        </w:trPr>
        <w:tc>
          <w:tcPr>
            <w:tcW w:w="366" w:type="pct"/>
            <w:tcBorders>
              <w:tl2br w:val="nil"/>
              <w:tr2bl w:val="nil"/>
            </w:tcBorders>
            <w:shd w:val="pct10" w:color="ADB9CA" w:fill="D6DCE5"/>
            <w:vAlign w:val="center"/>
          </w:tcPr>
          <w:p w14:paraId="12214B2A">
            <w:pPr>
              <w:pStyle w:val="43"/>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1026" w:type="pct"/>
            <w:tcBorders>
              <w:tl2br w:val="nil"/>
              <w:tr2bl w:val="nil"/>
            </w:tcBorders>
            <w:shd w:val="pct10" w:color="ADB9CA" w:fill="D6DCE5"/>
            <w:vAlign w:val="center"/>
          </w:tcPr>
          <w:p w14:paraId="05D3A1C1">
            <w:pPr>
              <w:pStyle w:val="43"/>
              <w:jc w:val="center"/>
              <w:rPr>
                <w:rFonts w:hint="eastAsia" w:ascii="宋体" w:hAnsi="宋体" w:eastAsia="宋体" w:cs="宋体"/>
                <w:color w:val="auto"/>
                <w:sz w:val="21"/>
                <w:szCs w:val="21"/>
              </w:rPr>
            </w:pPr>
            <w:r>
              <w:rPr>
                <w:rFonts w:hint="eastAsia" w:ascii="宋体" w:hAnsi="宋体" w:eastAsia="宋体" w:cs="宋体"/>
                <w:color w:val="auto"/>
                <w:sz w:val="21"/>
                <w:szCs w:val="21"/>
              </w:rPr>
              <w:t>评审指标</w:t>
            </w:r>
          </w:p>
        </w:tc>
        <w:tc>
          <w:tcPr>
            <w:tcW w:w="1844" w:type="pct"/>
            <w:tcBorders>
              <w:tl2br w:val="nil"/>
              <w:tr2bl w:val="nil"/>
            </w:tcBorders>
            <w:shd w:val="pct10" w:color="ADB9CA" w:fill="D6DCE5"/>
            <w:vAlign w:val="center"/>
          </w:tcPr>
          <w:p w14:paraId="6DA804D8">
            <w:pPr>
              <w:pStyle w:val="43"/>
              <w:jc w:val="center"/>
              <w:rPr>
                <w:rFonts w:hint="eastAsia" w:ascii="宋体" w:hAnsi="宋体" w:eastAsia="宋体" w:cs="宋体"/>
                <w:color w:val="auto"/>
                <w:sz w:val="21"/>
                <w:szCs w:val="21"/>
              </w:rPr>
            </w:pPr>
            <w:r>
              <w:rPr>
                <w:rFonts w:hint="eastAsia" w:ascii="宋体" w:hAnsi="宋体" w:eastAsia="宋体" w:cs="宋体"/>
                <w:color w:val="auto"/>
                <w:sz w:val="21"/>
                <w:szCs w:val="21"/>
              </w:rPr>
              <w:t>评审标准</w:t>
            </w:r>
          </w:p>
        </w:tc>
        <w:tc>
          <w:tcPr>
            <w:tcW w:w="1763" w:type="pct"/>
            <w:tcBorders>
              <w:tl2br w:val="nil"/>
              <w:tr2bl w:val="nil"/>
            </w:tcBorders>
            <w:shd w:val="pct10" w:color="ADB9CA" w:fill="D6DCE5"/>
            <w:vAlign w:val="center"/>
          </w:tcPr>
          <w:p w14:paraId="42862CB7">
            <w:pPr>
              <w:pStyle w:val="43"/>
              <w:jc w:val="center"/>
              <w:rPr>
                <w:rFonts w:hint="eastAsia" w:ascii="宋体" w:hAnsi="宋体" w:eastAsia="宋体" w:cs="宋体"/>
                <w:color w:val="auto"/>
                <w:sz w:val="21"/>
                <w:szCs w:val="21"/>
              </w:rPr>
            </w:pPr>
            <w:r>
              <w:rPr>
                <w:rFonts w:hint="eastAsia" w:ascii="宋体" w:hAnsi="宋体" w:eastAsia="宋体" w:cs="宋体"/>
                <w:color w:val="auto"/>
                <w:sz w:val="21"/>
                <w:szCs w:val="21"/>
              </w:rPr>
              <w:t>格式及材料要求</w:t>
            </w:r>
          </w:p>
        </w:tc>
      </w:tr>
      <w:tr w14:paraId="1C3B73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366" w:type="pct"/>
            <w:tcBorders>
              <w:tl2br w:val="nil"/>
              <w:tr2bl w:val="nil"/>
            </w:tcBorders>
            <w:vAlign w:val="center"/>
          </w:tcPr>
          <w:p w14:paraId="153D9718">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vAlign w:val="center"/>
          </w:tcPr>
          <w:p w14:paraId="03C564EA">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谈判</w:t>
            </w:r>
            <w:r>
              <w:rPr>
                <w:rFonts w:hint="eastAsia" w:ascii="宋体" w:hAnsi="宋体" w:eastAsia="宋体" w:cs="宋体"/>
                <w:b w:val="0"/>
                <w:bCs/>
                <w:color w:val="auto"/>
                <w:sz w:val="21"/>
                <w:szCs w:val="21"/>
              </w:rPr>
              <w:t>响应声明</w:t>
            </w:r>
          </w:p>
        </w:tc>
        <w:tc>
          <w:tcPr>
            <w:tcW w:w="1844" w:type="pct"/>
            <w:tcBorders>
              <w:tl2br w:val="nil"/>
              <w:tr2bl w:val="nil"/>
            </w:tcBorders>
            <w:vAlign w:val="center"/>
          </w:tcPr>
          <w:p w14:paraId="41A92CCE">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格式、填写要求符合</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rPr>
              <w:t>文件规定并加盖</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公章</w:t>
            </w:r>
          </w:p>
        </w:tc>
        <w:tc>
          <w:tcPr>
            <w:tcW w:w="1763" w:type="pct"/>
            <w:tcBorders>
              <w:tl2br w:val="nil"/>
              <w:tr2bl w:val="nil"/>
            </w:tcBorders>
            <w:vAlign w:val="center"/>
          </w:tcPr>
          <w:p w14:paraId="07A651EF">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详见第六章响应文件组成格式</w:t>
            </w:r>
          </w:p>
        </w:tc>
      </w:tr>
      <w:tr w14:paraId="5720DA6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66" w:type="pct"/>
            <w:tcBorders>
              <w:tl2br w:val="nil"/>
              <w:tr2bl w:val="nil"/>
            </w:tcBorders>
            <w:vAlign w:val="center"/>
          </w:tcPr>
          <w:p w14:paraId="1A6C3926">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vAlign w:val="center"/>
          </w:tcPr>
          <w:p w14:paraId="4A26CFAD">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highlight w:val="none"/>
                <w:lang w:val="en-US" w:eastAsia="zh-CN"/>
              </w:rPr>
              <w:t>谈判</w:t>
            </w:r>
            <w:r>
              <w:rPr>
                <w:rFonts w:hint="eastAsia" w:ascii="宋体" w:hAnsi="宋体" w:eastAsia="宋体" w:cs="宋体"/>
                <w:b w:val="0"/>
                <w:bCs/>
                <w:color w:val="auto"/>
                <w:sz w:val="21"/>
                <w:szCs w:val="21"/>
              </w:rPr>
              <w:t>响应情况</w:t>
            </w:r>
          </w:p>
        </w:tc>
        <w:tc>
          <w:tcPr>
            <w:tcW w:w="1844" w:type="pct"/>
            <w:tcBorders>
              <w:tl2br w:val="nil"/>
              <w:tr2bl w:val="nil"/>
            </w:tcBorders>
            <w:vAlign w:val="center"/>
          </w:tcPr>
          <w:p w14:paraId="1A67A9A9">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符合</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rPr>
              <w:t>文件</w:t>
            </w:r>
            <w:r>
              <w:rPr>
                <w:rFonts w:hint="eastAsia" w:eastAsia="宋体" w:cs="宋体"/>
                <w:color w:val="auto"/>
                <w:sz w:val="21"/>
                <w:szCs w:val="21"/>
                <w:lang w:eastAsia="zh-CN"/>
              </w:rPr>
              <w:t>采购需求中</w:t>
            </w:r>
            <w:r>
              <w:rPr>
                <w:rFonts w:hint="eastAsia" w:ascii="宋体" w:hAnsi="宋体" w:eastAsia="宋体" w:cs="宋体"/>
                <w:color w:val="auto"/>
                <w:sz w:val="21"/>
                <w:szCs w:val="21"/>
              </w:rPr>
              <w:t>的要求</w:t>
            </w:r>
          </w:p>
        </w:tc>
        <w:tc>
          <w:tcPr>
            <w:tcW w:w="1763" w:type="pct"/>
            <w:tcBorders>
              <w:tl2br w:val="nil"/>
              <w:tr2bl w:val="nil"/>
            </w:tcBorders>
            <w:vAlign w:val="center"/>
          </w:tcPr>
          <w:p w14:paraId="77248892">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详见第六章响应文件组成格式</w:t>
            </w:r>
          </w:p>
        </w:tc>
      </w:tr>
      <w:tr w14:paraId="0066C4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66" w:type="pct"/>
            <w:tcBorders>
              <w:tl2br w:val="nil"/>
              <w:tr2bl w:val="nil"/>
            </w:tcBorders>
            <w:vAlign w:val="center"/>
          </w:tcPr>
          <w:p w14:paraId="30E78D33">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vAlign w:val="center"/>
          </w:tcPr>
          <w:p w14:paraId="7B8795AD">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lang w:val="en-US" w:eastAsia="zh-CN"/>
              </w:rPr>
              <w:t>采购需求响应表</w:t>
            </w:r>
          </w:p>
        </w:tc>
        <w:tc>
          <w:tcPr>
            <w:tcW w:w="1844" w:type="pct"/>
            <w:tcBorders>
              <w:tl2br w:val="nil"/>
              <w:tr2bl w:val="nil"/>
            </w:tcBorders>
            <w:vAlign w:val="center"/>
          </w:tcPr>
          <w:p w14:paraId="34701244">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rPr>
              <w:t>文件</w:t>
            </w:r>
            <w:r>
              <w:rPr>
                <w:rFonts w:hint="eastAsia" w:eastAsia="宋体" w:cs="宋体"/>
                <w:color w:val="auto"/>
                <w:sz w:val="21"/>
                <w:szCs w:val="21"/>
                <w:lang w:eastAsia="zh-CN"/>
              </w:rPr>
              <w:t>采购需求中</w:t>
            </w:r>
            <w:r>
              <w:rPr>
                <w:rFonts w:hint="eastAsia" w:ascii="宋体" w:hAnsi="宋体" w:eastAsia="宋体" w:cs="宋体"/>
                <w:color w:val="auto"/>
                <w:sz w:val="21"/>
                <w:szCs w:val="21"/>
              </w:rPr>
              <w:t>的要求</w:t>
            </w:r>
          </w:p>
        </w:tc>
        <w:tc>
          <w:tcPr>
            <w:tcW w:w="1763" w:type="pct"/>
            <w:tcBorders>
              <w:tl2br w:val="nil"/>
              <w:tr2bl w:val="nil"/>
            </w:tcBorders>
            <w:vAlign w:val="center"/>
          </w:tcPr>
          <w:p w14:paraId="28E3011C">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详见第六章响应文件组成格式</w:t>
            </w:r>
          </w:p>
        </w:tc>
      </w:tr>
      <w:tr w14:paraId="24FD1C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66" w:type="pct"/>
            <w:tcBorders>
              <w:tl2br w:val="nil"/>
              <w:tr2bl w:val="nil"/>
            </w:tcBorders>
            <w:vAlign w:val="center"/>
          </w:tcPr>
          <w:p w14:paraId="3CD30F5C">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shd w:val="clear" w:color="auto" w:fill="auto"/>
            <w:vAlign w:val="center"/>
          </w:tcPr>
          <w:p w14:paraId="1D5B6C4B">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kern w:val="2"/>
                <w:sz w:val="21"/>
                <w:szCs w:val="21"/>
                <w:lang w:val="en-US" w:eastAsia="zh-CN" w:bidi="ar-SA"/>
              </w:rPr>
            </w:pPr>
            <w:r>
              <w:rPr>
                <w:rFonts w:hint="eastAsia" w:ascii="宋体" w:hAnsi="宋体" w:eastAsia="宋体" w:cs="宋体"/>
                <w:b w:val="0"/>
                <w:bCs/>
                <w:color w:val="auto"/>
                <w:kern w:val="2"/>
                <w:sz w:val="21"/>
                <w:szCs w:val="21"/>
                <w:lang w:val="en-US" w:eastAsia="zh-CN" w:bidi="ar-SA"/>
              </w:rPr>
              <w:t>□服务方案</w:t>
            </w:r>
          </w:p>
        </w:tc>
        <w:tc>
          <w:tcPr>
            <w:tcW w:w="1844" w:type="pct"/>
            <w:tcBorders>
              <w:tl2br w:val="nil"/>
              <w:tr2bl w:val="nil"/>
            </w:tcBorders>
            <w:shd w:val="clear" w:color="auto" w:fill="auto"/>
            <w:vAlign w:val="center"/>
          </w:tcPr>
          <w:p w14:paraId="007A663C">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谈判</w:t>
            </w:r>
            <w:r>
              <w:rPr>
                <w:rFonts w:hint="eastAsia" w:ascii="宋体" w:hAnsi="宋体" w:eastAsia="宋体" w:cs="宋体"/>
                <w:color w:val="auto"/>
                <w:sz w:val="21"/>
                <w:szCs w:val="21"/>
              </w:rPr>
              <w:t>文件的要求</w:t>
            </w:r>
          </w:p>
        </w:tc>
        <w:tc>
          <w:tcPr>
            <w:tcW w:w="1763" w:type="pct"/>
            <w:tcBorders>
              <w:tl2br w:val="nil"/>
              <w:tr2bl w:val="nil"/>
            </w:tcBorders>
            <w:shd w:val="clear" w:color="auto" w:fill="auto"/>
            <w:vAlign w:val="center"/>
          </w:tcPr>
          <w:p w14:paraId="552EFC1E">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详见第六章响应文件组成格式</w:t>
            </w:r>
          </w:p>
        </w:tc>
      </w:tr>
      <w:tr w14:paraId="1B6929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66" w:type="pct"/>
            <w:tcBorders>
              <w:tl2br w:val="nil"/>
              <w:tr2bl w:val="nil"/>
            </w:tcBorders>
            <w:vAlign w:val="center"/>
          </w:tcPr>
          <w:p w14:paraId="2D00FB91">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shd w:val="clear" w:color="auto" w:fill="auto"/>
            <w:vAlign w:val="center"/>
          </w:tcPr>
          <w:p w14:paraId="4CE33F9D">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谈判</w:t>
            </w:r>
            <w:r>
              <w:rPr>
                <w:rFonts w:hint="eastAsia" w:ascii="宋体" w:hAnsi="宋体" w:eastAsia="宋体" w:cs="宋体"/>
                <w:b w:val="0"/>
                <w:bCs/>
                <w:color w:val="auto"/>
                <w:sz w:val="21"/>
                <w:szCs w:val="21"/>
              </w:rPr>
              <w:t>承诺</w:t>
            </w:r>
            <w:r>
              <w:rPr>
                <w:rFonts w:hint="eastAsia" w:ascii="宋体" w:hAnsi="宋体" w:eastAsia="宋体" w:cs="宋体"/>
                <w:b w:val="0"/>
                <w:bCs/>
                <w:color w:val="auto"/>
                <w:sz w:val="21"/>
                <w:szCs w:val="21"/>
                <w:lang w:eastAsia="zh-CN"/>
              </w:rPr>
              <w:t>书</w:t>
            </w:r>
          </w:p>
        </w:tc>
        <w:tc>
          <w:tcPr>
            <w:tcW w:w="1844" w:type="pct"/>
            <w:tcBorders>
              <w:tl2br w:val="nil"/>
              <w:tr2bl w:val="nil"/>
            </w:tcBorders>
            <w:shd w:val="clear" w:color="auto" w:fill="auto"/>
            <w:vAlign w:val="center"/>
          </w:tcPr>
          <w:p w14:paraId="2A79818E">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谈判</w:t>
            </w:r>
            <w:r>
              <w:rPr>
                <w:rFonts w:hint="eastAsia" w:ascii="宋体" w:hAnsi="宋体" w:eastAsia="宋体" w:cs="宋体"/>
                <w:color w:val="auto"/>
                <w:sz w:val="21"/>
                <w:szCs w:val="21"/>
              </w:rPr>
              <w:t>文件的要求</w:t>
            </w:r>
          </w:p>
        </w:tc>
        <w:tc>
          <w:tcPr>
            <w:tcW w:w="1763" w:type="pct"/>
            <w:tcBorders>
              <w:tl2br w:val="nil"/>
              <w:tr2bl w:val="nil"/>
            </w:tcBorders>
            <w:shd w:val="clear" w:color="auto" w:fill="auto"/>
            <w:vAlign w:val="center"/>
          </w:tcPr>
          <w:p w14:paraId="2FD61F28">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rPr>
              <w:t>详见第六章响应文件组成格式</w:t>
            </w:r>
          </w:p>
        </w:tc>
      </w:tr>
      <w:tr w14:paraId="56C495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66" w:type="pct"/>
            <w:tcBorders>
              <w:tl2br w:val="nil"/>
              <w:tr2bl w:val="nil"/>
            </w:tcBorders>
            <w:vAlign w:val="center"/>
          </w:tcPr>
          <w:p w14:paraId="334DEAF6">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vAlign w:val="center"/>
          </w:tcPr>
          <w:p w14:paraId="745EB858">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highlight w:val="none"/>
                <w:lang w:val="en-US" w:eastAsia="zh-CN"/>
              </w:rPr>
              <w:t>送达方式确认函</w:t>
            </w:r>
          </w:p>
        </w:tc>
        <w:tc>
          <w:tcPr>
            <w:tcW w:w="1844" w:type="pct"/>
            <w:tcBorders>
              <w:tl2br w:val="nil"/>
              <w:tr2bl w:val="nil"/>
            </w:tcBorders>
            <w:vAlign w:val="center"/>
          </w:tcPr>
          <w:p w14:paraId="51906CA7">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谈判</w:t>
            </w:r>
            <w:r>
              <w:rPr>
                <w:rFonts w:hint="eastAsia" w:ascii="宋体" w:hAnsi="宋体" w:eastAsia="宋体" w:cs="宋体"/>
                <w:color w:val="auto"/>
                <w:sz w:val="21"/>
                <w:szCs w:val="21"/>
              </w:rPr>
              <w:t>文件的要求</w:t>
            </w:r>
          </w:p>
        </w:tc>
        <w:tc>
          <w:tcPr>
            <w:tcW w:w="1763" w:type="pct"/>
            <w:tcBorders>
              <w:tl2br w:val="nil"/>
              <w:tr2bl w:val="nil"/>
            </w:tcBorders>
            <w:vAlign w:val="center"/>
          </w:tcPr>
          <w:p w14:paraId="6F04DE38">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详见第六章响应文件组成格式</w:t>
            </w:r>
          </w:p>
        </w:tc>
      </w:tr>
      <w:tr w14:paraId="4BB6F9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66" w:type="pct"/>
            <w:tcBorders>
              <w:tl2br w:val="nil"/>
              <w:tr2bl w:val="nil"/>
            </w:tcBorders>
            <w:vAlign w:val="center"/>
          </w:tcPr>
          <w:p w14:paraId="1E9EB478">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vAlign w:val="center"/>
          </w:tcPr>
          <w:p w14:paraId="038BA340">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lang w:val="en-US" w:eastAsia="zh-CN"/>
              </w:rPr>
              <w:t>中小企业声明函</w:t>
            </w:r>
          </w:p>
        </w:tc>
        <w:tc>
          <w:tcPr>
            <w:tcW w:w="1844" w:type="pct"/>
            <w:tcBorders>
              <w:tl2br w:val="nil"/>
              <w:tr2bl w:val="nil"/>
            </w:tcBorders>
            <w:vAlign w:val="center"/>
          </w:tcPr>
          <w:p w14:paraId="3A17109D">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谈判</w:t>
            </w:r>
            <w:r>
              <w:rPr>
                <w:rFonts w:hint="eastAsia" w:ascii="宋体" w:hAnsi="宋体" w:eastAsia="宋体" w:cs="宋体"/>
                <w:color w:val="auto"/>
                <w:sz w:val="21"/>
                <w:szCs w:val="21"/>
              </w:rPr>
              <w:t>文件的要求</w:t>
            </w:r>
          </w:p>
        </w:tc>
        <w:tc>
          <w:tcPr>
            <w:tcW w:w="1763" w:type="pct"/>
            <w:tcBorders>
              <w:tl2br w:val="nil"/>
              <w:tr2bl w:val="nil"/>
            </w:tcBorders>
            <w:vAlign w:val="center"/>
          </w:tcPr>
          <w:p w14:paraId="7683C593">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详见第六章响应文件组成格式</w:t>
            </w:r>
          </w:p>
        </w:tc>
      </w:tr>
      <w:tr w14:paraId="69857A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66" w:type="pct"/>
            <w:tcBorders>
              <w:tl2br w:val="nil"/>
              <w:tr2bl w:val="nil"/>
            </w:tcBorders>
            <w:vAlign w:val="center"/>
          </w:tcPr>
          <w:p w14:paraId="7DB7C0D8">
            <w:pPr>
              <w:pStyle w:val="47"/>
              <w:keepNext w:val="0"/>
              <w:keepLines w:val="0"/>
              <w:pageBreakBefore w:val="0"/>
              <w:widowControl w:val="0"/>
              <w:numPr>
                <w:ilvl w:val="0"/>
                <w:numId w:val="15"/>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1"/>
                <w:szCs w:val="21"/>
              </w:rPr>
            </w:pPr>
          </w:p>
        </w:tc>
        <w:tc>
          <w:tcPr>
            <w:tcW w:w="1026" w:type="pct"/>
            <w:tcBorders>
              <w:tl2br w:val="nil"/>
              <w:tr2bl w:val="nil"/>
            </w:tcBorders>
            <w:vAlign w:val="center"/>
          </w:tcPr>
          <w:p w14:paraId="27D7819A">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其他要求</w:t>
            </w:r>
          </w:p>
        </w:tc>
        <w:tc>
          <w:tcPr>
            <w:tcW w:w="1844" w:type="pct"/>
            <w:tcBorders>
              <w:tl2br w:val="nil"/>
              <w:tr2bl w:val="nil"/>
            </w:tcBorders>
            <w:vAlign w:val="center"/>
          </w:tcPr>
          <w:p w14:paraId="54F0CBA8">
            <w:pPr>
              <w:pStyle w:val="57"/>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符合法律、行政法规规定的其他条件或</w:t>
            </w:r>
            <w:r>
              <w:rPr>
                <w:rFonts w:hint="eastAsia" w:ascii="宋体" w:hAnsi="宋体" w:eastAsia="宋体" w:cs="宋体"/>
                <w:color w:val="auto"/>
                <w:sz w:val="21"/>
                <w:szCs w:val="21"/>
                <w:lang w:val="en-US" w:eastAsia="zh-CN"/>
              </w:rPr>
              <w:t>谈判</w:t>
            </w:r>
            <w:r>
              <w:rPr>
                <w:rFonts w:hint="eastAsia" w:ascii="宋体" w:hAnsi="宋体" w:eastAsia="宋体" w:cs="宋体"/>
                <w:color w:val="auto"/>
                <w:sz w:val="21"/>
                <w:szCs w:val="21"/>
              </w:rPr>
              <w:t>文件列明的其他要求</w:t>
            </w:r>
          </w:p>
        </w:tc>
        <w:tc>
          <w:tcPr>
            <w:tcW w:w="1763" w:type="pct"/>
            <w:tcBorders>
              <w:tl2br w:val="nil"/>
              <w:tr2bl w:val="nil"/>
            </w:tcBorders>
            <w:vAlign w:val="center"/>
          </w:tcPr>
          <w:p w14:paraId="0DBEA22F">
            <w:pPr>
              <w:pStyle w:val="57"/>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s="宋体"/>
                <w:color w:val="auto"/>
                <w:sz w:val="21"/>
                <w:szCs w:val="21"/>
              </w:rPr>
            </w:pPr>
          </w:p>
        </w:tc>
      </w:tr>
    </w:tbl>
    <w:p w14:paraId="3476D75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2"/>
        <w:textAlignment w:val="auto"/>
        <w:rPr>
          <w:rFonts w:hint="eastAsia" w:ascii="宋体" w:hAnsi="宋体" w:eastAsia="宋体" w:cs="宋体"/>
          <w:b w:val="0"/>
          <w:bCs/>
          <w:color w:val="auto"/>
          <w:kern w:val="2"/>
          <w:sz w:val="21"/>
          <w:szCs w:val="21"/>
          <w:lang w:val="en-US" w:eastAsia="zh-CN" w:bidi="ar-SA"/>
        </w:rPr>
      </w:pPr>
    </w:p>
    <w:p w14:paraId="531EE67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2"/>
        <w:textAlignment w:val="auto"/>
        <w:rPr>
          <w:rFonts w:hint="default"/>
          <w:b/>
          <w:bCs/>
          <w:color w:val="auto"/>
          <w:highlight w:val="none"/>
          <w:lang w:val="en-US"/>
        </w:rPr>
      </w:pPr>
      <w:r>
        <w:rPr>
          <w:rFonts w:hint="eastAsia" w:ascii="宋体" w:hAnsi="宋体" w:cs="宋体"/>
          <w:b w:val="0"/>
          <w:bCs/>
          <w:color w:val="auto"/>
          <w:kern w:val="2"/>
          <w:sz w:val="21"/>
          <w:szCs w:val="21"/>
          <w:lang w:val="en-US" w:eastAsia="zh-CN" w:bidi="ar-SA"/>
        </w:rPr>
        <w:t>☑表示选择 □表示不选择</w:t>
      </w:r>
    </w:p>
    <w:p w14:paraId="6BDEE84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0" w:firstLineChars="0"/>
        <w:textAlignment w:val="auto"/>
        <w:rPr>
          <w:rFonts w:hint="eastAsia"/>
          <w:color w:val="auto"/>
          <w:highlight w:val="none"/>
        </w:rPr>
      </w:pPr>
      <w:r>
        <w:rPr>
          <w:rFonts w:hint="eastAsia"/>
          <w:b/>
          <w:bCs/>
          <w:color w:val="auto"/>
          <w:highlight w:val="none"/>
        </w:rPr>
        <w:t>符合性审查指标通过标准：</w:t>
      </w:r>
      <w:r>
        <w:rPr>
          <w:rFonts w:hint="eastAsia"/>
          <w:color w:val="auto"/>
          <w:highlight w:val="none"/>
          <w:lang w:eastAsia="zh-CN"/>
        </w:rPr>
        <w:t>供应商</w:t>
      </w:r>
      <w:r>
        <w:rPr>
          <w:rFonts w:hint="eastAsia"/>
          <w:color w:val="auto"/>
          <w:highlight w:val="none"/>
        </w:rPr>
        <w:t>必须通过符合性审查表中的全部评审指标。</w:t>
      </w:r>
    </w:p>
    <w:p w14:paraId="702146C7">
      <w:pPr>
        <w:rPr>
          <w:rFonts w:hint="eastAsia"/>
          <w:color w:val="auto"/>
          <w:highlight w:val="none"/>
        </w:rPr>
      </w:pPr>
      <w:r>
        <w:rPr>
          <w:rFonts w:hint="eastAsia"/>
          <w:color w:val="auto"/>
          <w:highlight w:val="none"/>
        </w:rPr>
        <w:br w:type="page"/>
      </w:r>
    </w:p>
    <w:p w14:paraId="677DDC7E">
      <w:pPr>
        <w:pStyle w:val="3"/>
        <w:keepNext/>
        <w:keepLines/>
        <w:pageBreakBefore w:val="0"/>
        <w:widowControl w:val="0"/>
        <w:kinsoku/>
        <w:wordWrap/>
        <w:overflowPunct/>
        <w:topLinePunct w:val="0"/>
        <w:autoSpaceDE/>
        <w:autoSpaceDN/>
        <w:bidi w:val="0"/>
        <w:adjustRightInd/>
        <w:snapToGrid/>
        <w:spacing w:before="0" w:beforeLines="0" w:after="0" w:line="360" w:lineRule="auto"/>
        <w:jc w:val="center"/>
        <w:textAlignment w:val="auto"/>
        <w:rPr>
          <w:rFonts w:hint="eastAsia" w:ascii="宋体" w:hAnsi="宋体" w:eastAsia="宋体" w:cs="宋体"/>
          <w:b/>
          <w:bCs/>
          <w:color w:val="auto"/>
          <w:highlight w:val="none"/>
          <w:lang w:val="en-US" w:eastAsia="zh-CN"/>
        </w:rPr>
      </w:pPr>
      <w:bookmarkStart w:id="85" w:name="_Toc14106"/>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三</w:t>
      </w:r>
      <w:r>
        <w:rPr>
          <w:rFonts w:hint="eastAsia" w:ascii="宋体" w:hAnsi="宋体" w:eastAsia="宋体" w:cs="宋体"/>
          <w:b/>
          <w:bCs/>
          <w:color w:val="auto"/>
          <w:highlight w:val="none"/>
        </w:rPr>
        <w:t xml:space="preserve">节 </w:t>
      </w:r>
      <w:r>
        <w:rPr>
          <w:rFonts w:hint="eastAsia" w:ascii="宋体" w:hAnsi="宋体" w:eastAsia="宋体" w:cs="宋体"/>
          <w:b/>
          <w:bCs/>
          <w:color w:val="auto"/>
          <w:highlight w:val="none"/>
          <w:lang w:val="en-US" w:eastAsia="zh-CN"/>
        </w:rPr>
        <w:t>报价</w:t>
      </w:r>
      <w:bookmarkEnd w:id="85"/>
    </w:p>
    <w:p w14:paraId="4E88A569">
      <w:pPr>
        <w:pStyle w:val="44"/>
        <w:keepNext w:val="0"/>
        <w:keepLines w:val="0"/>
        <w:pageBreakBefore w:val="0"/>
        <w:widowControl w:val="0"/>
        <w:numPr>
          <w:ilvl w:val="0"/>
          <w:numId w:val="0"/>
        </w:numPr>
        <w:kinsoku/>
        <w:wordWrap/>
        <w:overflowPunct/>
        <w:topLinePunct w:val="0"/>
        <w:autoSpaceDE/>
        <w:autoSpaceDN/>
        <w:bidi w:val="0"/>
        <w:spacing w:before="0" w:beforeLines="0" w:line="360" w:lineRule="auto"/>
        <w:ind w:left="0" w:leftChars="0" w:firstLine="482" w:firstLineChars="200"/>
        <w:jc w:val="both"/>
        <w:textAlignment w:val="baseline"/>
        <w:rPr>
          <w:rFonts w:hint="eastAsia" w:ascii="宋体" w:hAnsi="宋体" w:eastAsia="宋体" w:cs="宋体"/>
          <w:b/>
          <w:bCs/>
          <w:color w:val="000000" w:themeColor="text1"/>
          <w:lang w:val="en-US" w:eastAsia="zh-CN"/>
          <w14:textFill>
            <w14:solidFill>
              <w14:schemeClr w14:val="tx1"/>
            </w14:solidFill>
          </w14:textFill>
        </w:rPr>
      </w:pPr>
      <w:r>
        <w:rPr>
          <w:rFonts w:hint="eastAsia" w:ascii="宋体" w:hAnsi="宋体" w:eastAsia="宋体" w:cs="宋体"/>
          <w:b/>
          <w:bCs/>
          <w:color w:val="000000" w:themeColor="text1"/>
          <w:kern w:val="2"/>
          <w:sz w:val="24"/>
          <w:szCs w:val="22"/>
          <w:lang w:val="en-US" w:eastAsia="zh-CN" w:bidi="ar-SA"/>
          <w14:textFill>
            <w14:solidFill>
              <w14:schemeClr w14:val="tx1"/>
            </w14:solidFill>
          </w14:textFill>
        </w:rPr>
        <w:t>1．</w:t>
      </w:r>
      <w:r>
        <w:rPr>
          <w:rFonts w:hint="eastAsia" w:ascii="宋体" w:hAnsi="宋体" w:eastAsia="宋体" w:cs="宋体"/>
          <w:b/>
          <w:bCs/>
          <w:color w:val="000000" w:themeColor="text1"/>
          <w:lang w:val="en-US" w:eastAsia="zh-CN"/>
          <w14:textFill>
            <w14:solidFill>
              <w14:schemeClr w14:val="tx1"/>
            </w14:solidFill>
          </w14:textFill>
        </w:rPr>
        <w:t>本项目报价采用（减价）多轮报价方式，设置保留价（底价），根据报价情况，将不高于保留价的供应商按照报价由低到高的顺序推荐3名成交候选人，不足3个成交候选人的，按实际个数推荐。</w:t>
      </w:r>
    </w:p>
    <w:p w14:paraId="76E55545">
      <w:pPr>
        <w:pStyle w:val="44"/>
        <w:keepNext w:val="0"/>
        <w:keepLines w:val="0"/>
        <w:pageBreakBefore w:val="0"/>
        <w:widowControl w:val="0"/>
        <w:numPr>
          <w:ilvl w:val="0"/>
          <w:numId w:val="0"/>
        </w:numPr>
        <w:kinsoku/>
        <w:wordWrap/>
        <w:overflowPunct/>
        <w:topLinePunct w:val="0"/>
        <w:autoSpaceDE/>
        <w:autoSpaceDN/>
        <w:bidi w:val="0"/>
        <w:spacing w:before="0" w:beforeLines="0" w:line="360" w:lineRule="auto"/>
        <w:ind w:left="0" w:leftChars="0" w:firstLine="482" w:firstLineChars="200"/>
        <w:jc w:val="both"/>
        <w:textAlignment w:val="baseline"/>
        <w:rPr>
          <w:rFonts w:hint="eastAsia" w:ascii="宋体" w:hAnsi="宋体" w:eastAsia="宋体" w:cs="宋体"/>
          <w:b/>
          <w:bCs/>
          <w:color w:val="000000" w:themeColor="text1"/>
          <w:lang w:val="en-US" w:eastAsia="zh-CN"/>
          <w14:textFill>
            <w14:solidFill>
              <w14:schemeClr w14:val="tx1"/>
            </w14:solidFill>
          </w14:textFill>
        </w:rPr>
      </w:pPr>
      <w:r>
        <w:rPr>
          <w:rFonts w:hint="eastAsia" w:ascii="宋体" w:hAnsi="宋体" w:eastAsia="宋体" w:cs="宋体"/>
          <w:b/>
          <w:bCs/>
          <w:color w:val="000000" w:themeColor="text1"/>
          <w:kern w:val="2"/>
          <w:sz w:val="24"/>
          <w:szCs w:val="22"/>
          <w:lang w:val="en-US" w:eastAsia="zh-CN" w:bidi="ar-SA"/>
          <w14:textFill>
            <w14:solidFill>
              <w14:schemeClr w14:val="tx1"/>
            </w14:solidFill>
          </w14:textFill>
        </w:rPr>
        <w:t>2．</w:t>
      </w:r>
      <w:r>
        <w:rPr>
          <w:rFonts w:hint="eastAsia" w:ascii="宋体" w:hAnsi="宋体" w:eastAsia="宋体" w:cs="宋体"/>
          <w:b/>
          <w:bCs/>
          <w:color w:val="000000" w:themeColor="text1"/>
          <w:lang w:val="en-US" w:eastAsia="zh-CN"/>
          <w14:textFill>
            <w14:solidFill>
              <w14:schemeClr w14:val="tx1"/>
            </w14:solidFill>
          </w14:textFill>
        </w:rPr>
        <w:t>报价基本情况</w:t>
      </w:r>
    </w:p>
    <w:tbl>
      <w:tblPr>
        <w:tblStyle w:val="33"/>
        <w:tblW w:w="4988"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720"/>
        <w:gridCol w:w="2764"/>
        <w:gridCol w:w="1400"/>
        <w:gridCol w:w="982"/>
        <w:gridCol w:w="2017"/>
        <w:gridCol w:w="565"/>
      </w:tblGrid>
      <w:tr w14:paraId="2F8EDA1B">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98" w:hRule="atLeast"/>
        </w:trPr>
        <w:tc>
          <w:tcPr>
            <w:tcW w:w="426" w:type="pct"/>
            <w:tcBorders>
              <w:right w:val="single" w:color="auto" w:sz="4" w:space="0"/>
              <w:tl2br w:val="nil"/>
              <w:tr2bl w:val="nil"/>
            </w:tcBorders>
            <w:shd w:val="pct10" w:color="ADB9CA" w:fill="D6DCE5"/>
            <w:tcMar>
              <w:top w:w="0" w:type="dxa"/>
              <w:left w:w="84" w:type="dxa"/>
              <w:bottom w:w="0" w:type="dxa"/>
              <w:right w:w="84" w:type="dxa"/>
            </w:tcMar>
            <w:vAlign w:val="center"/>
          </w:tcPr>
          <w:p w14:paraId="3A428E1F">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包名</w:t>
            </w:r>
          </w:p>
        </w:tc>
        <w:tc>
          <w:tcPr>
            <w:tcW w:w="1635" w:type="pct"/>
            <w:tcBorders>
              <w:left w:val="single" w:color="auto" w:sz="4" w:space="0"/>
              <w:tl2br w:val="nil"/>
              <w:tr2bl w:val="nil"/>
            </w:tcBorders>
            <w:shd w:val="pct10" w:color="ADB9CA" w:fill="D6DCE5"/>
            <w:tcMar>
              <w:top w:w="0" w:type="dxa"/>
              <w:left w:w="84" w:type="dxa"/>
              <w:bottom w:w="0" w:type="dxa"/>
              <w:right w:w="84" w:type="dxa"/>
            </w:tcMar>
            <w:vAlign w:val="center"/>
          </w:tcPr>
          <w:p w14:paraId="41E4F0B6">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标的名称</w:t>
            </w:r>
          </w:p>
        </w:tc>
        <w:tc>
          <w:tcPr>
            <w:tcW w:w="828" w:type="pct"/>
            <w:tcBorders>
              <w:tl2br w:val="nil"/>
              <w:tr2bl w:val="nil"/>
            </w:tcBorders>
            <w:shd w:val="pct10" w:color="ADB9CA" w:fill="D6DCE5"/>
            <w:tcMar>
              <w:top w:w="0" w:type="dxa"/>
              <w:left w:w="84" w:type="dxa"/>
              <w:bottom w:w="0" w:type="dxa"/>
              <w:right w:w="84" w:type="dxa"/>
            </w:tcMar>
            <w:vAlign w:val="center"/>
          </w:tcPr>
          <w:p w14:paraId="2E9C1BDD">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报价</w:t>
            </w:r>
            <w:r>
              <w:rPr>
                <w:rFonts w:hint="eastAsia" w:ascii="宋体" w:hAnsi="宋体" w:eastAsia="宋体" w:cs="宋体"/>
                <w:color w:val="000000" w:themeColor="text1"/>
                <w:sz w:val="21"/>
                <w:szCs w:val="21"/>
                <w:highlight w:val="none"/>
                <w14:textFill>
                  <w14:solidFill>
                    <w14:schemeClr w14:val="tx1"/>
                  </w14:solidFill>
                </w14:textFill>
              </w:rPr>
              <w:t>起始价（元）</w:t>
            </w:r>
          </w:p>
        </w:tc>
        <w:tc>
          <w:tcPr>
            <w:tcW w:w="581" w:type="pct"/>
            <w:tcBorders>
              <w:tl2br w:val="nil"/>
              <w:tr2bl w:val="nil"/>
            </w:tcBorders>
            <w:shd w:val="pct10" w:color="ADB9CA" w:fill="D6DCE5"/>
            <w:tcMar>
              <w:top w:w="0" w:type="dxa"/>
              <w:left w:w="84" w:type="dxa"/>
              <w:bottom w:w="0" w:type="dxa"/>
              <w:right w:w="84" w:type="dxa"/>
            </w:tcMar>
            <w:vAlign w:val="center"/>
          </w:tcPr>
          <w:p w14:paraId="45FEF42A">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保证金（元）</w:t>
            </w:r>
          </w:p>
        </w:tc>
        <w:tc>
          <w:tcPr>
            <w:tcW w:w="1193" w:type="pct"/>
            <w:tcBorders>
              <w:tl2br w:val="nil"/>
              <w:tr2bl w:val="nil"/>
            </w:tcBorders>
            <w:shd w:val="pct10" w:color="ADB9CA" w:fill="D6DCE5"/>
            <w:tcMar>
              <w:top w:w="0" w:type="dxa"/>
              <w:left w:w="84" w:type="dxa"/>
              <w:bottom w:w="0" w:type="dxa"/>
              <w:right w:w="84" w:type="dxa"/>
            </w:tcMar>
            <w:vAlign w:val="center"/>
          </w:tcPr>
          <w:p w14:paraId="587074DB">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报价</w:t>
            </w:r>
            <w:r>
              <w:rPr>
                <w:rFonts w:hint="eastAsia" w:ascii="宋体" w:hAnsi="宋体" w:eastAsia="宋体" w:cs="宋体"/>
                <w:color w:val="000000" w:themeColor="text1"/>
                <w:sz w:val="21"/>
                <w:szCs w:val="21"/>
                <w:highlight w:val="none"/>
                <w14:textFill>
                  <w14:solidFill>
                    <w14:schemeClr w14:val="tx1"/>
                  </w14:solidFill>
                </w14:textFill>
              </w:rPr>
              <w:t>（减价）幅度（元）</w:t>
            </w:r>
          </w:p>
        </w:tc>
        <w:tc>
          <w:tcPr>
            <w:tcW w:w="334" w:type="pct"/>
            <w:tcBorders>
              <w:tl2br w:val="nil"/>
              <w:tr2bl w:val="nil"/>
            </w:tcBorders>
            <w:shd w:val="pct10" w:color="ADB9CA" w:fill="D6DCE5"/>
            <w:tcMar>
              <w:top w:w="0" w:type="dxa"/>
              <w:left w:w="84" w:type="dxa"/>
              <w:bottom w:w="0" w:type="dxa"/>
              <w:right w:w="84" w:type="dxa"/>
            </w:tcMar>
            <w:vAlign w:val="center"/>
          </w:tcPr>
          <w:p w14:paraId="0B991F0F">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6775BE6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29" w:hRule="atLeast"/>
        </w:trPr>
        <w:tc>
          <w:tcPr>
            <w:tcW w:w="426" w:type="pct"/>
            <w:tcBorders>
              <w:right w:val="single" w:color="auto" w:sz="4" w:space="0"/>
              <w:tl2br w:val="nil"/>
              <w:tr2bl w:val="nil"/>
            </w:tcBorders>
            <w:shd w:val="clear" w:color="auto" w:fill="auto"/>
            <w:tcMar>
              <w:top w:w="0" w:type="dxa"/>
              <w:left w:w="84" w:type="dxa"/>
              <w:bottom w:w="0" w:type="dxa"/>
              <w:right w:w="84" w:type="dxa"/>
            </w:tcMar>
            <w:vAlign w:val="center"/>
          </w:tcPr>
          <w:p w14:paraId="29E71E55">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包1</w:t>
            </w:r>
          </w:p>
        </w:tc>
        <w:tc>
          <w:tcPr>
            <w:tcW w:w="1635" w:type="pct"/>
            <w:tcBorders>
              <w:left w:val="single" w:color="auto" w:sz="4" w:space="0"/>
              <w:tl2br w:val="nil"/>
              <w:tr2bl w:val="nil"/>
            </w:tcBorders>
            <w:tcMar>
              <w:top w:w="0" w:type="dxa"/>
              <w:left w:w="84" w:type="dxa"/>
              <w:bottom w:w="0" w:type="dxa"/>
              <w:right w:w="84" w:type="dxa"/>
            </w:tcMar>
            <w:vAlign w:val="center"/>
          </w:tcPr>
          <w:p w14:paraId="1EFD7E7C">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张家界市图书馆社科书库提质改造采购项目</w:t>
            </w:r>
          </w:p>
        </w:tc>
        <w:tc>
          <w:tcPr>
            <w:tcW w:w="828" w:type="pct"/>
            <w:tcBorders>
              <w:tl2br w:val="nil"/>
              <w:tr2bl w:val="nil"/>
            </w:tcBorders>
            <w:tcMar>
              <w:top w:w="0" w:type="dxa"/>
              <w:left w:w="84" w:type="dxa"/>
              <w:bottom w:w="0" w:type="dxa"/>
              <w:right w:w="84" w:type="dxa"/>
            </w:tcMar>
            <w:vAlign w:val="center"/>
          </w:tcPr>
          <w:p w14:paraId="1348AE0A">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494310.20</w:t>
            </w:r>
          </w:p>
        </w:tc>
        <w:tc>
          <w:tcPr>
            <w:tcW w:w="581" w:type="pct"/>
            <w:tcBorders>
              <w:tl2br w:val="nil"/>
              <w:tr2bl w:val="nil"/>
            </w:tcBorders>
            <w:tcMar>
              <w:top w:w="0" w:type="dxa"/>
              <w:left w:w="84" w:type="dxa"/>
              <w:bottom w:w="0" w:type="dxa"/>
              <w:right w:w="84" w:type="dxa"/>
            </w:tcMar>
            <w:vAlign w:val="center"/>
          </w:tcPr>
          <w:p w14:paraId="6693C56A">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1.00</w:t>
            </w:r>
          </w:p>
        </w:tc>
        <w:tc>
          <w:tcPr>
            <w:tcW w:w="1193" w:type="pct"/>
            <w:tcBorders>
              <w:tl2br w:val="nil"/>
              <w:tr2bl w:val="nil"/>
            </w:tcBorders>
            <w:tcMar>
              <w:top w:w="0" w:type="dxa"/>
              <w:left w:w="84" w:type="dxa"/>
              <w:bottom w:w="0" w:type="dxa"/>
              <w:right w:w="84" w:type="dxa"/>
            </w:tcMar>
            <w:vAlign w:val="center"/>
          </w:tcPr>
          <w:p w14:paraId="2922F698">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5000.00及其整数倍</w:t>
            </w:r>
          </w:p>
        </w:tc>
        <w:tc>
          <w:tcPr>
            <w:tcW w:w="334" w:type="pct"/>
            <w:tcBorders>
              <w:tl2br w:val="nil"/>
              <w:tr2bl w:val="nil"/>
            </w:tcBorders>
            <w:tcMar>
              <w:top w:w="0" w:type="dxa"/>
              <w:left w:w="84" w:type="dxa"/>
              <w:bottom w:w="0" w:type="dxa"/>
              <w:right w:w="84" w:type="dxa"/>
            </w:tcMar>
            <w:vAlign w:val="center"/>
          </w:tcPr>
          <w:p w14:paraId="245566B0">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21"/>
                <w:szCs w:val="21"/>
                <w:lang w:val="en-US" w:eastAsia="zh-CN"/>
              </w:rPr>
            </w:pPr>
          </w:p>
        </w:tc>
      </w:tr>
    </w:tbl>
    <w:p w14:paraId="447A9860">
      <w:pPr>
        <w:pStyle w:val="44"/>
        <w:keepNext w:val="0"/>
        <w:keepLines w:val="0"/>
        <w:pageBreakBefore w:val="0"/>
        <w:widowControl w:val="0"/>
        <w:numPr>
          <w:ilvl w:val="0"/>
          <w:numId w:val="0"/>
        </w:numPr>
        <w:kinsoku/>
        <w:wordWrap/>
        <w:overflowPunct/>
        <w:topLinePunct w:val="0"/>
        <w:autoSpaceDE/>
        <w:autoSpaceDN/>
        <w:bidi w:val="0"/>
        <w:spacing w:before="0" w:beforeLines="0" w:line="360" w:lineRule="auto"/>
        <w:ind w:left="0" w:leftChars="0" w:firstLine="482" w:firstLineChars="200"/>
        <w:jc w:val="both"/>
        <w:textAlignment w:val="baseline"/>
        <w:rPr>
          <w:rFonts w:hint="eastAsia" w:ascii="宋体" w:hAnsi="宋体" w:eastAsia="宋体" w:cs="宋体"/>
          <w:b/>
          <w:bCs/>
          <w:color w:val="000000" w:themeColor="text1"/>
          <w:lang w:val="en-US" w:eastAsia="zh-CN"/>
          <w14:textFill>
            <w14:solidFill>
              <w14:schemeClr w14:val="tx1"/>
            </w14:solidFill>
          </w14:textFill>
        </w:rPr>
      </w:pPr>
    </w:p>
    <w:p w14:paraId="32E6838B">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2" w:firstLineChars="200"/>
        <w:jc w:val="both"/>
        <w:textAlignment w:val="baseline"/>
        <w:rPr>
          <w:rFonts w:hint="eastAsia" w:ascii="宋体" w:hAnsi="宋体" w:eastAsia="宋体" w:cs="宋体"/>
          <w:b/>
          <w:bCs/>
          <w:color w:val="000000" w:themeColor="text1"/>
          <w:lang w:val="en-US" w:eastAsia="zh-CN"/>
          <w14:textFill>
            <w14:solidFill>
              <w14:schemeClr w14:val="tx1"/>
            </w14:solidFill>
          </w14:textFill>
        </w:rPr>
      </w:pPr>
      <w:r>
        <w:rPr>
          <w:rFonts w:hint="eastAsia" w:ascii="宋体" w:hAnsi="宋体" w:eastAsia="宋体" w:cs="宋体"/>
          <w:b/>
          <w:bCs/>
          <w:color w:val="000000" w:themeColor="text1"/>
          <w:kern w:val="2"/>
          <w:sz w:val="24"/>
          <w:szCs w:val="22"/>
          <w:lang w:val="en-US" w:eastAsia="zh-CN" w:bidi="ar-SA"/>
          <w14:textFill>
            <w14:solidFill>
              <w14:schemeClr w14:val="tx1"/>
            </w14:solidFill>
          </w14:textFill>
        </w:rPr>
        <w:t>3．</w:t>
      </w:r>
      <w:r>
        <w:rPr>
          <w:rFonts w:hint="eastAsia" w:ascii="宋体" w:hAnsi="宋体" w:eastAsia="宋体" w:cs="宋体"/>
          <w:b/>
          <w:bCs/>
          <w:color w:val="000000" w:themeColor="text1"/>
          <w:lang w:val="en-US" w:eastAsia="zh-CN"/>
          <w14:textFill>
            <w14:solidFill>
              <w14:schemeClr w14:val="tx1"/>
            </w14:solidFill>
          </w14:textFill>
        </w:rPr>
        <w:t>报价时间安排</w:t>
      </w:r>
    </w:p>
    <w:p w14:paraId="06042961">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jc w:val="both"/>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auto"/>
          <w:kern w:val="2"/>
          <w:sz w:val="24"/>
          <w:szCs w:val="22"/>
          <w:lang w:val="en-US" w:eastAsia="zh-CN" w:bidi="ar-SA"/>
        </w:rPr>
        <w:t>(1)</w:t>
      </w:r>
      <w:r>
        <w:rPr>
          <w:rFonts w:hint="eastAsia" w:ascii="宋体" w:hAnsi="宋体" w:eastAsia="宋体" w:cs="宋体"/>
          <w:color w:val="auto"/>
          <w:highlight w:val="none"/>
        </w:rPr>
        <w:t>自由</w:t>
      </w:r>
      <w:r>
        <w:rPr>
          <w:rFonts w:hint="eastAsia" w:ascii="宋体" w:hAnsi="宋体" w:eastAsia="宋体" w:cs="宋体"/>
          <w:color w:val="auto"/>
          <w:highlight w:val="none"/>
          <w:lang w:val="en-US" w:eastAsia="zh-CN"/>
        </w:rPr>
        <w:t>报价</w:t>
      </w:r>
      <w:r>
        <w:rPr>
          <w:rFonts w:hint="eastAsia" w:ascii="宋体" w:hAnsi="宋体" w:eastAsia="宋体" w:cs="宋体"/>
          <w:color w:val="auto"/>
          <w:highlight w:val="none"/>
        </w:rPr>
        <w:t>开始时间：</w:t>
      </w:r>
      <w:r>
        <w:rPr>
          <w:rFonts w:hint="eastAsia" w:ascii="宋体" w:hAnsi="宋体" w:cs="宋体"/>
          <w:color w:val="FF0000"/>
          <w:highlight w:val="none"/>
          <w:u w:val="single"/>
          <w:lang w:eastAsia="zh-CN"/>
        </w:rPr>
        <w:t>2026年07月14日</w:t>
      </w:r>
      <w:r>
        <w:rPr>
          <w:rFonts w:hint="eastAsia" w:ascii="宋体" w:hAnsi="宋体" w:eastAsia="宋体" w:cs="宋体"/>
          <w:color w:val="auto"/>
          <w:highlight w:val="none"/>
        </w:rPr>
        <w:t>（备注：</w:t>
      </w:r>
      <w:r>
        <w:rPr>
          <w:rFonts w:hint="eastAsia" w:ascii="宋体" w:hAnsi="宋体" w:eastAsia="宋体" w:cs="宋体"/>
          <w:color w:val="000000" w:themeColor="text1"/>
          <w:highlight w:val="none"/>
          <w14:textFill>
            <w14:solidFill>
              <w14:schemeClr w14:val="tx1"/>
            </w14:solidFill>
          </w14:textFill>
        </w:rPr>
        <w:t>经</w:t>
      </w:r>
      <w:r>
        <w:rPr>
          <w:rFonts w:hint="eastAsia" w:ascii="宋体" w:hAnsi="宋体" w:eastAsia="宋体" w:cs="宋体"/>
          <w:color w:val="000000" w:themeColor="text1"/>
          <w:highlight w:val="none"/>
          <w:lang w:val="en-US" w:eastAsia="zh-CN"/>
          <w14:textFill>
            <w14:solidFill>
              <w14:schemeClr w14:val="tx1"/>
            </w14:solidFill>
          </w14:textFill>
        </w:rPr>
        <w:t>资格审查和符合性审查</w:t>
      </w:r>
      <w:r>
        <w:rPr>
          <w:rFonts w:hint="eastAsia" w:ascii="宋体" w:hAnsi="宋体" w:eastAsia="宋体" w:cs="宋体"/>
          <w:color w:val="000000" w:themeColor="text1"/>
          <w:highlight w:val="none"/>
          <w14:textFill>
            <w14:solidFill>
              <w14:schemeClr w14:val="tx1"/>
            </w14:solidFill>
          </w14:textFill>
        </w:rPr>
        <w:t>通过后由系统颁发资格证书进行</w:t>
      </w:r>
      <w:r>
        <w:rPr>
          <w:rFonts w:hint="eastAsia" w:ascii="宋体" w:hAnsi="宋体" w:eastAsia="宋体" w:cs="宋体"/>
          <w:color w:val="000000" w:themeColor="text1"/>
          <w:highlight w:val="none"/>
          <w:lang w:val="en-US" w:eastAsia="zh-CN"/>
          <w14:textFill>
            <w14:solidFill>
              <w14:schemeClr w14:val="tx1"/>
            </w14:solidFill>
          </w14:textFill>
        </w:rPr>
        <w:t>报价</w:t>
      </w:r>
      <w:r>
        <w:rPr>
          <w:rFonts w:hint="eastAsia" w:ascii="宋体" w:hAnsi="宋体" w:eastAsia="宋体" w:cs="宋体"/>
          <w:color w:val="000000" w:themeColor="text1"/>
          <w:highlight w:val="none"/>
          <w14:textFill>
            <w14:solidFill>
              <w14:schemeClr w14:val="tx1"/>
            </w14:solidFill>
          </w14:textFill>
        </w:rPr>
        <w:t>）。</w:t>
      </w:r>
    </w:p>
    <w:p w14:paraId="740161AC">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jc w:val="both"/>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auto"/>
          <w:kern w:val="2"/>
          <w:sz w:val="24"/>
          <w:szCs w:val="22"/>
          <w:lang w:val="en-US" w:eastAsia="zh-CN" w:bidi="ar-SA"/>
        </w:rPr>
        <w:t>(2)</w:t>
      </w:r>
      <w:r>
        <w:rPr>
          <w:rFonts w:hint="eastAsia" w:ascii="宋体" w:hAnsi="宋体" w:eastAsia="宋体" w:cs="宋体"/>
          <w:color w:val="auto"/>
          <w:highlight w:val="none"/>
        </w:rPr>
        <w:t>限时</w:t>
      </w:r>
      <w:r>
        <w:rPr>
          <w:rFonts w:hint="eastAsia" w:ascii="宋体" w:hAnsi="宋体" w:eastAsia="宋体" w:cs="宋体"/>
          <w:color w:val="auto"/>
          <w:highlight w:val="none"/>
          <w:lang w:eastAsia="zh-CN"/>
        </w:rPr>
        <w:t>报价</w:t>
      </w:r>
      <w:r>
        <w:rPr>
          <w:rFonts w:hint="eastAsia" w:ascii="宋体" w:hAnsi="宋体" w:eastAsia="宋体" w:cs="宋体"/>
          <w:color w:val="auto"/>
          <w:highlight w:val="none"/>
        </w:rPr>
        <w:t>开始时间：</w:t>
      </w:r>
      <w:r>
        <w:rPr>
          <w:rFonts w:hint="eastAsia" w:ascii="宋体" w:hAnsi="宋体" w:cs="宋体"/>
          <w:color w:val="FF0000"/>
          <w:highlight w:val="none"/>
          <w:u w:val="single"/>
          <w:lang w:eastAsia="zh-CN"/>
        </w:rPr>
        <w:t>2026年07月14日</w:t>
      </w:r>
      <w:r>
        <w:rPr>
          <w:rFonts w:hint="eastAsia" w:ascii="宋体" w:hAnsi="宋体" w:eastAsia="宋体" w:cs="宋体"/>
          <w:color w:val="FF0000"/>
          <w:highlight w:val="none"/>
          <w:u w:val="single"/>
        </w:rPr>
        <w:t>1</w:t>
      </w:r>
      <w:r>
        <w:rPr>
          <w:rFonts w:hint="eastAsia" w:ascii="宋体" w:hAnsi="宋体" w:cs="宋体"/>
          <w:color w:val="FF0000"/>
          <w:highlight w:val="none"/>
          <w:u w:val="single"/>
          <w:lang w:val="en-US" w:eastAsia="zh-CN"/>
        </w:rPr>
        <w:t>5</w:t>
      </w:r>
      <w:r>
        <w:rPr>
          <w:rFonts w:hint="eastAsia" w:ascii="宋体" w:hAnsi="宋体" w:eastAsia="宋体" w:cs="宋体"/>
          <w:color w:val="FF0000"/>
          <w:highlight w:val="none"/>
          <w:u w:val="single"/>
          <w:lang w:eastAsia="zh-CN"/>
        </w:rPr>
        <w:t>:</w:t>
      </w:r>
      <w:r>
        <w:rPr>
          <w:rFonts w:hint="eastAsia" w:ascii="宋体" w:hAnsi="宋体" w:eastAsia="宋体" w:cs="宋体"/>
          <w:color w:val="FF0000"/>
          <w:highlight w:val="none"/>
          <w:u w:val="single"/>
        </w:rPr>
        <w:t>00</w:t>
      </w:r>
      <w:r>
        <w:rPr>
          <w:rFonts w:hint="eastAsia" w:ascii="宋体" w:hAnsi="宋体" w:eastAsia="宋体" w:cs="宋体"/>
          <w:color w:val="FF0000"/>
          <w:highlight w:val="none"/>
        </w:rPr>
        <w:t>。</w:t>
      </w:r>
    </w:p>
    <w:p w14:paraId="198B2F6A">
      <w:pPr>
        <w:rPr>
          <w:color w:val="auto"/>
          <w:highlight w:val="none"/>
        </w:rPr>
      </w:pPr>
    </w:p>
    <w:p w14:paraId="0F1ACF05">
      <w:pPr>
        <w:pStyle w:val="17"/>
        <w:ind w:firstLine="480"/>
        <w:rPr>
          <w:color w:val="auto"/>
          <w:highlight w:val="none"/>
        </w:rPr>
        <w:sectPr>
          <w:headerReference r:id="rId8" w:type="default"/>
          <w:footerReference r:id="rId9" w:type="default"/>
          <w:type w:val="continuous"/>
          <w:pgSz w:w="11906" w:h="16838"/>
          <w:pgMar w:top="1134" w:right="1803" w:bottom="1134" w:left="1803" w:header="850" w:footer="624" w:gutter="0"/>
          <w:pgBorders>
            <w:top w:val="none" w:sz="0" w:space="0"/>
            <w:left w:val="none" w:sz="0" w:space="0"/>
            <w:bottom w:val="none" w:sz="0" w:space="0"/>
            <w:right w:val="none" w:sz="0" w:space="0"/>
          </w:pgBorders>
          <w:pgNumType w:fmt="decimal"/>
          <w:cols w:space="0" w:num="1"/>
          <w:docGrid w:type="lines" w:linePitch="312" w:charSpace="0"/>
        </w:sectPr>
      </w:pPr>
    </w:p>
    <w:p w14:paraId="333ED46A">
      <w:pPr>
        <w:pStyle w:val="2"/>
        <w:keepNext w:val="0"/>
        <w:keepLines w:val="0"/>
        <w:pageBreakBefore/>
        <w:widowControl w:val="0"/>
        <w:kinsoku/>
        <w:wordWrap/>
        <w:overflowPunct/>
        <w:topLinePunct w:val="0"/>
        <w:autoSpaceDE/>
        <w:autoSpaceDN/>
        <w:bidi w:val="0"/>
        <w:adjustRightInd/>
        <w:snapToGrid/>
        <w:spacing w:before="0" w:beforeLines="0" w:after="0" w:afterLines="0" w:line="360" w:lineRule="auto"/>
        <w:jc w:val="center"/>
        <w:textAlignment w:val="auto"/>
        <w:rPr>
          <w:color w:val="auto"/>
          <w:highlight w:val="none"/>
        </w:rPr>
      </w:pPr>
      <w:bookmarkStart w:id="86" w:name="_Toc6985"/>
      <w:bookmarkStart w:id="87" w:name="_Toc26312"/>
      <w:bookmarkStart w:id="88" w:name="_Toc5358"/>
      <w:r>
        <w:rPr>
          <w:rFonts w:hint="eastAsia" w:ascii="宋体" w:hAnsi="宋体" w:eastAsia="宋体" w:cs="宋体"/>
          <w:b/>
          <w:bCs w:val="0"/>
          <w:color w:val="auto"/>
          <w:highlight w:val="none"/>
        </w:rPr>
        <w:t xml:space="preserve">第五章 </w:t>
      </w:r>
      <w:bookmarkEnd w:id="86"/>
      <w:bookmarkEnd w:id="87"/>
      <w:r>
        <w:rPr>
          <w:rFonts w:hint="eastAsia" w:ascii="宋体" w:hAnsi="宋体" w:eastAsia="宋体" w:cs="宋体"/>
          <w:b/>
          <w:bCs w:val="0"/>
          <w:color w:val="auto"/>
          <w:highlight w:val="none"/>
        </w:rPr>
        <w:t>政府采购合同</w:t>
      </w:r>
      <w:r>
        <w:rPr>
          <w:rFonts w:hint="eastAsia" w:ascii="宋体" w:hAnsi="宋体" w:eastAsia="宋体" w:cs="宋体"/>
          <w:b/>
          <w:bCs w:val="0"/>
          <w:color w:val="auto"/>
          <w:highlight w:val="none"/>
          <w:lang w:val="en-US" w:eastAsia="zh-CN"/>
        </w:rPr>
        <w:t>参考范本</w:t>
      </w:r>
      <w:bookmarkEnd w:id="88"/>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
        <w:gridCol w:w="3333"/>
        <w:gridCol w:w="300"/>
        <w:gridCol w:w="5232"/>
        <w:gridCol w:w="747"/>
      </w:tblGrid>
      <w:tr w14:paraId="33AA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000" w:type="pct"/>
            <w:gridSpan w:val="5"/>
            <w:tcBorders>
              <w:top w:val="nil"/>
              <w:left w:val="nil"/>
              <w:bottom w:val="nil"/>
              <w:right w:val="nil"/>
            </w:tcBorders>
          </w:tcPr>
          <w:p w14:paraId="167F0EE6">
            <w:pPr>
              <w:pStyle w:val="4"/>
              <w:numPr>
                <w:ilvl w:val="2"/>
                <w:numId w:val="0"/>
              </w:numPr>
              <w:rPr>
                <w:rFonts w:hint="eastAsia" w:eastAsia="宋体"/>
                <w:lang w:eastAsia="zh-CN"/>
              </w:rPr>
            </w:pPr>
          </w:p>
        </w:tc>
      </w:tr>
      <w:tr w14:paraId="1CFF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jc w:val="center"/>
        </w:trPr>
        <w:tc>
          <w:tcPr>
            <w:tcW w:w="5000" w:type="pct"/>
            <w:gridSpan w:val="5"/>
            <w:tcBorders>
              <w:top w:val="nil"/>
              <w:left w:val="nil"/>
              <w:bottom w:val="nil"/>
              <w:right w:val="nil"/>
            </w:tcBorders>
          </w:tcPr>
          <w:p w14:paraId="19488B35">
            <w:pPr>
              <w:spacing w:line="240" w:lineRule="auto"/>
              <w:jc w:val="both"/>
              <w:rPr>
                <w:rFonts w:hint="eastAsia" w:ascii="方正小标宋_GBK" w:hAnsi="方正小标宋_GBK" w:eastAsia="方正小标宋_GBK" w:cs="方正小标宋_GBK"/>
                <w:sz w:val="72"/>
                <w:szCs w:val="72"/>
              </w:rPr>
            </w:pPr>
          </w:p>
          <w:p w14:paraId="33A50790">
            <w:pPr>
              <w:spacing w:line="240" w:lineRule="auto"/>
              <w:jc w:val="center"/>
              <w:rPr>
                <w:rFonts w:ascii="Times New Roman" w:hAnsi="Times New Roman" w:eastAsia="宋体" w:cs="Times New Roman"/>
                <w:b/>
              </w:rPr>
            </w:pPr>
            <w:r>
              <w:rPr>
                <w:rFonts w:hint="eastAsia" w:ascii="宋体" w:hAnsi="宋体" w:eastAsia="宋体" w:cs="宋体"/>
                <w:b/>
                <w:bCs/>
                <w:sz w:val="72"/>
                <w:szCs w:val="72"/>
              </w:rPr>
              <w:t>政府采购合同</w:t>
            </w:r>
          </w:p>
        </w:tc>
      </w:tr>
      <w:tr w14:paraId="23A2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5000" w:type="pct"/>
            <w:gridSpan w:val="5"/>
            <w:tcBorders>
              <w:top w:val="nil"/>
              <w:left w:val="nil"/>
              <w:bottom w:val="nil"/>
              <w:right w:val="nil"/>
            </w:tcBorders>
          </w:tcPr>
          <w:p w14:paraId="1CC00DBC">
            <w:pPr>
              <w:spacing w:line="240" w:lineRule="auto"/>
              <w:jc w:val="center"/>
              <w:rPr>
                <w:rFonts w:hint="eastAsia" w:ascii="方正小标宋_GBK" w:hAnsi="方正小标宋_GBK" w:eastAsia="方正小标宋_GBK" w:cs="方正小标宋_GBK"/>
                <w:sz w:val="56"/>
                <w:szCs w:val="56"/>
              </w:rPr>
            </w:pPr>
          </w:p>
          <w:p w14:paraId="7D126350">
            <w:pPr>
              <w:spacing w:line="240" w:lineRule="auto"/>
              <w:jc w:val="center"/>
              <w:rPr>
                <w:rFonts w:ascii="Times New Roman" w:hAnsi="Times New Roman" w:eastAsia="宋体" w:cs="Times New Roman"/>
                <w:sz w:val="44"/>
              </w:rPr>
            </w:pPr>
            <w:r>
              <w:rPr>
                <w:rFonts w:hint="eastAsia" w:ascii="宋体" w:hAnsi="宋体" w:eastAsia="宋体" w:cs="宋体"/>
                <w:b/>
                <w:bCs/>
                <w:sz w:val="56"/>
                <w:szCs w:val="56"/>
              </w:rPr>
              <w:t>（</w:t>
            </w:r>
            <w:r>
              <w:rPr>
                <w:rFonts w:hint="eastAsia" w:ascii="宋体" w:hAnsi="宋体" w:eastAsia="宋体" w:cs="宋体"/>
                <w:b/>
                <w:bCs/>
                <w:sz w:val="56"/>
                <w:szCs w:val="56"/>
                <w:lang w:val="en-US" w:eastAsia="zh-CN"/>
              </w:rPr>
              <w:t>服务</w:t>
            </w:r>
            <w:r>
              <w:rPr>
                <w:rFonts w:hint="eastAsia" w:ascii="宋体" w:hAnsi="宋体" w:eastAsia="宋体" w:cs="宋体"/>
                <w:b/>
                <w:bCs/>
                <w:sz w:val="56"/>
                <w:szCs w:val="56"/>
              </w:rPr>
              <w:t>类）</w:t>
            </w:r>
          </w:p>
        </w:tc>
      </w:tr>
      <w:tr w14:paraId="7574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5000" w:type="pct"/>
            <w:gridSpan w:val="5"/>
            <w:tcBorders>
              <w:top w:val="nil"/>
              <w:left w:val="nil"/>
              <w:bottom w:val="nil"/>
              <w:right w:val="nil"/>
            </w:tcBorders>
          </w:tcPr>
          <w:p w14:paraId="065F2016">
            <w:pPr>
              <w:pStyle w:val="44"/>
              <w:spacing w:before="240"/>
              <w:ind w:firstLine="480"/>
              <w:jc w:val="center"/>
            </w:pPr>
          </w:p>
        </w:tc>
      </w:tr>
      <w:tr w14:paraId="1A62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3" w:type="pct"/>
            <w:vMerge w:val="restart"/>
            <w:tcBorders>
              <w:top w:val="nil"/>
              <w:left w:val="nil"/>
              <w:bottom w:val="nil"/>
              <w:right w:val="nil"/>
            </w:tcBorders>
            <w:vAlign w:val="center"/>
          </w:tcPr>
          <w:p w14:paraId="32489E90">
            <w:pPr>
              <w:adjustRightInd w:val="0"/>
              <w:snapToGrid w:val="0"/>
              <w:rPr>
                <w:rFonts w:ascii="Times New Roman" w:hAnsi="Times New Roman" w:eastAsia="楷体_GB2312" w:cs="Times New Roman"/>
                <w:sz w:val="52"/>
              </w:rPr>
            </w:pPr>
          </w:p>
        </w:tc>
        <w:tc>
          <w:tcPr>
            <w:tcW w:w="1691" w:type="pct"/>
            <w:tcBorders>
              <w:top w:val="nil"/>
              <w:left w:val="nil"/>
              <w:bottom w:val="nil"/>
              <w:right w:val="nil"/>
            </w:tcBorders>
            <w:vAlign w:val="center"/>
          </w:tcPr>
          <w:p w14:paraId="22F20B9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distribute"/>
              <w:textAlignment w:val="auto"/>
              <w:rPr>
                <w:rFonts w:hint="eastAsia" w:ascii="宋体" w:hAnsi="宋体" w:eastAsia="宋体" w:cs="宋体"/>
                <w:b/>
                <w:bCs/>
                <w:sz w:val="32"/>
                <w:szCs w:val="32"/>
              </w:rPr>
            </w:pPr>
            <w:r>
              <w:rPr>
                <w:rFonts w:hint="eastAsia" w:ascii="宋体" w:hAnsi="宋体" w:eastAsia="宋体" w:cs="宋体"/>
                <w:b/>
                <w:bCs/>
                <w:sz w:val="32"/>
                <w:szCs w:val="32"/>
                <w:highlight w:val="white"/>
              </w:rPr>
              <w:t>项目名称：</w:t>
            </w:r>
          </w:p>
        </w:tc>
        <w:tc>
          <w:tcPr>
            <w:tcW w:w="152" w:type="pct"/>
            <w:tcBorders>
              <w:top w:val="nil"/>
              <w:left w:val="nil"/>
              <w:bottom w:val="nil"/>
              <w:right w:val="nil"/>
            </w:tcBorders>
            <w:vAlign w:val="center"/>
          </w:tcPr>
          <w:p w14:paraId="427FB490">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2655" w:type="pct"/>
            <w:tcBorders>
              <w:top w:val="nil"/>
              <w:left w:val="nil"/>
              <w:bottom w:val="nil"/>
              <w:right w:val="nil"/>
            </w:tcBorders>
            <w:vAlign w:val="center"/>
          </w:tcPr>
          <w:p w14:paraId="32FF9827">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pacing w:val="20"/>
                <w:sz w:val="32"/>
                <w:szCs w:val="32"/>
              </w:rPr>
            </w:pPr>
            <w:r>
              <w:rPr>
                <w:rFonts w:hint="eastAsia" w:ascii="宋体" w:hAnsi="宋体" w:cs="宋体"/>
                <w:b/>
                <w:bCs/>
                <w:kern w:val="2"/>
                <w:sz w:val="32"/>
                <w:szCs w:val="32"/>
                <w:lang w:val="en-US" w:eastAsia="zh-CN" w:bidi="ar-SA"/>
              </w:rPr>
              <w:t>张家界市图书馆社科书库提质改造采购项目</w:t>
            </w:r>
          </w:p>
        </w:tc>
        <w:tc>
          <w:tcPr>
            <w:tcW w:w="377" w:type="pct"/>
            <w:vMerge w:val="restart"/>
            <w:tcBorders>
              <w:top w:val="nil"/>
              <w:left w:val="nil"/>
              <w:bottom w:val="nil"/>
              <w:right w:val="nil"/>
            </w:tcBorders>
            <w:vAlign w:val="center"/>
          </w:tcPr>
          <w:p w14:paraId="6A6A10C8">
            <w:pPr>
              <w:adjustRightInd w:val="0"/>
              <w:snapToGrid w:val="0"/>
              <w:rPr>
                <w:rFonts w:ascii="Times New Roman" w:hAnsi="Times New Roman" w:eastAsia="楷体_GB2312" w:cs="Times New Roman"/>
                <w:sz w:val="52"/>
              </w:rPr>
            </w:pPr>
          </w:p>
        </w:tc>
      </w:tr>
      <w:tr w14:paraId="122C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23" w:type="pct"/>
            <w:vMerge w:val="continue"/>
            <w:tcBorders>
              <w:top w:val="nil"/>
              <w:left w:val="nil"/>
              <w:bottom w:val="nil"/>
              <w:right w:val="nil"/>
            </w:tcBorders>
            <w:vAlign w:val="center"/>
          </w:tcPr>
          <w:p w14:paraId="19B2436E">
            <w:pPr>
              <w:widowControl/>
              <w:jc w:val="left"/>
              <w:rPr>
                <w:rFonts w:ascii="Times New Roman" w:hAnsi="Times New Roman" w:eastAsia="楷体_GB2312" w:cs="Times New Roman"/>
                <w:sz w:val="52"/>
              </w:rPr>
            </w:pPr>
          </w:p>
        </w:tc>
        <w:tc>
          <w:tcPr>
            <w:tcW w:w="1691" w:type="pct"/>
            <w:tcBorders>
              <w:top w:val="nil"/>
              <w:left w:val="nil"/>
              <w:bottom w:val="nil"/>
              <w:right w:val="nil"/>
            </w:tcBorders>
            <w:vAlign w:val="center"/>
          </w:tcPr>
          <w:p w14:paraId="4DFA841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distribute"/>
              <w:textAlignment w:val="auto"/>
              <w:rPr>
                <w:rFonts w:hint="eastAsia" w:ascii="宋体" w:hAnsi="宋体" w:eastAsia="宋体" w:cs="宋体"/>
                <w:b/>
                <w:bCs/>
                <w:sz w:val="32"/>
                <w:szCs w:val="32"/>
              </w:rPr>
            </w:pPr>
            <w:r>
              <w:rPr>
                <w:rFonts w:hint="eastAsia" w:ascii="宋体" w:hAnsi="宋体" w:eastAsia="宋体" w:cs="宋体"/>
                <w:b/>
                <w:bCs/>
                <w:sz w:val="32"/>
                <w:szCs w:val="32"/>
                <w:highlight w:val="white"/>
              </w:rPr>
              <w:t>采购合同编号：</w:t>
            </w:r>
          </w:p>
        </w:tc>
        <w:tc>
          <w:tcPr>
            <w:tcW w:w="152" w:type="pct"/>
            <w:tcBorders>
              <w:top w:val="nil"/>
              <w:left w:val="nil"/>
              <w:bottom w:val="nil"/>
              <w:right w:val="nil"/>
            </w:tcBorders>
            <w:vAlign w:val="center"/>
          </w:tcPr>
          <w:p w14:paraId="4E0F4EBC">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2655" w:type="pct"/>
            <w:tcBorders>
              <w:top w:val="nil"/>
              <w:left w:val="nil"/>
              <w:bottom w:val="nil"/>
              <w:right w:val="nil"/>
            </w:tcBorders>
            <w:vAlign w:val="center"/>
          </w:tcPr>
          <w:p w14:paraId="5176FB89">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377" w:type="pct"/>
            <w:vMerge w:val="continue"/>
            <w:tcBorders>
              <w:top w:val="nil"/>
              <w:left w:val="nil"/>
              <w:bottom w:val="nil"/>
              <w:right w:val="nil"/>
            </w:tcBorders>
            <w:vAlign w:val="center"/>
          </w:tcPr>
          <w:p w14:paraId="5A243A85">
            <w:pPr>
              <w:widowControl/>
              <w:jc w:val="distribute"/>
              <w:rPr>
                <w:rFonts w:ascii="Times New Roman" w:hAnsi="Times New Roman" w:eastAsia="楷体_GB2312" w:cs="Times New Roman"/>
                <w:sz w:val="52"/>
              </w:rPr>
            </w:pPr>
          </w:p>
        </w:tc>
      </w:tr>
      <w:tr w14:paraId="31E9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3" w:type="pct"/>
            <w:vMerge w:val="continue"/>
            <w:tcBorders>
              <w:top w:val="nil"/>
              <w:left w:val="nil"/>
              <w:bottom w:val="nil"/>
              <w:right w:val="nil"/>
            </w:tcBorders>
            <w:vAlign w:val="center"/>
          </w:tcPr>
          <w:p w14:paraId="1FBCFA3B">
            <w:pPr>
              <w:widowControl/>
              <w:jc w:val="left"/>
              <w:rPr>
                <w:rFonts w:ascii="Times New Roman" w:hAnsi="Times New Roman" w:eastAsia="楷体_GB2312" w:cs="Times New Roman"/>
                <w:sz w:val="52"/>
              </w:rPr>
            </w:pPr>
          </w:p>
        </w:tc>
        <w:tc>
          <w:tcPr>
            <w:tcW w:w="1691" w:type="pct"/>
            <w:tcBorders>
              <w:top w:val="nil"/>
              <w:left w:val="nil"/>
              <w:bottom w:val="nil"/>
              <w:right w:val="nil"/>
            </w:tcBorders>
            <w:vAlign w:val="center"/>
          </w:tcPr>
          <w:p w14:paraId="2B97298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distribute"/>
              <w:textAlignment w:val="auto"/>
              <w:rPr>
                <w:rFonts w:hint="eastAsia" w:ascii="宋体" w:hAnsi="宋体" w:eastAsia="宋体" w:cs="宋体"/>
                <w:b/>
                <w:bCs/>
                <w:sz w:val="32"/>
                <w:szCs w:val="32"/>
              </w:rPr>
            </w:pPr>
            <w:r>
              <w:rPr>
                <w:rFonts w:hint="eastAsia" w:ascii="宋体" w:hAnsi="宋体" w:eastAsia="宋体" w:cs="宋体"/>
                <w:b/>
                <w:bCs/>
                <w:sz w:val="32"/>
                <w:szCs w:val="32"/>
                <w:highlight w:val="white"/>
              </w:rPr>
              <w:t>甲方（采购人）：</w:t>
            </w:r>
          </w:p>
        </w:tc>
        <w:tc>
          <w:tcPr>
            <w:tcW w:w="152" w:type="pct"/>
            <w:tcBorders>
              <w:top w:val="nil"/>
              <w:left w:val="nil"/>
              <w:bottom w:val="nil"/>
              <w:right w:val="nil"/>
            </w:tcBorders>
            <w:vAlign w:val="center"/>
          </w:tcPr>
          <w:p w14:paraId="05AD3AC6">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2655" w:type="pct"/>
            <w:tcBorders>
              <w:top w:val="nil"/>
              <w:left w:val="nil"/>
              <w:bottom w:val="nil"/>
              <w:right w:val="nil"/>
            </w:tcBorders>
            <w:vAlign w:val="center"/>
          </w:tcPr>
          <w:p w14:paraId="6A6BD571">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r>
              <w:rPr>
                <w:rStyle w:val="45"/>
                <w:rFonts w:hint="eastAsia" w:ascii="宋体" w:hAnsi="宋体" w:cs="宋体"/>
                <w:b/>
                <w:bCs/>
                <w:sz w:val="32"/>
                <w:szCs w:val="32"/>
              </w:rPr>
              <w:t>张家界市文化旅游广电体育局</w:t>
            </w:r>
          </w:p>
        </w:tc>
        <w:tc>
          <w:tcPr>
            <w:tcW w:w="377" w:type="pct"/>
            <w:vMerge w:val="continue"/>
            <w:tcBorders>
              <w:top w:val="nil"/>
              <w:left w:val="nil"/>
              <w:bottom w:val="nil"/>
              <w:right w:val="nil"/>
            </w:tcBorders>
            <w:vAlign w:val="center"/>
          </w:tcPr>
          <w:p w14:paraId="6738F4CF">
            <w:pPr>
              <w:widowControl/>
              <w:jc w:val="distribute"/>
              <w:rPr>
                <w:rFonts w:ascii="Times New Roman" w:hAnsi="Times New Roman" w:eastAsia="楷体_GB2312" w:cs="Times New Roman"/>
                <w:sz w:val="52"/>
              </w:rPr>
            </w:pPr>
          </w:p>
        </w:tc>
      </w:tr>
      <w:tr w14:paraId="117E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3" w:type="pct"/>
            <w:vMerge w:val="continue"/>
            <w:tcBorders>
              <w:top w:val="nil"/>
              <w:left w:val="nil"/>
              <w:bottom w:val="nil"/>
              <w:right w:val="nil"/>
            </w:tcBorders>
            <w:vAlign w:val="center"/>
          </w:tcPr>
          <w:p w14:paraId="3E58E07C">
            <w:pPr>
              <w:widowControl/>
              <w:jc w:val="left"/>
              <w:rPr>
                <w:rFonts w:ascii="Times New Roman" w:hAnsi="Times New Roman" w:eastAsia="楷体_GB2312" w:cs="Times New Roman"/>
                <w:sz w:val="52"/>
              </w:rPr>
            </w:pPr>
          </w:p>
        </w:tc>
        <w:tc>
          <w:tcPr>
            <w:tcW w:w="1691" w:type="pct"/>
            <w:tcBorders>
              <w:top w:val="nil"/>
              <w:left w:val="nil"/>
              <w:bottom w:val="nil"/>
              <w:right w:val="nil"/>
            </w:tcBorders>
            <w:vAlign w:val="center"/>
          </w:tcPr>
          <w:p w14:paraId="4448AC3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distribute"/>
              <w:textAlignment w:val="auto"/>
              <w:rPr>
                <w:rFonts w:hint="eastAsia" w:ascii="宋体" w:hAnsi="宋体" w:eastAsia="宋体" w:cs="宋体"/>
                <w:b/>
                <w:bCs/>
                <w:sz w:val="32"/>
                <w:szCs w:val="32"/>
              </w:rPr>
            </w:pPr>
            <w:r>
              <w:rPr>
                <w:rFonts w:hint="eastAsia" w:ascii="宋体" w:hAnsi="宋体" w:eastAsia="宋体" w:cs="宋体"/>
                <w:b/>
                <w:bCs/>
                <w:sz w:val="32"/>
                <w:szCs w:val="32"/>
                <w:highlight w:val="white"/>
              </w:rPr>
              <w:t>乙方（供应商）：</w:t>
            </w:r>
          </w:p>
        </w:tc>
        <w:tc>
          <w:tcPr>
            <w:tcW w:w="152" w:type="pct"/>
            <w:tcBorders>
              <w:top w:val="nil"/>
              <w:left w:val="nil"/>
              <w:bottom w:val="nil"/>
              <w:right w:val="nil"/>
            </w:tcBorders>
            <w:vAlign w:val="center"/>
          </w:tcPr>
          <w:p w14:paraId="5301B704">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2655" w:type="pct"/>
            <w:tcBorders>
              <w:top w:val="nil"/>
              <w:left w:val="nil"/>
              <w:bottom w:val="nil"/>
              <w:right w:val="nil"/>
            </w:tcBorders>
            <w:vAlign w:val="center"/>
          </w:tcPr>
          <w:p w14:paraId="1C1A5942">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377" w:type="pct"/>
            <w:vMerge w:val="continue"/>
            <w:tcBorders>
              <w:top w:val="nil"/>
              <w:left w:val="nil"/>
              <w:bottom w:val="nil"/>
              <w:right w:val="nil"/>
            </w:tcBorders>
            <w:vAlign w:val="center"/>
          </w:tcPr>
          <w:p w14:paraId="689DCDC2">
            <w:pPr>
              <w:widowControl/>
              <w:jc w:val="distribute"/>
              <w:rPr>
                <w:rFonts w:ascii="Times New Roman" w:hAnsi="Times New Roman" w:eastAsia="楷体_GB2312" w:cs="Times New Roman"/>
                <w:sz w:val="52"/>
              </w:rPr>
            </w:pPr>
          </w:p>
        </w:tc>
      </w:tr>
      <w:tr w14:paraId="07F8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3" w:type="pct"/>
            <w:tcBorders>
              <w:top w:val="nil"/>
              <w:left w:val="nil"/>
              <w:bottom w:val="nil"/>
              <w:right w:val="nil"/>
            </w:tcBorders>
            <w:vAlign w:val="center"/>
          </w:tcPr>
          <w:p w14:paraId="449CE1DB">
            <w:pPr>
              <w:widowControl/>
              <w:jc w:val="left"/>
              <w:rPr>
                <w:rFonts w:ascii="Times New Roman" w:hAnsi="Times New Roman" w:eastAsia="楷体_GB2312" w:cs="Times New Roman"/>
                <w:sz w:val="52"/>
              </w:rPr>
            </w:pPr>
          </w:p>
        </w:tc>
        <w:tc>
          <w:tcPr>
            <w:tcW w:w="1691" w:type="pct"/>
            <w:tcBorders>
              <w:top w:val="nil"/>
              <w:left w:val="nil"/>
              <w:bottom w:val="nil"/>
              <w:right w:val="nil"/>
            </w:tcBorders>
            <w:vAlign w:val="center"/>
          </w:tcPr>
          <w:p w14:paraId="7F5FFA2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distribute"/>
              <w:textAlignment w:val="auto"/>
              <w:rPr>
                <w:rFonts w:hint="eastAsia" w:ascii="宋体" w:hAnsi="宋体" w:eastAsia="宋体" w:cs="宋体"/>
                <w:b/>
                <w:bCs/>
                <w:sz w:val="32"/>
                <w:szCs w:val="32"/>
                <w:highlight w:val="white"/>
              </w:rPr>
            </w:pPr>
            <w:r>
              <w:rPr>
                <w:rFonts w:hint="eastAsia" w:ascii="宋体" w:hAnsi="宋体" w:eastAsia="宋体" w:cs="宋体"/>
                <w:b/>
                <w:bCs/>
                <w:sz w:val="32"/>
                <w:szCs w:val="32"/>
                <w:highlight w:val="white"/>
              </w:rPr>
              <w:t>签订地点：</w:t>
            </w:r>
          </w:p>
        </w:tc>
        <w:tc>
          <w:tcPr>
            <w:tcW w:w="152" w:type="pct"/>
            <w:tcBorders>
              <w:top w:val="nil"/>
              <w:left w:val="nil"/>
              <w:bottom w:val="nil"/>
              <w:right w:val="nil"/>
            </w:tcBorders>
            <w:vAlign w:val="center"/>
          </w:tcPr>
          <w:p w14:paraId="372D318B">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2655" w:type="pct"/>
            <w:tcBorders>
              <w:top w:val="nil"/>
              <w:left w:val="nil"/>
              <w:bottom w:val="nil"/>
              <w:right w:val="nil"/>
            </w:tcBorders>
            <w:vAlign w:val="center"/>
          </w:tcPr>
          <w:p w14:paraId="4949DBA2">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377" w:type="pct"/>
            <w:tcBorders>
              <w:top w:val="nil"/>
              <w:left w:val="nil"/>
              <w:bottom w:val="nil"/>
              <w:right w:val="nil"/>
            </w:tcBorders>
            <w:vAlign w:val="center"/>
          </w:tcPr>
          <w:p w14:paraId="70235AF0">
            <w:pPr>
              <w:widowControl/>
              <w:jc w:val="distribute"/>
              <w:rPr>
                <w:rFonts w:ascii="Times New Roman" w:hAnsi="Times New Roman" w:eastAsia="楷体_GB2312" w:cs="Times New Roman"/>
                <w:sz w:val="52"/>
              </w:rPr>
            </w:pPr>
          </w:p>
        </w:tc>
      </w:tr>
      <w:tr w14:paraId="02E6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123" w:type="pct"/>
            <w:tcBorders>
              <w:top w:val="nil"/>
              <w:left w:val="nil"/>
              <w:bottom w:val="nil"/>
              <w:right w:val="nil"/>
            </w:tcBorders>
            <w:vAlign w:val="center"/>
          </w:tcPr>
          <w:p w14:paraId="611388C8">
            <w:pPr>
              <w:widowControl/>
              <w:jc w:val="left"/>
              <w:rPr>
                <w:rFonts w:ascii="Times New Roman" w:hAnsi="Times New Roman" w:eastAsia="楷体_GB2312" w:cs="Times New Roman"/>
                <w:sz w:val="52"/>
              </w:rPr>
            </w:pPr>
          </w:p>
        </w:tc>
        <w:tc>
          <w:tcPr>
            <w:tcW w:w="1691" w:type="pct"/>
            <w:tcBorders>
              <w:top w:val="nil"/>
              <w:left w:val="nil"/>
              <w:bottom w:val="nil"/>
              <w:right w:val="nil"/>
            </w:tcBorders>
            <w:vAlign w:val="center"/>
          </w:tcPr>
          <w:p w14:paraId="317833D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distribute"/>
              <w:textAlignment w:val="auto"/>
              <w:rPr>
                <w:rFonts w:hint="eastAsia" w:ascii="宋体" w:hAnsi="宋体" w:eastAsia="宋体" w:cs="宋体"/>
                <w:b/>
                <w:bCs/>
                <w:sz w:val="32"/>
                <w:szCs w:val="32"/>
                <w:highlight w:val="white"/>
              </w:rPr>
            </w:pPr>
            <w:r>
              <w:rPr>
                <w:rFonts w:hint="eastAsia" w:ascii="宋体" w:hAnsi="宋体" w:eastAsia="宋体" w:cs="宋体"/>
                <w:b/>
                <w:bCs/>
                <w:sz w:val="32"/>
                <w:szCs w:val="32"/>
                <w:highlight w:val="white"/>
              </w:rPr>
              <w:t>签订日期：</w:t>
            </w:r>
          </w:p>
        </w:tc>
        <w:tc>
          <w:tcPr>
            <w:tcW w:w="152" w:type="pct"/>
            <w:tcBorders>
              <w:top w:val="nil"/>
              <w:left w:val="nil"/>
              <w:bottom w:val="nil"/>
              <w:right w:val="nil"/>
            </w:tcBorders>
            <w:vAlign w:val="center"/>
          </w:tcPr>
          <w:p w14:paraId="685EEBE7">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2655" w:type="pct"/>
            <w:tcBorders>
              <w:top w:val="nil"/>
              <w:left w:val="nil"/>
              <w:bottom w:val="nil"/>
              <w:right w:val="nil"/>
            </w:tcBorders>
            <w:vAlign w:val="center"/>
          </w:tcPr>
          <w:p w14:paraId="1F9A9B7E">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b/>
                <w:bCs/>
                <w:sz w:val="32"/>
                <w:szCs w:val="32"/>
              </w:rPr>
            </w:pPr>
          </w:p>
        </w:tc>
        <w:tc>
          <w:tcPr>
            <w:tcW w:w="377" w:type="pct"/>
            <w:tcBorders>
              <w:top w:val="nil"/>
              <w:left w:val="nil"/>
              <w:bottom w:val="nil"/>
              <w:right w:val="nil"/>
            </w:tcBorders>
            <w:vAlign w:val="center"/>
          </w:tcPr>
          <w:p w14:paraId="7F0633B0">
            <w:pPr>
              <w:widowControl/>
              <w:jc w:val="distribute"/>
              <w:rPr>
                <w:rFonts w:ascii="Times New Roman" w:hAnsi="Times New Roman" w:eastAsia="楷体_GB2312" w:cs="Times New Roman"/>
                <w:sz w:val="52"/>
              </w:rPr>
            </w:pPr>
          </w:p>
        </w:tc>
      </w:tr>
    </w:tbl>
    <w:p w14:paraId="5C9A9D7F">
      <w:pPr>
        <w:pStyle w:val="17"/>
        <w:ind w:firstLine="480"/>
        <w:rPr>
          <w:color w:val="auto"/>
          <w:highlight w:val="none"/>
        </w:rPr>
        <w:sectPr>
          <w:pgSz w:w="11906" w:h="16838"/>
          <w:pgMar w:top="1134" w:right="1134" w:bottom="1134" w:left="1134" w:header="850" w:footer="510" w:gutter="0"/>
          <w:pgBorders>
            <w:top w:val="none" w:sz="0" w:space="0"/>
            <w:left w:val="none" w:sz="0" w:space="0"/>
            <w:bottom w:val="none" w:sz="0" w:space="0"/>
            <w:right w:val="none" w:sz="0" w:space="0"/>
          </w:pgBorders>
          <w:pgNumType w:fmt="decimal"/>
          <w:cols w:space="0" w:num="1"/>
          <w:docGrid w:type="lines" w:linePitch="312" w:charSpace="0"/>
        </w:sectPr>
      </w:pPr>
    </w:p>
    <w:p w14:paraId="396C4426">
      <w:pPr>
        <w:pStyle w:val="3"/>
        <w:pageBreakBefore w:val="0"/>
        <w:topLinePunct w:val="0"/>
        <w:bidi w:val="0"/>
        <w:adjustRightInd w:val="0"/>
        <w:snapToGrid w:val="0"/>
        <w:spacing w:line="420" w:lineRule="exact"/>
        <w:jc w:val="center"/>
        <w:outlineLvl w:val="1"/>
        <w:rPr>
          <w:rFonts w:ascii="黑体" w:hAnsi="华文中宋" w:eastAsia="黑体"/>
          <w:sz w:val="28"/>
          <w:szCs w:val="28"/>
        </w:rPr>
      </w:pPr>
      <w:bookmarkStart w:id="89" w:name="_Toc10372"/>
      <w:bookmarkStart w:id="90" w:name="_Toc8490"/>
      <w:bookmarkStart w:id="91" w:name="_Toc2635"/>
      <w:bookmarkStart w:id="92" w:name="_Toc22669"/>
      <w:r>
        <w:rPr>
          <w:rFonts w:hint="eastAsia" w:ascii="黑体" w:hAnsi="华文中宋" w:eastAsia="黑体"/>
          <w:sz w:val="28"/>
          <w:szCs w:val="28"/>
        </w:rPr>
        <w:t>第一节</w:t>
      </w:r>
      <w:r>
        <w:rPr>
          <w:rFonts w:ascii="黑体" w:hAnsi="华文中宋" w:eastAsia="黑体"/>
          <w:sz w:val="28"/>
          <w:szCs w:val="28"/>
        </w:rPr>
        <w:t xml:space="preserve"> </w:t>
      </w:r>
      <w:r>
        <w:rPr>
          <w:rFonts w:hint="eastAsia" w:ascii="黑体" w:hAnsi="华文中宋" w:eastAsia="黑体"/>
          <w:sz w:val="28"/>
          <w:szCs w:val="28"/>
        </w:rPr>
        <w:t>政府采购合同协议书</w:t>
      </w:r>
      <w:bookmarkEnd w:id="89"/>
      <w:bookmarkEnd w:id="90"/>
    </w:p>
    <w:p w14:paraId="21282581">
      <w:pPr>
        <w:pageBreakBefore w:val="0"/>
        <w:topLinePunct w:val="0"/>
        <w:bidi w:val="0"/>
        <w:adjustRightInd w:val="0"/>
        <w:snapToGrid w:val="0"/>
        <w:spacing w:line="420" w:lineRule="exact"/>
        <w:jc w:val="center"/>
        <w:rPr>
          <w:rFonts w:ascii="宋体"/>
          <w:szCs w:val="21"/>
        </w:rPr>
      </w:pPr>
    </w:p>
    <w:p w14:paraId="398CBDD5">
      <w:pPr>
        <w:pageBreakBefore w:val="0"/>
        <w:topLinePunct w:val="0"/>
        <w:bidi w:val="0"/>
        <w:adjustRightInd w:val="0"/>
        <w:snapToGrid w:val="0"/>
        <w:spacing w:line="420" w:lineRule="exact"/>
        <w:rPr>
          <w:rFonts w:ascii="宋体"/>
          <w:b/>
          <w:szCs w:val="21"/>
        </w:rPr>
      </w:pPr>
      <w:r>
        <w:rPr>
          <w:rFonts w:hint="eastAsia" w:ascii="宋体" w:hAnsi="宋体"/>
          <w:szCs w:val="21"/>
        </w:rPr>
        <w:t>采购合同编号：</w:t>
      </w:r>
    </w:p>
    <w:p w14:paraId="27607FE9">
      <w:pPr>
        <w:pageBreakBefore w:val="0"/>
        <w:topLinePunct w:val="0"/>
        <w:bidi w:val="0"/>
        <w:adjustRightInd w:val="0"/>
        <w:snapToGrid w:val="0"/>
        <w:spacing w:beforeLines="50" w:line="420" w:lineRule="exact"/>
        <w:rPr>
          <w:rFonts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u w:val="single"/>
          <w:lang w:val="en-US" w:eastAsia="zh-CN"/>
        </w:rPr>
        <w:t>张家界市文化旅游广电体育局</w:t>
      </w:r>
      <w:r>
        <w:rPr>
          <w:rFonts w:hint="eastAsia" w:ascii="宋体" w:hAnsi="宋体"/>
          <w:szCs w:val="21"/>
          <w:u w:val="single"/>
        </w:rPr>
        <w:t xml:space="preserve">    </w:t>
      </w:r>
      <w:r>
        <w:rPr>
          <w:rFonts w:hint="eastAsia" w:ascii="宋体" w:hAnsi="宋体"/>
          <w:szCs w:val="21"/>
        </w:rPr>
        <w:t>（甲方）</w:t>
      </w:r>
    </w:p>
    <w:p w14:paraId="2F147E35">
      <w:pPr>
        <w:pageBreakBefore w:val="0"/>
        <w:topLinePunct w:val="0"/>
        <w:bidi w:val="0"/>
        <w:adjustRightInd w:val="0"/>
        <w:snapToGrid w:val="0"/>
        <w:spacing w:beforeLines="50" w:line="420" w:lineRule="exact"/>
        <w:rPr>
          <w:rFonts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5E219E5E">
      <w:pPr>
        <w:pStyle w:val="13"/>
        <w:pageBreakBefore w:val="0"/>
        <w:topLinePunct w:val="0"/>
        <w:bidi w:val="0"/>
        <w:adjustRightInd w:val="0"/>
        <w:snapToGrid w:val="0"/>
        <w:spacing w:beforeLines="50" w:after="0" w:line="420" w:lineRule="exact"/>
        <w:rPr>
          <w:rFonts w:ascii="宋体" w:hAnsi="宋体"/>
          <w:szCs w:val="21"/>
        </w:rPr>
      </w:pPr>
    </w:p>
    <w:p w14:paraId="607EF585">
      <w:pPr>
        <w:pStyle w:val="13"/>
        <w:pageBreakBefore w:val="0"/>
        <w:topLinePunct w:val="0"/>
        <w:bidi w:val="0"/>
        <w:adjustRightInd w:val="0"/>
        <w:snapToGrid w:val="0"/>
        <w:spacing w:beforeLines="50" w:after="0" w:line="420" w:lineRule="exact"/>
        <w:ind w:left="0" w:leftChars="0" w:firstLine="480" w:firstLineChars="200"/>
        <w:rPr>
          <w:rFonts w:ascii="宋体" w:hAnsi="宋体"/>
          <w:szCs w:val="21"/>
        </w:rPr>
      </w:pPr>
      <w:r>
        <w:rPr>
          <w:rFonts w:hint="eastAsia" w:ascii="宋体" w:hAnsi="宋体"/>
          <w:szCs w:val="21"/>
        </w:rPr>
        <w:t>为了保护甲、乙双方合法权益，根据《中华人民共和国民法典》、《中华人民共和国政府采购法》及其他有关法律、法规、规章，双方签订本合同协议书。</w:t>
      </w:r>
    </w:p>
    <w:p w14:paraId="3E81DBAC">
      <w:pPr>
        <w:pageBreakBefore w:val="0"/>
        <w:topLinePunct w:val="0"/>
        <w:bidi w:val="0"/>
        <w:adjustRightInd w:val="0"/>
        <w:snapToGrid w:val="0"/>
        <w:spacing w:beforeLines="50" w:line="420" w:lineRule="exact"/>
        <w:ind w:firstLine="482" w:firstLineChars="200"/>
        <w:rPr>
          <w:rFonts w:ascii="宋体" w:hAnsi="宋体"/>
          <w:b/>
          <w:szCs w:val="21"/>
        </w:rPr>
      </w:pPr>
      <w:r>
        <w:rPr>
          <w:rFonts w:hint="eastAsia" w:ascii="宋体" w:hAnsi="宋体"/>
          <w:b/>
          <w:szCs w:val="21"/>
        </w:rPr>
        <w:t>1.项目信息</w:t>
      </w:r>
    </w:p>
    <w:p w14:paraId="381A0B5B">
      <w:pPr>
        <w:pStyle w:val="13"/>
        <w:pageBreakBefore w:val="0"/>
        <w:topLinePunct w:val="0"/>
        <w:bidi w:val="0"/>
        <w:adjustRightInd w:val="0"/>
        <w:snapToGrid w:val="0"/>
        <w:spacing w:beforeLines="50" w:after="0" w:line="420" w:lineRule="exact"/>
        <w:rPr>
          <w:rFonts w:hint="eastAsia" w:ascii="宋体" w:hAnsi="宋体" w:eastAsia="宋体" w:cs="宋体"/>
          <w:szCs w:val="21"/>
          <w:u w:val="single"/>
          <w:lang w:eastAsia="zh-CN"/>
        </w:rPr>
      </w:pPr>
      <w:r>
        <w:rPr>
          <w:rFonts w:hint="eastAsia" w:ascii="宋体" w:hAnsi="宋体"/>
          <w:szCs w:val="21"/>
        </w:rPr>
        <w:t>（1）采购项目名称：</w:t>
      </w:r>
      <w:r>
        <w:rPr>
          <w:rFonts w:hint="eastAsia" w:ascii="宋体" w:hAnsi="宋体" w:cs="宋体"/>
          <w:szCs w:val="21"/>
          <w:u w:val="single"/>
          <w:lang w:eastAsia="zh-CN"/>
        </w:rPr>
        <w:t>张家界市图书馆社科书库提质改造采购项目</w:t>
      </w:r>
    </w:p>
    <w:p w14:paraId="2AF2033D">
      <w:pPr>
        <w:pStyle w:val="13"/>
        <w:pageBreakBefore w:val="0"/>
        <w:topLinePunct w:val="0"/>
        <w:bidi w:val="0"/>
        <w:adjustRightInd w:val="0"/>
        <w:snapToGrid w:val="0"/>
        <w:spacing w:beforeLines="50" w:after="0" w:line="420" w:lineRule="exact"/>
        <w:rPr>
          <w:rFonts w:ascii="宋体" w:hAnsi="宋体"/>
          <w:szCs w:val="21"/>
        </w:rPr>
      </w:pPr>
      <w:r>
        <w:rPr>
          <w:rFonts w:hint="eastAsia" w:ascii="宋体" w:hAnsi="宋体"/>
          <w:szCs w:val="21"/>
        </w:rPr>
        <w:t>（2）采购计划编号：</w:t>
      </w:r>
      <w:r>
        <w:rPr>
          <w:rFonts w:ascii="宋体" w:hAnsi="宋体"/>
          <w:szCs w:val="21"/>
          <w:u w:val="single"/>
        </w:rPr>
        <w:t xml:space="preserve">                          </w:t>
      </w:r>
    </w:p>
    <w:p w14:paraId="25BF156D">
      <w:pPr>
        <w:pageBreakBefore w:val="0"/>
        <w:topLinePunct w:val="0"/>
        <w:bidi w:val="0"/>
        <w:adjustRightInd w:val="0"/>
        <w:snapToGrid w:val="0"/>
        <w:spacing w:beforeLines="50" w:line="420" w:lineRule="exact"/>
        <w:ind w:firstLine="480" w:firstLineChars="200"/>
        <w:rPr>
          <w:rFonts w:ascii="宋体" w:hAnsi="宋体"/>
          <w:szCs w:val="21"/>
          <w:u w:val="single"/>
        </w:rPr>
      </w:pPr>
      <w:r>
        <w:rPr>
          <w:rFonts w:hint="eastAsia" w:ascii="宋体" w:hAnsi="宋体"/>
          <w:szCs w:val="21"/>
        </w:rPr>
        <w:t>（3）项目内容：</w:t>
      </w:r>
      <w:r>
        <w:rPr>
          <w:rFonts w:hint="eastAsia" w:ascii="宋体" w:hAnsi="宋体"/>
          <w:szCs w:val="21"/>
          <w:u w:val="single"/>
          <w:lang w:val="en-US" w:eastAsia="zh-CN"/>
        </w:rPr>
        <w:t xml:space="preserve">               </w:t>
      </w:r>
      <w:r>
        <w:rPr>
          <w:rFonts w:hint="eastAsia" w:ascii="宋体" w:hAnsi="宋体"/>
          <w:szCs w:val="21"/>
          <w:u w:val="single"/>
        </w:rPr>
        <w:t xml:space="preserve">               </w:t>
      </w:r>
    </w:p>
    <w:p w14:paraId="010A6294">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（4）是否分包：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p w14:paraId="549027D4">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（5）项目负责人：</w:t>
      </w:r>
      <w:r>
        <w:rPr>
          <w:rFonts w:hint="eastAsia" w:ascii="宋体" w:hAnsi="宋体"/>
          <w:szCs w:val="21"/>
          <w:u w:val="single"/>
        </w:rPr>
        <w:t xml:space="preserve">               </w:t>
      </w:r>
      <w:r>
        <w:rPr>
          <w:rFonts w:hint="eastAsia" w:ascii="宋体" w:hAnsi="宋体"/>
          <w:szCs w:val="21"/>
        </w:rPr>
        <w:t>。</w:t>
      </w:r>
    </w:p>
    <w:p w14:paraId="04EB8BC6">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（6）联系电话：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w:t>
      </w:r>
    </w:p>
    <w:p w14:paraId="595696D0">
      <w:pPr>
        <w:pageBreakBefore w:val="0"/>
        <w:topLinePunct w:val="0"/>
        <w:bidi w:val="0"/>
        <w:adjustRightInd w:val="0"/>
        <w:snapToGrid w:val="0"/>
        <w:spacing w:beforeLines="50" w:line="420" w:lineRule="exact"/>
        <w:ind w:firstLine="472" w:firstLineChars="196"/>
        <w:rPr>
          <w:rFonts w:ascii="宋体" w:hAnsi="宋体"/>
          <w:b/>
          <w:szCs w:val="21"/>
        </w:rPr>
      </w:pPr>
      <w:r>
        <w:rPr>
          <w:rFonts w:hint="eastAsia" w:ascii="宋体" w:hAnsi="宋体"/>
          <w:b/>
          <w:szCs w:val="21"/>
        </w:rPr>
        <w:t>2.合同金额</w:t>
      </w:r>
    </w:p>
    <w:p w14:paraId="1707DEFA">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694B8014">
      <w:pPr>
        <w:keepNext w:val="0"/>
        <w:keepLines w:val="0"/>
        <w:pageBreakBefore w:val="0"/>
        <w:widowControl w:val="0"/>
        <w:kinsoku/>
        <w:wordWrap/>
        <w:overflowPunct/>
        <w:topLinePunct w:val="0"/>
        <w:autoSpaceDE/>
        <w:autoSpaceDN/>
        <w:bidi w:val="0"/>
        <w:adjustRightInd w:val="0"/>
        <w:snapToGrid w:val="0"/>
        <w:spacing w:beforeLines="50" w:line="420" w:lineRule="exact"/>
        <w:ind w:firstLine="1080" w:firstLineChars="450"/>
        <w:textAlignment w:val="auto"/>
        <w:rPr>
          <w:rFonts w:ascii="宋体" w:hAnsi="宋体"/>
          <w:b/>
          <w:szCs w:val="21"/>
        </w:rPr>
      </w:pPr>
      <w:r>
        <w:rPr>
          <w:rFonts w:hint="eastAsia" w:ascii="宋体" w:hAnsi="宋体"/>
          <w:szCs w:val="21"/>
        </w:rPr>
        <w:t>大写：</w:t>
      </w:r>
      <w:r>
        <w:rPr>
          <w:rFonts w:hint="eastAsia" w:ascii="宋体" w:hAnsi="宋体"/>
          <w:szCs w:val="21"/>
          <w:u w:val="single"/>
        </w:rPr>
        <w:t xml:space="preserve">                      </w:t>
      </w:r>
    </w:p>
    <w:p w14:paraId="677E1F81">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（2）具体标的见附件。</w:t>
      </w:r>
    </w:p>
    <w:p w14:paraId="7FFB97F5">
      <w:pPr>
        <w:pageBreakBefore w:val="0"/>
        <w:topLinePunct w:val="0"/>
        <w:bidi w:val="0"/>
        <w:adjustRightInd w:val="0"/>
        <w:snapToGrid w:val="0"/>
        <w:spacing w:beforeLines="50" w:line="420" w:lineRule="exact"/>
        <w:ind w:firstLine="48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szCs w:val="21"/>
        </w:rPr>
        <w:sym w:font="Wingdings" w:char="00FE"/>
      </w:r>
      <w:r>
        <w:rPr>
          <w:rFonts w:hint="eastAsia" w:ascii="宋体" w:hAnsi="宋体" w:eastAsia="宋体" w:cs="宋体"/>
          <w:szCs w:val="21"/>
        </w:rPr>
        <w:t xml:space="preserve">固定总价 </w:t>
      </w:r>
      <w:r>
        <w:rPr>
          <w:rFonts w:hint="eastAsia" w:ascii="宋体" w:hAnsi="宋体" w:eastAsia="宋体" w:cs="宋体"/>
          <w:szCs w:val="21"/>
        </w:rPr>
        <w:sym w:font="Wingdings" w:char="00A8"/>
      </w:r>
      <w:r>
        <w:rPr>
          <w:rFonts w:hint="eastAsia" w:ascii="宋体" w:hAnsi="宋体" w:eastAsia="宋体" w:cs="宋体"/>
          <w:szCs w:val="21"/>
        </w:rPr>
        <w:t xml:space="preserve">固定单价 </w:t>
      </w:r>
      <w:r>
        <w:rPr>
          <w:rFonts w:hint="eastAsia" w:ascii="宋体" w:hAnsi="宋体" w:eastAsia="宋体" w:cs="宋体"/>
          <w:szCs w:val="21"/>
        </w:rPr>
        <w:sym w:font="Wingdings" w:char="00A8"/>
      </w:r>
      <w:r>
        <w:rPr>
          <w:rFonts w:hint="eastAsia" w:ascii="宋体" w:hAnsi="宋体" w:eastAsia="宋体" w:cs="宋体"/>
          <w:szCs w:val="21"/>
        </w:rPr>
        <w:t xml:space="preserve">成本补偿 </w:t>
      </w:r>
      <w:r>
        <w:rPr>
          <w:rFonts w:hint="eastAsia" w:ascii="宋体" w:hAnsi="宋体" w:eastAsia="宋体" w:cs="宋体"/>
          <w:szCs w:val="21"/>
        </w:rPr>
        <w:sym w:font="Wingdings" w:char="00A8"/>
      </w:r>
      <w:r>
        <w:rPr>
          <w:rFonts w:hint="eastAsia" w:ascii="宋体" w:hAnsi="宋体" w:eastAsia="宋体" w:cs="宋体"/>
          <w:szCs w:val="21"/>
        </w:rPr>
        <w:t>绩效激励</w:t>
      </w:r>
    </w:p>
    <w:p w14:paraId="04FD7473">
      <w:pPr>
        <w:pageBreakBefore w:val="0"/>
        <w:topLinePunct w:val="0"/>
        <w:bidi w:val="0"/>
        <w:adjustRightInd w:val="0"/>
        <w:snapToGrid w:val="0"/>
        <w:spacing w:beforeLines="50" w:line="420" w:lineRule="exact"/>
        <w:ind w:firstLine="480" w:firstLineChars="200"/>
      </w:pPr>
      <w:r>
        <w:rPr>
          <w:rFonts w:hint="eastAsia" w:ascii="宋体" w:hAnsi="宋体" w:eastAsia="宋体" w:cs="宋体"/>
          <w:szCs w:val="21"/>
        </w:rPr>
        <w:t>（4）付</w:t>
      </w:r>
      <w:r>
        <w:rPr>
          <w:rFonts w:hint="eastAsia" w:ascii="宋体" w:hAnsi="宋体"/>
        </w:rPr>
        <w:t>款方式（按项目实际勾选填写）：</w:t>
      </w:r>
    </w:p>
    <w:p w14:paraId="7E96CBB3">
      <w:pPr>
        <w:pageBreakBefore w:val="0"/>
        <w:topLinePunct w:val="0"/>
        <w:bidi w:val="0"/>
        <w:adjustRightInd w:val="0"/>
        <w:snapToGrid w:val="0"/>
        <w:spacing w:beforeLines="50" w:line="360" w:lineRule="auto"/>
        <w:ind w:firstLine="72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（应一次性支付全部合同款项）                    </w:t>
      </w:r>
    </w:p>
    <w:p w14:paraId="309C3BF0">
      <w:pPr>
        <w:pageBreakBefore w:val="0"/>
        <w:topLinePunct w:val="0"/>
        <w:bidi w:val="0"/>
        <w:adjustRightInd w:val="0"/>
        <w:snapToGrid w:val="0"/>
        <w:spacing w:beforeLines="50" w:line="360" w:lineRule="auto"/>
        <w:ind w:firstLine="720" w:firstLineChars="300"/>
        <w:rPr>
          <w:rFonts w:hint="eastAsia" w:ascii="宋体" w:hAnsi="宋体"/>
          <w:szCs w:val="21"/>
          <w:u w:val="single"/>
        </w:rPr>
      </w:pPr>
      <w:r>
        <w:rPr>
          <w:rFonts w:hint="eastAsia" w:ascii="宋体" w:hAnsi="宋体"/>
          <w:szCs w:val="21"/>
        </w:rPr>
        <w:sym w:font="Wingdings" w:char="00A8"/>
      </w:r>
      <w:r>
        <w:rPr>
          <w:rFonts w:hint="eastAsia" w:ascii="宋体" w:hAnsi="宋体"/>
          <w:szCs w:val="21"/>
        </w:rPr>
        <w:t>预付款：</w:t>
      </w:r>
      <w:r>
        <w:rPr>
          <w:rFonts w:hint="eastAsia" w:ascii="宋体" w:hAnsi="宋体"/>
          <w:szCs w:val="21"/>
          <w:u w:val="single"/>
        </w:rPr>
        <w:t xml:space="preserve">（应明确预付款的支付比例和支付条件）               </w:t>
      </w:r>
    </w:p>
    <w:p w14:paraId="749C22FB">
      <w:pPr>
        <w:widowControl/>
        <w:kinsoku w:val="0"/>
        <w:autoSpaceDE w:val="0"/>
        <w:autoSpaceDN w:val="0"/>
        <w:adjustRightInd w:val="0"/>
        <w:snapToGrid w:val="0"/>
        <w:spacing w:line="360" w:lineRule="auto"/>
        <w:ind w:firstLine="722" w:firstLineChars="301"/>
        <w:textAlignment w:val="baseline"/>
        <w:rPr>
          <w:rFonts w:hint="eastAsia" w:ascii="宋体" w:hAnsi="宋体"/>
          <w:szCs w:val="21"/>
        </w:rPr>
      </w:pPr>
      <w:r>
        <w:rPr>
          <w:rFonts w:hint="eastAsia" w:ascii="宋体" w:hAnsi="宋体"/>
          <w:szCs w:val="21"/>
        </w:rPr>
        <w:sym w:font="Wingdings" w:char="00FE"/>
      </w:r>
      <w:r>
        <w:rPr>
          <w:rFonts w:hint="eastAsia" w:ascii="宋体" w:hAnsi="宋体"/>
          <w:szCs w:val="21"/>
        </w:rPr>
        <w:t>分期付款：</w:t>
      </w:r>
      <w:r>
        <w:rPr>
          <w:rFonts w:hint="eastAsia" w:ascii="宋体" w:hAnsi="宋体" w:cs="宋体"/>
          <w:sz w:val="24"/>
          <w:highlight w:val="yellow"/>
          <w:lang w:val="en-US" w:eastAsia="zh-CN"/>
        </w:rPr>
        <w:t>详见第三章《采购需求》商务要求中付款方式内容</w:t>
      </w:r>
    </w:p>
    <w:p w14:paraId="150806BB">
      <w:pPr>
        <w:pageBreakBefore w:val="0"/>
        <w:topLinePunct w:val="0"/>
        <w:bidi w:val="0"/>
        <w:adjustRightInd w:val="0"/>
        <w:snapToGrid w:val="0"/>
        <w:spacing w:beforeLines="50" w:line="420" w:lineRule="exact"/>
        <w:ind w:firstLine="720" w:firstLineChars="300"/>
        <w:rPr>
          <w:rFonts w:ascii="宋体" w:hAnsi="宋体"/>
          <w:szCs w:val="21"/>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（应明确按照成本补偿方式的支付方式和支付条件）   </w:t>
      </w:r>
    </w:p>
    <w:p w14:paraId="0D0C9836">
      <w:pPr>
        <w:pageBreakBefore w:val="0"/>
        <w:topLinePunct w:val="0"/>
        <w:bidi w:val="0"/>
        <w:adjustRightInd w:val="0"/>
        <w:snapToGrid w:val="0"/>
        <w:spacing w:beforeLines="50" w:line="420" w:lineRule="exact"/>
        <w:ind w:firstLine="72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（应明确按照绩效激励方式的支付方式和支付条件）   </w:t>
      </w:r>
    </w:p>
    <w:p w14:paraId="27592E11">
      <w:pPr>
        <w:pageBreakBefore w:val="0"/>
        <w:topLinePunct w:val="0"/>
        <w:bidi w:val="0"/>
        <w:adjustRightInd w:val="0"/>
        <w:snapToGrid w:val="0"/>
        <w:spacing w:beforeLines="50" w:line="420" w:lineRule="exact"/>
        <w:ind w:firstLine="482" w:firstLineChars="200"/>
        <w:rPr>
          <w:rFonts w:ascii="宋体" w:hAnsi="宋体"/>
          <w:szCs w:val="21"/>
          <w:u w:val="single"/>
        </w:rPr>
      </w:pPr>
      <w:r>
        <w:rPr>
          <w:rFonts w:hint="eastAsia" w:ascii="宋体" w:hAnsi="宋体"/>
          <w:b/>
          <w:szCs w:val="21"/>
        </w:rPr>
        <w:t>3.合同履行</w:t>
      </w:r>
    </w:p>
    <w:p w14:paraId="48DB29B4">
      <w:pPr>
        <w:pageBreakBefore w:val="0"/>
        <w:topLinePunct w:val="0"/>
        <w:bidi w:val="0"/>
        <w:adjustRightInd w:val="0"/>
        <w:snapToGrid w:val="0"/>
        <w:spacing w:beforeLines="50" w:line="420" w:lineRule="exact"/>
        <w:ind w:firstLine="480" w:firstLineChars="200"/>
        <w:rPr>
          <w:rFonts w:ascii="宋体" w:hAnsi="宋体"/>
          <w:color w:val="FF0000"/>
          <w:szCs w:val="21"/>
          <w:u w:val="single"/>
        </w:rPr>
      </w:pPr>
      <w:r>
        <w:rPr>
          <w:rFonts w:hint="eastAsia" w:ascii="宋体" w:hAnsi="宋体"/>
          <w:szCs w:val="21"/>
        </w:rPr>
        <w:t>（1）起始日期：</w:t>
      </w:r>
      <w:r>
        <w:rPr>
          <w:rFonts w:hint="eastAsia" w:ascii="宋体" w:hAnsi="宋体" w:cs="宋体"/>
          <w:color w:val="auto"/>
          <w:sz w:val="24"/>
          <w:u w:val="single"/>
          <w:lang w:eastAsia="zh-CN"/>
        </w:rPr>
        <w:t>整个项目分为建设期和服务期。建设期：60天，合同签订生效之日起至项目初步验收通过之日为项目建设期。合同生效之日起30日内完成包括但不限于深化设计、设备采购、设备安装、系统集成、联调测试等全套工程实施并通过项目初步验收，初步验收由乙方提出申请，甲方组织验收。初步验收合格后进入系统试运行期，试运行期30日，试运行期期满后由乙方提交验收书面申请，由甲方组织验收。</w:t>
      </w:r>
    </w:p>
    <w:p w14:paraId="5ED1C85D">
      <w:pPr>
        <w:pageBreakBefore w:val="0"/>
        <w:topLinePunct w:val="0"/>
        <w:bidi w:val="0"/>
        <w:adjustRightInd w:val="0"/>
        <w:snapToGrid w:val="0"/>
        <w:spacing w:beforeLines="50" w:line="420" w:lineRule="exact"/>
        <w:ind w:firstLine="480" w:firstLineChars="200"/>
        <w:rPr>
          <w:rFonts w:hint="default" w:ascii="宋体" w:hAnsi="宋体"/>
          <w:szCs w:val="21"/>
          <w:u w:val="single"/>
          <w:lang w:val="en-US"/>
        </w:rPr>
      </w:pPr>
      <w:r>
        <w:rPr>
          <w:rFonts w:hint="eastAsia" w:ascii="宋体" w:hAnsi="宋体"/>
          <w:szCs w:val="21"/>
        </w:rPr>
        <w:t>（2）地点</w:t>
      </w:r>
      <w:r>
        <w:rPr>
          <w:rFonts w:hint="eastAsia" w:ascii="宋体" w:hAnsi="宋体"/>
          <w:b/>
          <w:szCs w:val="21"/>
        </w:rPr>
        <w:t>：</w:t>
      </w:r>
      <w:r>
        <w:rPr>
          <w:rFonts w:hint="eastAsia" w:ascii="宋体" w:hAnsi="宋体"/>
          <w:szCs w:val="21"/>
          <w:u w:val="single"/>
          <w:lang w:val="en-US" w:eastAsia="zh-CN"/>
        </w:rPr>
        <w:t>采购人指定</w:t>
      </w:r>
    </w:p>
    <w:p w14:paraId="3BEA493A">
      <w:pPr>
        <w:pageBreakBefore w:val="0"/>
        <w:topLinePunct w:val="0"/>
        <w:bidi w:val="0"/>
        <w:adjustRightInd w:val="0"/>
        <w:snapToGrid w:val="0"/>
        <w:spacing w:beforeLines="50" w:line="420" w:lineRule="exact"/>
        <w:ind w:firstLine="480" w:firstLineChars="200"/>
        <w:rPr>
          <w:rFonts w:ascii="宋体" w:hAnsi="宋体"/>
          <w:szCs w:val="21"/>
          <w:u w:val="single"/>
        </w:rPr>
      </w:pPr>
      <w:r>
        <w:rPr>
          <w:rFonts w:hint="eastAsia" w:ascii="宋体" w:hAnsi="宋体"/>
          <w:szCs w:val="21"/>
        </w:rPr>
        <w:t>（3）方式：</w:t>
      </w:r>
      <w:r>
        <w:rPr>
          <w:rFonts w:hint="eastAsia" w:ascii="宋体" w:hAnsi="宋体" w:cs="宋体"/>
          <w:sz w:val="24"/>
          <w:u w:val="single"/>
          <w:lang w:eastAsia="zh-CN"/>
        </w:rPr>
        <w:t>提供满足采购文件要求的货物及服务</w:t>
      </w:r>
    </w:p>
    <w:p w14:paraId="04687FE3">
      <w:pPr>
        <w:pageBreakBefore w:val="0"/>
        <w:topLinePunct w:val="0"/>
        <w:bidi w:val="0"/>
        <w:adjustRightInd w:val="0"/>
        <w:snapToGrid w:val="0"/>
        <w:spacing w:beforeLines="50" w:line="420" w:lineRule="exact"/>
        <w:ind w:firstLine="480" w:firstLineChars="200"/>
        <w:rPr>
          <w:rFonts w:ascii="宋体" w:hAnsi="宋体"/>
          <w:bCs/>
          <w:szCs w:val="21"/>
        </w:rPr>
      </w:pPr>
      <w:r>
        <w:rPr>
          <w:rFonts w:hint="eastAsia" w:ascii="宋体" w:hAnsi="宋体"/>
          <w:bCs/>
          <w:szCs w:val="21"/>
        </w:rPr>
        <w:t>（4）履约担保：</w:t>
      </w:r>
      <w:r>
        <w:rPr>
          <w:rFonts w:hint="eastAsia" w:ascii="宋体" w:hAnsi="宋体"/>
          <w:bCs/>
          <w:szCs w:val="21"/>
          <w:u w:val="single"/>
          <w:lang w:val="en-US" w:eastAsia="zh-CN"/>
        </w:rPr>
        <w:t>按采购文件规定</w:t>
      </w:r>
    </w:p>
    <w:p w14:paraId="5AD3D0E7">
      <w:pPr>
        <w:pageBreakBefore w:val="0"/>
        <w:topLinePunct w:val="0"/>
        <w:bidi w:val="0"/>
        <w:adjustRightInd w:val="0"/>
        <w:snapToGrid w:val="0"/>
        <w:spacing w:beforeLines="50" w:line="420" w:lineRule="exact"/>
        <w:ind w:firstLine="480" w:firstLineChars="200"/>
        <w:rPr>
          <w:rFonts w:ascii="宋体" w:hAnsi="宋体"/>
          <w:bCs/>
          <w:szCs w:val="21"/>
        </w:rPr>
      </w:pPr>
      <w:r>
        <w:rPr>
          <w:rFonts w:hint="eastAsia" w:ascii="宋体" w:hAnsi="宋体"/>
          <w:bCs/>
          <w:szCs w:val="21"/>
        </w:rPr>
        <w:t>（5）质量保证金：</w:t>
      </w:r>
      <w:r>
        <w:rPr>
          <w:rFonts w:hint="eastAsia" w:ascii="宋体" w:hAnsi="宋体"/>
          <w:bCs/>
          <w:szCs w:val="21"/>
          <w:u w:val="single"/>
          <w:lang w:val="en-US" w:eastAsia="zh-CN"/>
        </w:rPr>
        <w:t>/</w:t>
      </w:r>
    </w:p>
    <w:p w14:paraId="0AC3B173">
      <w:pPr>
        <w:pageBreakBefore w:val="0"/>
        <w:topLinePunct w:val="0"/>
        <w:bidi w:val="0"/>
        <w:adjustRightInd w:val="0"/>
        <w:snapToGrid w:val="0"/>
        <w:spacing w:beforeLines="50" w:line="420" w:lineRule="exact"/>
        <w:ind w:firstLine="482" w:firstLineChars="200"/>
        <w:rPr>
          <w:rFonts w:ascii="宋体" w:hAnsi="宋体"/>
          <w:b/>
          <w:szCs w:val="21"/>
        </w:rPr>
      </w:pPr>
      <w:r>
        <w:rPr>
          <w:rFonts w:hint="eastAsia" w:ascii="宋体" w:hAnsi="宋体"/>
          <w:b/>
          <w:szCs w:val="21"/>
        </w:rPr>
        <w:t>4.合同验收</w:t>
      </w:r>
    </w:p>
    <w:p w14:paraId="7D6BD8D3">
      <w:pPr>
        <w:pageBreakBefore w:val="0"/>
        <w:topLinePunct w:val="0"/>
        <w:bidi w:val="0"/>
        <w:adjustRightInd w:val="0"/>
        <w:snapToGrid w:val="0"/>
        <w:spacing w:beforeLines="50" w:line="420" w:lineRule="exact"/>
        <w:ind w:firstLine="480" w:firstLineChars="200"/>
        <w:rPr>
          <w:rFonts w:ascii="宋体" w:hAnsi="宋体"/>
          <w:bCs/>
          <w:szCs w:val="21"/>
        </w:rPr>
      </w:pPr>
      <w:r>
        <w:rPr>
          <w:rFonts w:hint="eastAsia" w:ascii="宋体" w:hAnsi="宋体"/>
          <w:bCs/>
          <w:szCs w:val="21"/>
        </w:rPr>
        <w:t>（1）验收主体：</w:t>
      </w:r>
      <w:r>
        <w:rPr>
          <w:rFonts w:hint="eastAsia" w:ascii="宋体" w:hAnsi="宋体"/>
          <w:bCs/>
          <w:szCs w:val="21"/>
          <w:u w:val="single"/>
          <w:lang w:val="en-US" w:eastAsia="zh-CN"/>
        </w:rPr>
        <w:t>采购人</w:t>
      </w:r>
      <w:r>
        <w:rPr>
          <w:rFonts w:hint="eastAsia" w:ascii="宋体" w:hAnsi="宋体"/>
          <w:bCs/>
          <w:szCs w:val="21"/>
        </w:rPr>
        <w:t>。</w:t>
      </w:r>
    </w:p>
    <w:p w14:paraId="52199DDD">
      <w:pPr>
        <w:pageBreakBefore w:val="0"/>
        <w:topLinePunct w:val="0"/>
        <w:bidi w:val="0"/>
        <w:adjustRightInd w:val="0"/>
        <w:snapToGrid w:val="0"/>
        <w:spacing w:beforeLines="50" w:line="420" w:lineRule="exact"/>
        <w:ind w:firstLine="480" w:firstLineChars="200"/>
        <w:rPr>
          <w:rFonts w:ascii="宋体" w:hAnsi="宋体"/>
          <w:bCs/>
          <w:szCs w:val="21"/>
        </w:rPr>
      </w:pPr>
      <w:r>
        <w:rPr>
          <w:rFonts w:hint="eastAsia" w:ascii="宋体" w:hAnsi="宋体"/>
          <w:bCs/>
          <w:szCs w:val="21"/>
        </w:rPr>
        <w:t>（2）验收方式：</w:t>
      </w:r>
      <w:r>
        <w:rPr>
          <w:rFonts w:hint="eastAsia"/>
          <w:u w:val="single"/>
          <w:lang w:val="en-US" w:eastAsia="zh-CN"/>
        </w:rPr>
        <w:t>按采购需求规定</w:t>
      </w:r>
      <w:r>
        <w:rPr>
          <w:rFonts w:hint="eastAsia" w:ascii="宋体" w:hAnsi="宋体"/>
          <w:bCs/>
          <w:szCs w:val="21"/>
        </w:rPr>
        <w:t>。</w:t>
      </w:r>
    </w:p>
    <w:p w14:paraId="1D2849B8">
      <w:pPr>
        <w:pageBreakBefore w:val="0"/>
        <w:topLinePunct w:val="0"/>
        <w:bidi w:val="0"/>
        <w:adjustRightInd w:val="0"/>
        <w:snapToGrid w:val="0"/>
        <w:spacing w:beforeLines="50" w:line="420" w:lineRule="exact"/>
        <w:ind w:firstLine="480" w:firstLineChars="200"/>
        <w:rPr>
          <w:rFonts w:ascii="宋体" w:hAnsi="宋体"/>
          <w:bCs/>
          <w:szCs w:val="21"/>
        </w:rPr>
      </w:pPr>
      <w:r>
        <w:rPr>
          <w:rFonts w:hint="eastAsia" w:ascii="宋体" w:hAnsi="宋体"/>
          <w:bCs/>
          <w:szCs w:val="21"/>
        </w:rPr>
        <w:t>（3）验收标准：</w:t>
      </w:r>
      <w:r>
        <w:rPr>
          <w:rFonts w:hint="eastAsia"/>
          <w:u w:val="single"/>
          <w:lang w:val="en-US" w:eastAsia="zh-CN"/>
        </w:rPr>
        <w:t>按采购需求规定</w:t>
      </w:r>
      <w:r>
        <w:rPr>
          <w:rFonts w:hint="eastAsia" w:ascii="宋体" w:hAnsi="宋体"/>
          <w:bCs/>
          <w:szCs w:val="21"/>
        </w:rPr>
        <w:t>。</w:t>
      </w:r>
    </w:p>
    <w:p w14:paraId="05ED224B">
      <w:pPr>
        <w:pageBreakBefore w:val="0"/>
        <w:topLinePunct w:val="0"/>
        <w:bidi w:val="0"/>
        <w:adjustRightInd w:val="0"/>
        <w:snapToGrid w:val="0"/>
        <w:spacing w:beforeLines="50" w:line="420" w:lineRule="exact"/>
        <w:ind w:firstLine="482" w:firstLineChars="200"/>
        <w:rPr>
          <w:rFonts w:ascii="宋体" w:hAnsi="宋体"/>
          <w:b/>
          <w:szCs w:val="21"/>
        </w:rPr>
      </w:pPr>
      <w:r>
        <w:rPr>
          <w:rFonts w:hint="eastAsia" w:ascii="宋体" w:hAnsi="宋体"/>
          <w:b/>
          <w:szCs w:val="21"/>
        </w:rPr>
        <w:t>5.组成合同的文件</w:t>
      </w:r>
    </w:p>
    <w:p w14:paraId="09EB4307">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417113FE">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（1）在采购或合同履行过程中乙方作出的承诺以及双方协商达成的变更或补充协议</w:t>
      </w:r>
    </w:p>
    <w:p w14:paraId="20613045">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（2）本合同协议书</w:t>
      </w:r>
    </w:p>
    <w:p w14:paraId="2DFB46FE">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（3）中标通知书</w:t>
      </w:r>
    </w:p>
    <w:p w14:paraId="19E76F59">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（4）投标文件</w:t>
      </w:r>
    </w:p>
    <w:p w14:paraId="2BE77B5E">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（5）政府采购合同专用条款</w:t>
      </w:r>
    </w:p>
    <w:p w14:paraId="5CF53A99">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（6）政府采购合同通用条款</w:t>
      </w:r>
    </w:p>
    <w:p w14:paraId="621EBC66">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（7）标准、规范及有关技术文件，图纸。</w:t>
      </w:r>
    </w:p>
    <w:p w14:paraId="2CFF8BCD">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（8）其他合同文件。</w:t>
      </w:r>
    </w:p>
    <w:p w14:paraId="64F09D09">
      <w:pPr>
        <w:pageBreakBefore w:val="0"/>
        <w:topLinePunct w:val="0"/>
        <w:bidi w:val="0"/>
        <w:adjustRightInd w:val="0"/>
        <w:snapToGrid w:val="0"/>
        <w:spacing w:beforeLines="50" w:line="420" w:lineRule="exact"/>
        <w:ind w:firstLine="354" w:firstLineChars="147"/>
        <w:rPr>
          <w:rFonts w:ascii="宋体" w:hAnsi="宋体"/>
          <w:b/>
          <w:szCs w:val="21"/>
        </w:rPr>
      </w:pPr>
      <w:r>
        <w:rPr>
          <w:rFonts w:hint="eastAsia" w:ascii="宋体" w:hAnsi="宋体"/>
          <w:b/>
          <w:szCs w:val="21"/>
        </w:rPr>
        <w:t>6.合同生效</w:t>
      </w:r>
    </w:p>
    <w:p w14:paraId="7F2D528A">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6EAE3CCF">
      <w:pPr>
        <w:pageBreakBefore w:val="0"/>
        <w:topLinePunct w:val="0"/>
        <w:bidi w:val="0"/>
        <w:adjustRightInd w:val="0"/>
        <w:snapToGrid w:val="0"/>
        <w:spacing w:beforeLines="50" w:line="420" w:lineRule="exact"/>
        <w:ind w:firstLine="354" w:firstLineChars="147"/>
        <w:rPr>
          <w:rFonts w:ascii="宋体" w:hAnsi="宋体"/>
          <w:b/>
          <w:szCs w:val="21"/>
        </w:rPr>
      </w:pPr>
      <w:r>
        <w:rPr>
          <w:rFonts w:hint="eastAsia" w:ascii="宋体" w:hAnsi="宋体"/>
          <w:b/>
          <w:szCs w:val="21"/>
        </w:rPr>
        <w:t>7.合同份数</w:t>
      </w:r>
    </w:p>
    <w:p w14:paraId="0BEE35CA">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p>
    <w:p w14:paraId="5251E6C2">
      <w:pPr>
        <w:pageBreakBefore w:val="0"/>
        <w:topLinePunct w:val="0"/>
        <w:bidi w:val="0"/>
        <w:adjustRightInd w:val="0"/>
        <w:snapToGrid w:val="0"/>
        <w:spacing w:beforeLines="50" w:line="420" w:lineRule="exact"/>
        <w:rPr>
          <w:rFonts w:ascii="宋体" w:hAnsi="宋体"/>
          <w:szCs w:val="21"/>
        </w:rPr>
      </w:pPr>
    </w:p>
    <w:p w14:paraId="3478AE09">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D3B10EC">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43D63ECA">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 xml:space="preserve">附件：具体标的明细、分包合同等。    </w:t>
      </w:r>
    </w:p>
    <w:p w14:paraId="221119FA">
      <w:pPr>
        <w:pStyle w:val="41"/>
        <w:pageBreakBefore w:val="0"/>
        <w:topLinePunct w:val="0"/>
        <w:bidi w:val="0"/>
        <w:spacing w:line="420" w:lineRule="exact"/>
        <w:ind w:firstLine="360"/>
        <w:rPr>
          <w:rFonts w:ascii="宋体" w:hAnsi="宋体"/>
        </w:rPr>
      </w:pPr>
    </w:p>
    <w:p w14:paraId="1EDF482B">
      <w:pPr>
        <w:pStyle w:val="41"/>
        <w:pageBreakBefore w:val="0"/>
        <w:topLinePunct w:val="0"/>
        <w:bidi w:val="0"/>
        <w:spacing w:line="420" w:lineRule="exact"/>
        <w:ind w:firstLine="360"/>
        <w:rPr>
          <w:rFonts w:ascii="宋体" w:hAnsi="宋体"/>
        </w:rPr>
      </w:pPr>
    </w:p>
    <w:p w14:paraId="378FA664">
      <w:pPr>
        <w:pageBreakBefore w:val="0"/>
        <w:topLinePunct w:val="0"/>
        <w:bidi w:val="0"/>
        <w:adjustRightInd w:val="0"/>
        <w:snapToGrid w:val="0"/>
        <w:spacing w:beforeLines="50" w:line="420" w:lineRule="exact"/>
        <w:rPr>
          <w:rFonts w:ascii="宋体" w:hAnsi="宋体"/>
          <w:szCs w:val="21"/>
        </w:rPr>
      </w:pPr>
      <w:r>
        <w:rPr>
          <w:rFonts w:hint="eastAsia" w:ascii="宋体" w:hAnsi="宋体"/>
          <w:szCs w:val="21"/>
        </w:rPr>
        <w:t>甲      方：（公章）                    乙      方：（公章）</w:t>
      </w:r>
    </w:p>
    <w:p w14:paraId="5AD3DA4F">
      <w:pPr>
        <w:pageBreakBefore w:val="0"/>
        <w:topLinePunct w:val="0"/>
        <w:bidi w:val="0"/>
        <w:adjustRightInd w:val="0"/>
        <w:snapToGrid w:val="0"/>
        <w:spacing w:beforeLines="50" w:line="420" w:lineRule="exact"/>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p>
    <w:p w14:paraId="7A6B7BA5">
      <w:pPr>
        <w:pageBreakBefore w:val="0"/>
        <w:topLinePunct w:val="0"/>
        <w:bidi w:val="0"/>
        <w:adjustRightInd w:val="0"/>
        <w:snapToGrid w:val="0"/>
        <w:spacing w:beforeLines="50" w:line="420" w:lineRule="exact"/>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791C7D10">
      <w:pPr>
        <w:pageBreakBefore w:val="0"/>
        <w:topLinePunct w:val="0"/>
        <w:bidi w:val="0"/>
        <w:adjustRightInd w:val="0"/>
        <w:snapToGrid w:val="0"/>
        <w:spacing w:beforeLines="50" w:line="420" w:lineRule="exact"/>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2F89D77B">
      <w:pPr>
        <w:pageBreakBefore w:val="0"/>
        <w:topLinePunct w:val="0"/>
        <w:bidi w:val="0"/>
        <w:adjustRightInd w:val="0"/>
        <w:snapToGrid w:val="0"/>
        <w:spacing w:beforeLines="50" w:line="420" w:lineRule="exact"/>
        <w:rPr>
          <w:rFonts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41B3FC61">
      <w:pPr>
        <w:pageBreakBefore w:val="0"/>
        <w:topLinePunct w:val="0"/>
        <w:bidi w:val="0"/>
        <w:adjustRightInd w:val="0"/>
        <w:snapToGrid w:val="0"/>
        <w:spacing w:beforeLines="50" w:line="420" w:lineRule="exact"/>
        <w:ind w:firstLine="480" w:firstLineChars="200"/>
        <w:rPr>
          <w:rFonts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441A55FE">
      <w:pPr>
        <w:pageBreakBefore w:val="0"/>
        <w:topLinePunct w:val="0"/>
        <w:bidi w:val="0"/>
        <w:adjustRightInd w:val="0"/>
        <w:snapToGrid w:val="0"/>
        <w:spacing w:beforeLines="50" w:line="420" w:lineRule="exact"/>
        <w:jc w:val="center"/>
        <w:rPr>
          <w:rFonts w:ascii="宋体" w:hAnsi="宋体"/>
          <w:b/>
          <w:szCs w:val="21"/>
        </w:rPr>
      </w:pP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账       号：</w:t>
      </w:r>
      <w:r>
        <w:rPr>
          <w:rFonts w:hint="eastAsia" w:ascii="宋体" w:hAnsi="宋体"/>
          <w:szCs w:val="21"/>
          <w:u w:val="single"/>
        </w:rPr>
        <w:t xml:space="preserve">                   </w:t>
      </w:r>
    </w:p>
    <w:p w14:paraId="17F48B3B">
      <w:pPr>
        <w:pStyle w:val="3"/>
        <w:pageBreakBefore w:val="0"/>
        <w:topLinePunct w:val="0"/>
        <w:bidi w:val="0"/>
        <w:adjustRightInd w:val="0"/>
        <w:snapToGrid w:val="0"/>
        <w:spacing w:beforeLines="50" w:line="420" w:lineRule="exact"/>
        <w:jc w:val="center"/>
        <w:rPr>
          <w:rFonts w:ascii="黑体" w:hAnsi="黑体" w:eastAsia="黑体"/>
          <w:sz w:val="28"/>
          <w:szCs w:val="28"/>
        </w:rPr>
      </w:pPr>
      <w:r>
        <w:rPr>
          <w:rFonts w:ascii="宋体"/>
          <w:sz w:val="21"/>
          <w:szCs w:val="21"/>
          <w:u w:val="single"/>
        </w:rPr>
        <w:br w:type="page"/>
      </w:r>
      <w:bookmarkStart w:id="93" w:name="_Toc10083"/>
      <w:bookmarkStart w:id="94" w:name="_Toc14081"/>
      <w:r>
        <w:rPr>
          <w:rFonts w:hint="eastAsia" w:ascii="黑体" w:hAnsi="黑体" w:eastAsia="黑体"/>
          <w:sz w:val="28"/>
          <w:szCs w:val="28"/>
        </w:rPr>
        <w:t>第二节</w:t>
      </w:r>
      <w:r>
        <w:rPr>
          <w:rFonts w:ascii="黑体" w:hAnsi="黑体" w:eastAsia="黑体"/>
          <w:sz w:val="28"/>
          <w:szCs w:val="28"/>
        </w:rPr>
        <w:t xml:space="preserve"> </w:t>
      </w:r>
      <w:r>
        <w:rPr>
          <w:rFonts w:hint="eastAsia" w:ascii="黑体" w:hAnsi="黑体" w:eastAsia="黑体"/>
          <w:sz w:val="28"/>
          <w:szCs w:val="28"/>
        </w:rPr>
        <w:t>政府采购合同通用条款</w:t>
      </w:r>
      <w:bookmarkEnd w:id="93"/>
      <w:bookmarkEnd w:id="94"/>
    </w:p>
    <w:p w14:paraId="1E84B531">
      <w:pPr>
        <w:pageBreakBefore w:val="0"/>
        <w:tabs>
          <w:tab w:val="left" w:pos="8820"/>
          <w:tab w:val="left" w:pos="9345"/>
          <w:tab w:val="left" w:pos="9765"/>
        </w:tabs>
        <w:topLinePunct w:val="0"/>
        <w:bidi w:val="0"/>
        <w:adjustRightInd w:val="0"/>
        <w:snapToGrid w:val="0"/>
        <w:spacing w:before="50" w:line="420" w:lineRule="exact"/>
        <w:jc w:val="left"/>
        <w:rPr>
          <w:rFonts w:ascii="宋体" w:hAnsi="宋体"/>
          <w:b/>
          <w:bCs/>
          <w:sz w:val="24"/>
        </w:rPr>
      </w:pPr>
      <w:r>
        <w:rPr>
          <w:rFonts w:hint="eastAsia" w:ascii="宋体" w:hAnsi="宋体"/>
          <w:b/>
          <w:sz w:val="24"/>
        </w:rPr>
        <w:t>1.</w:t>
      </w:r>
      <w:r>
        <w:rPr>
          <w:rFonts w:hint="eastAsia" w:ascii="宋体" w:hAnsi="宋体"/>
          <w:b/>
          <w:bCs/>
          <w:sz w:val="24"/>
        </w:rPr>
        <w:t>定义</w:t>
      </w:r>
    </w:p>
    <w:p w14:paraId="045583A3">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1.1合同当事人</w:t>
      </w:r>
    </w:p>
    <w:p w14:paraId="3E5E3BE3">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（1）采购人（以下称甲方）是指使用财政性资金，通过政府采购方式向供应商购买货物、服务的国家机关、事业单位、团体组织。本次采购的甲方名称、地址见</w:t>
      </w:r>
      <w:r>
        <w:rPr>
          <w:rFonts w:hint="eastAsia" w:ascii="宋体" w:hAnsi="宋体"/>
          <w:b/>
          <w:szCs w:val="21"/>
        </w:rPr>
        <w:t>【政府采购合同专用条款】。</w:t>
      </w:r>
    </w:p>
    <w:p w14:paraId="10E0611D">
      <w:pPr>
        <w:pageBreakBefore w:val="0"/>
        <w:topLinePunct w:val="0"/>
        <w:autoSpaceDE w:val="0"/>
        <w:autoSpaceDN w:val="0"/>
        <w:bidi w:val="0"/>
        <w:adjustRightInd w:val="0"/>
        <w:snapToGrid w:val="0"/>
        <w:spacing w:before="50" w:line="420" w:lineRule="exact"/>
        <w:ind w:firstLine="480" w:firstLineChars="200"/>
        <w:jc w:val="left"/>
        <w:rPr>
          <w:rFonts w:ascii="宋体" w:hAnsi="宋体"/>
          <w:b/>
          <w:szCs w:val="21"/>
        </w:rPr>
      </w:pPr>
      <w:r>
        <w:rPr>
          <w:rFonts w:hint="eastAsia" w:ascii="宋体" w:hAnsi="宋体"/>
          <w:szCs w:val="21"/>
        </w:rPr>
        <w:t>（2）供应商（以下称乙方）是指参加政府采购活动而取得中标结果，并向采购人提供货物、服务的法人、其他组织或者自然人。</w:t>
      </w:r>
    </w:p>
    <w:p w14:paraId="09DAEAF6">
      <w:pPr>
        <w:pageBreakBefore w:val="0"/>
        <w:tabs>
          <w:tab w:val="left" w:pos="570"/>
          <w:tab w:val="left" w:pos="9240"/>
          <w:tab w:val="left" w:pos="9555"/>
        </w:tabs>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1.2本合同下列术语应解释为：</w:t>
      </w:r>
    </w:p>
    <w:p w14:paraId="11E00994">
      <w:pPr>
        <w:pageBreakBefore w:val="0"/>
        <w:tabs>
          <w:tab w:val="left" w:pos="570"/>
          <w:tab w:val="left" w:pos="9240"/>
          <w:tab w:val="left" w:pos="9555"/>
        </w:tabs>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334F6194">
      <w:pPr>
        <w:pageBreakBefore w:val="0"/>
        <w:tabs>
          <w:tab w:val="left" w:pos="570"/>
          <w:tab w:val="left" w:pos="9240"/>
          <w:tab w:val="left" w:pos="9555"/>
        </w:tabs>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（2）“合同价”系指根据本合同规定乙方在正确地完全履行合同义务后甲方应支付给乙方的价款。</w:t>
      </w:r>
    </w:p>
    <w:p w14:paraId="7F0419B9">
      <w:pPr>
        <w:pageBreakBefore w:val="0"/>
        <w:tabs>
          <w:tab w:val="left" w:pos="570"/>
          <w:tab w:val="left" w:pos="9240"/>
          <w:tab w:val="left" w:pos="9555"/>
        </w:tabs>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（3）“货物”系指乙方根据本合同规定须向甲方提供的各种形态和种类的物品，包括原材料、设备、产品（包括软件）及相关的其备品备件、工具、手册及其它技术资料和材料。</w:t>
      </w:r>
    </w:p>
    <w:p w14:paraId="6D4F91B2">
      <w:pPr>
        <w:pageBreakBefore w:val="0"/>
        <w:tabs>
          <w:tab w:val="left" w:pos="570"/>
          <w:tab w:val="left" w:pos="8880"/>
          <w:tab w:val="left" w:pos="9555"/>
        </w:tabs>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1C11ECB9">
      <w:pPr>
        <w:pageBreakBefore w:val="0"/>
        <w:tabs>
          <w:tab w:val="left" w:pos="570"/>
          <w:tab w:val="left" w:pos="9240"/>
          <w:tab w:val="left" w:pos="9555"/>
        </w:tabs>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（5）“合同条款”系指本合同及其附件、补充文件约定的全部条款。</w:t>
      </w:r>
    </w:p>
    <w:p w14:paraId="577DCB3F">
      <w:pPr>
        <w:pageBreakBefore w:val="0"/>
        <w:tabs>
          <w:tab w:val="left" w:pos="570"/>
          <w:tab w:val="left" w:pos="9240"/>
          <w:tab w:val="left" w:pos="9555"/>
        </w:tabs>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（6）“项目现场”系指本合同项下货物安装、运行的现场，其名称见</w:t>
      </w:r>
      <w:r>
        <w:rPr>
          <w:rFonts w:hint="eastAsia" w:ascii="宋体" w:hAnsi="宋体"/>
          <w:b/>
          <w:szCs w:val="21"/>
        </w:rPr>
        <w:t>【政府采购合同专用条款】</w:t>
      </w:r>
      <w:r>
        <w:rPr>
          <w:rFonts w:hint="eastAsia" w:ascii="宋体" w:hAnsi="宋体"/>
          <w:szCs w:val="21"/>
        </w:rPr>
        <w:t>。</w:t>
      </w:r>
    </w:p>
    <w:p w14:paraId="53FD52E7">
      <w:pPr>
        <w:pageBreakBefore w:val="0"/>
        <w:topLinePunct w:val="0"/>
        <w:autoSpaceDE w:val="0"/>
        <w:autoSpaceDN w:val="0"/>
        <w:bidi w:val="0"/>
        <w:adjustRightInd w:val="0"/>
        <w:snapToGrid w:val="0"/>
        <w:spacing w:before="50" w:line="420" w:lineRule="exact"/>
        <w:jc w:val="left"/>
        <w:rPr>
          <w:rFonts w:ascii="宋体" w:hAnsi="宋体"/>
          <w:b/>
          <w:sz w:val="24"/>
        </w:rPr>
      </w:pPr>
      <w:r>
        <w:rPr>
          <w:rFonts w:hint="eastAsia" w:ascii="宋体" w:hAnsi="宋体"/>
          <w:b/>
          <w:sz w:val="24"/>
        </w:rPr>
        <w:t>2.合同的适用范围</w:t>
      </w:r>
    </w:p>
    <w:p w14:paraId="43A991DD">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2.1 本合同条款适用于没有被本合同其他部分的条款所取代的范围。</w:t>
      </w:r>
    </w:p>
    <w:p w14:paraId="27B6C70D">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2.2 合同内容根据招标文件、投标文件而确定。</w:t>
      </w:r>
    </w:p>
    <w:p w14:paraId="70CA1225">
      <w:pPr>
        <w:pageBreakBefore w:val="0"/>
        <w:topLinePunct w:val="0"/>
        <w:autoSpaceDE w:val="0"/>
        <w:autoSpaceDN w:val="0"/>
        <w:bidi w:val="0"/>
        <w:adjustRightInd w:val="0"/>
        <w:snapToGrid w:val="0"/>
        <w:spacing w:before="50" w:line="420" w:lineRule="exact"/>
        <w:jc w:val="left"/>
        <w:rPr>
          <w:rFonts w:ascii="宋体" w:hAnsi="宋体"/>
          <w:b/>
          <w:bCs/>
          <w:sz w:val="24"/>
        </w:rPr>
      </w:pPr>
      <w:r>
        <w:rPr>
          <w:rFonts w:hint="eastAsia" w:ascii="宋体" w:hAnsi="宋体"/>
          <w:b/>
          <w:bCs/>
          <w:sz w:val="24"/>
        </w:rPr>
        <w:t>3.</w:t>
      </w:r>
      <w:r>
        <w:rPr>
          <w:rFonts w:hint="eastAsia" w:ascii="宋体" w:hAnsi="宋体"/>
          <w:b/>
          <w:sz w:val="24"/>
        </w:rPr>
        <w:t>合同标的及金额</w:t>
      </w:r>
    </w:p>
    <w:p w14:paraId="5325FB09">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3.1 合同标的及金额应与中标结果一致。</w:t>
      </w:r>
    </w:p>
    <w:p w14:paraId="2E94A451">
      <w:pPr>
        <w:pageBreakBefore w:val="0"/>
        <w:topLinePunct w:val="0"/>
        <w:autoSpaceDE w:val="0"/>
        <w:autoSpaceDN w:val="0"/>
        <w:bidi w:val="0"/>
        <w:adjustRightInd w:val="0"/>
        <w:snapToGrid w:val="0"/>
        <w:spacing w:before="50" w:line="420" w:lineRule="exact"/>
        <w:jc w:val="left"/>
        <w:rPr>
          <w:rFonts w:ascii="宋体" w:hAnsi="宋体"/>
          <w:b/>
          <w:bCs/>
          <w:sz w:val="24"/>
        </w:rPr>
      </w:pPr>
      <w:r>
        <w:rPr>
          <w:rFonts w:hint="eastAsia" w:ascii="宋体" w:hAnsi="宋体"/>
          <w:b/>
          <w:bCs/>
          <w:sz w:val="24"/>
        </w:rPr>
        <w:t>4.</w:t>
      </w:r>
      <w:r>
        <w:rPr>
          <w:rFonts w:hint="eastAsia" w:ascii="宋体" w:hAnsi="宋体"/>
          <w:b/>
          <w:sz w:val="24"/>
        </w:rPr>
        <w:t>合同价款</w:t>
      </w:r>
    </w:p>
    <w:p w14:paraId="1840B8C7">
      <w:pPr>
        <w:pageBreakBefore w:val="0"/>
        <w:topLinePunct w:val="0"/>
        <w:bidi w:val="0"/>
        <w:adjustRightInd w:val="0"/>
        <w:snapToGrid w:val="0"/>
        <w:spacing w:before="50" w:line="420" w:lineRule="exact"/>
        <w:ind w:firstLine="480" w:firstLineChars="200"/>
        <w:jc w:val="left"/>
        <w:rPr>
          <w:rFonts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4.1具体合同价款见本合同第3.1条。乙方为履行本合同而发生的所有费用均应包含在合同价款中，甲方不再另行支付其它任何费用。</w:t>
      </w:r>
    </w:p>
    <w:p w14:paraId="0A8586EA">
      <w:pPr>
        <w:pageBreakBefore w:val="0"/>
        <w:topLinePunct w:val="0"/>
        <w:bidi w:val="0"/>
        <w:adjustRightInd w:val="0"/>
        <w:snapToGrid w:val="0"/>
        <w:spacing w:before="50" w:line="420" w:lineRule="exact"/>
        <w:jc w:val="left"/>
        <w:rPr>
          <w:rFonts w:ascii="宋体" w:hAnsi="宋体"/>
          <w:b/>
          <w:sz w:val="24"/>
        </w:rPr>
      </w:pPr>
      <w:r>
        <w:rPr>
          <w:rFonts w:hint="eastAsia" w:ascii="宋体" w:hAnsi="宋体"/>
          <w:b/>
          <w:sz w:val="24"/>
        </w:rPr>
        <w:t>5.履行合同的时间、地点和方式</w:t>
      </w:r>
    </w:p>
    <w:p w14:paraId="093B7DD5">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5.1 乙方应当在甲方确定的时间、指定的地点履行合同，具体的服务时间、地点和方式见</w:t>
      </w:r>
      <w:r>
        <w:rPr>
          <w:rFonts w:hint="eastAsia" w:ascii="宋体" w:hAnsi="宋体"/>
          <w:b/>
          <w:szCs w:val="21"/>
        </w:rPr>
        <w:t>【政府采购合同专用条款】</w:t>
      </w:r>
      <w:r>
        <w:rPr>
          <w:rFonts w:hint="eastAsia" w:ascii="宋体" w:hAnsi="宋体"/>
          <w:szCs w:val="21"/>
        </w:rPr>
        <w:t>。</w:t>
      </w:r>
    </w:p>
    <w:p w14:paraId="4C167D3B">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5.2 乙方提供服务的应当在甲方指定的时间和地点完成服务项目。</w:t>
      </w:r>
    </w:p>
    <w:p w14:paraId="191167AF">
      <w:pPr>
        <w:pageBreakBefore w:val="0"/>
        <w:topLinePunct w:val="0"/>
        <w:bidi w:val="0"/>
        <w:adjustRightInd w:val="0"/>
        <w:snapToGrid w:val="0"/>
        <w:spacing w:before="50" w:line="420" w:lineRule="exact"/>
        <w:jc w:val="left"/>
        <w:rPr>
          <w:rFonts w:ascii="宋体" w:hAnsi="宋体"/>
          <w:b/>
          <w:bCs/>
          <w:sz w:val="24"/>
        </w:rPr>
      </w:pPr>
      <w:r>
        <w:rPr>
          <w:rFonts w:hint="eastAsia" w:ascii="宋体" w:hAnsi="宋体"/>
          <w:b/>
          <w:bCs/>
          <w:sz w:val="24"/>
        </w:rPr>
        <w:t>6.</w:t>
      </w:r>
      <w:r>
        <w:rPr>
          <w:rFonts w:hint="eastAsia" w:ascii="宋体" w:hAnsi="宋体"/>
          <w:b/>
          <w:sz w:val="24"/>
        </w:rPr>
        <w:t>货物的验收</w:t>
      </w:r>
    </w:p>
    <w:p w14:paraId="290859D6">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6.1 甲方在收到乙方交付的货物后应当及时组织验收。</w:t>
      </w:r>
    </w:p>
    <w:p w14:paraId="52AD1DDA">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6.2 货物的表面瑕疵，甲方应在验收时当面提出；对质量问题有异议的应在安装调试后十个工作日内提出。</w:t>
      </w:r>
    </w:p>
    <w:p w14:paraId="378BA5E1">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6.3 在验收过程中发现数量不足或有质量、技术等问题，乙方应负责按照甲方的要求采取补足、更换或退货等处理措施，并承担由此发生的一切费用和损失。</w:t>
      </w:r>
    </w:p>
    <w:p w14:paraId="3EABB13B">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6.4 甲方在乙方按合同规定交货或安装、调试后，无正当理由而拖延接收、验收或拒绝接收、验收的，应承担因此给乙方造成的直接损失。</w:t>
      </w:r>
    </w:p>
    <w:p w14:paraId="650F47F6">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6.5 甲方对货物进行检查验收合格后，应当收取发票并在《交货验收单》上签署验收意见及加盖单位印章。</w:t>
      </w:r>
    </w:p>
    <w:p w14:paraId="5706D6A4">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6.6 大型或者复杂的货物采购项目，甲方可以邀请国家认可的质量检测机构参加验收工作，并由其出具验收报告单。</w:t>
      </w:r>
    </w:p>
    <w:p w14:paraId="799B2D34">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6.7 乙方提供的进口产品，乙方应出示中华人民共和国进出口商品检验部门出具的检验证书（招标文件第五章采购需求另有约定的除外）。</w:t>
      </w:r>
    </w:p>
    <w:p w14:paraId="7BEF461F">
      <w:pPr>
        <w:pageBreakBefore w:val="0"/>
        <w:topLinePunct w:val="0"/>
        <w:bidi w:val="0"/>
        <w:adjustRightInd w:val="0"/>
        <w:snapToGrid w:val="0"/>
        <w:spacing w:before="50" w:line="420" w:lineRule="exact"/>
        <w:jc w:val="left"/>
        <w:rPr>
          <w:rFonts w:ascii="宋体" w:hAnsi="宋体"/>
          <w:b/>
          <w:bCs/>
          <w:sz w:val="24"/>
        </w:rPr>
      </w:pPr>
      <w:r>
        <w:rPr>
          <w:rFonts w:hint="eastAsia" w:ascii="宋体" w:hAnsi="宋体"/>
          <w:b/>
          <w:bCs/>
          <w:sz w:val="24"/>
        </w:rPr>
        <w:t>7.货物包装要求</w:t>
      </w:r>
    </w:p>
    <w:p w14:paraId="23F065C4">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62BFDC2B">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7.2 每一个包装箱内应附一份详细装箱单、质量证书和保修保养证书。</w:t>
      </w:r>
    </w:p>
    <w:p w14:paraId="10915053">
      <w:pPr>
        <w:pageBreakBefore w:val="0"/>
        <w:topLinePunct w:val="0"/>
        <w:bidi w:val="0"/>
        <w:adjustRightInd w:val="0"/>
        <w:snapToGrid w:val="0"/>
        <w:spacing w:before="50" w:line="420" w:lineRule="exact"/>
        <w:jc w:val="left"/>
        <w:rPr>
          <w:rFonts w:ascii="宋体" w:hAnsi="宋体"/>
          <w:b/>
          <w:sz w:val="24"/>
        </w:rPr>
      </w:pPr>
      <w:r>
        <w:rPr>
          <w:rFonts w:hint="eastAsia" w:ascii="宋体" w:hAnsi="宋体"/>
          <w:b/>
          <w:sz w:val="24"/>
        </w:rPr>
        <w:t>8.运输和保险</w:t>
      </w:r>
    </w:p>
    <w:p w14:paraId="2DFF7494">
      <w:pPr>
        <w:pageBreakBefore w:val="0"/>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8.1乙方负责办理将货物运抵本合同第5.1条规定的交货地点的一切运输事项，相关费用应包括在合同总价中。</w:t>
      </w:r>
    </w:p>
    <w:p w14:paraId="2194C3AC">
      <w:pPr>
        <w:pageBreakBefore w:val="0"/>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8.2乙方应向保险公司投保以甲方为受益人的发运合同货物发票金额的110％运输一切险。</w:t>
      </w:r>
    </w:p>
    <w:p w14:paraId="0C122577">
      <w:pPr>
        <w:pageBreakBefore w:val="0"/>
        <w:topLinePunct w:val="0"/>
        <w:bidi w:val="0"/>
        <w:adjustRightInd w:val="0"/>
        <w:snapToGrid w:val="0"/>
        <w:spacing w:before="50" w:line="420" w:lineRule="exact"/>
        <w:jc w:val="left"/>
        <w:rPr>
          <w:rFonts w:ascii="宋体" w:hAnsi="宋体"/>
          <w:b/>
          <w:sz w:val="24"/>
        </w:rPr>
      </w:pPr>
      <w:r>
        <w:rPr>
          <w:rFonts w:hint="eastAsia" w:ascii="宋体" w:hAnsi="宋体"/>
          <w:b/>
          <w:sz w:val="24"/>
        </w:rPr>
        <w:t>9.质量标准和保证</w:t>
      </w:r>
    </w:p>
    <w:p w14:paraId="7D437DD7">
      <w:pPr>
        <w:pStyle w:val="19"/>
        <w:pageBreakBefore w:val="0"/>
        <w:topLinePunct w:val="0"/>
        <w:bidi w:val="0"/>
        <w:adjustRightInd w:val="0"/>
        <w:snapToGrid w:val="0"/>
        <w:spacing w:before="50" w:line="420" w:lineRule="exact"/>
        <w:ind w:firstLine="480" w:firstLineChars="200"/>
        <w:jc w:val="left"/>
        <w:rPr>
          <w:rFonts w:hAnsi="宋体"/>
          <w:b/>
        </w:rPr>
      </w:pPr>
      <w:r>
        <w:rPr>
          <w:rFonts w:hint="eastAsia" w:hAnsi="宋体"/>
        </w:rPr>
        <w:t>9.1 质量标准</w:t>
      </w:r>
    </w:p>
    <w:p w14:paraId="5114E834">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（1）本合同下交付的货物应符合招标文件第四章“技术规格、参数与要求”所述的标准。如果没有提及适用标准，则应符合中华人民共和国有关机构发布的最新版本的标准。</w:t>
      </w:r>
    </w:p>
    <w:p w14:paraId="58ADC0B7">
      <w:pPr>
        <w:pStyle w:val="19"/>
        <w:pageBreakBefore w:val="0"/>
        <w:topLinePunct w:val="0"/>
        <w:bidi w:val="0"/>
        <w:adjustRightInd w:val="0"/>
        <w:snapToGrid w:val="0"/>
        <w:spacing w:before="50" w:line="420" w:lineRule="exact"/>
        <w:ind w:firstLine="480" w:firstLineChars="200"/>
        <w:jc w:val="left"/>
        <w:rPr>
          <w:rFonts w:hAnsi="宋体"/>
        </w:rPr>
      </w:pPr>
      <w:r>
        <w:rPr>
          <w:rFonts w:hint="eastAsia" w:hAnsi="宋体"/>
        </w:rPr>
        <w:t>（2）采用中华人民共和国法定计量单位。</w:t>
      </w:r>
    </w:p>
    <w:p w14:paraId="2AE94A39">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（3）乙方所出售的货物还应符合国家有关安全、环保、卫生之规定。</w:t>
      </w:r>
    </w:p>
    <w:p w14:paraId="407B8A47">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9.2 保证</w:t>
      </w:r>
    </w:p>
    <w:p w14:paraId="079DCE36">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szCs w:val="21"/>
        </w:rPr>
        <w:t>【政府采购合同专用条款】</w:t>
      </w:r>
      <w:r>
        <w:rPr>
          <w:rFonts w:hint="eastAsia" w:ascii="宋体" w:hAnsi="宋体"/>
          <w:szCs w:val="21"/>
        </w:rPr>
        <w:t>规定或乙方承诺（两者以较长的为准）的质量保证期内，本保证保持有效。</w:t>
      </w:r>
    </w:p>
    <w:p w14:paraId="2D2E01EF">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（2）在质量保证期内所发现的缺陷，甲方应尽快以书面形式通知乙方。</w:t>
      </w:r>
    </w:p>
    <w:p w14:paraId="1C5C640D">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52158BE3">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0A880B17">
      <w:pPr>
        <w:pageBreakBefore w:val="0"/>
        <w:topLinePunct w:val="0"/>
        <w:bidi w:val="0"/>
        <w:adjustRightInd w:val="0"/>
        <w:snapToGrid w:val="0"/>
        <w:spacing w:before="50" w:line="420" w:lineRule="exact"/>
        <w:ind w:firstLine="480" w:firstLineChars="200"/>
        <w:jc w:val="left"/>
        <w:rPr>
          <w:rFonts w:ascii="宋体" w:hAnsi="宋体"/>
          <w:b/>
          <w:szCs w:val="21"/>
        </w:rPr>
      </w:pPr>
      <w:r>
        <w:rPr>
          <w:rFonts w:hint="eastAsia" w:ascii="宋体" w:hAnsi="宋体"/>
          <w:szCs w:val="21"/>
        </w:rPr>
        <w:t>（5）乙方在约定的时间内未能弥补缺陷，甲方可采取必要的补救措施，但其风险和费用将由乙方承担，甲方根据合同规定对乙方行使的其他权利不受影响。</w:t>
      </w:r>
    </w:p>
    <w:p w14:paraId="660E8371">
      <w:pPr>
        <w:pageBreakBefore w:val="0"/>
        <w:topLinePunct w:val="0"/>
        <w:bidi w:val="0"/>
        <w:adjustRightInd w:val="0"/>
        <w:snapToGrid w:val="0"/>
        <w:spacing w:before="50" w:line="420" w:lineRule="exact"/>
        <w:jc w:val="left"/>
        <w:rPr>
          <w:rFonts w:ascii="宋体" w:hAnsi="宋体"/>
          <w:b/>
          <w:bCs/>
          <w:sz w:val="24"/>
        </w:rPr>
      </w:pPr>
      <w:r>
        <w:rPr>
          <w:rFonts w:hint="eastAsia" w:ascii="宋体" w:hAnsi="宋体"/>
          <w:b/>
          <w:bCs/>
          <w:sz w:val="24"/>
        </w:rPr>
        <w:t>10.权利瑕疵担保</w:t>
      </w:r>
    </w:p>
    <w:p w14:paraId="41DA4C12">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10.1 乙方保证对其出售的货物享有合法的权利。</w:t>
      </w:r>
    </w:p>
    <w:p w14:paraId="4AD4ABC8">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10.2 乙方保证在其出售的货物上不存在任何未曾向甲方透露的担保物权，如抵押权、质押权、留置权等。</w:t>
      </w:r>
    </w:p>
    <w:p w14:paraId="5ED375BA">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10.3 如甲方使用该货物构成上述侵权的，则由乙方承担全部责任。</w:t>
      </w:r>
    </w:p>
    <w:p w14:paraId="2A1C21AC">
      <w:pPr>
        <w:pageBreakBefore w:val="0"/>
        <w:topLinePunct w:val="0"/>
        <w:autoSpaceDE w:val="0"/>
        <w:autoSpaceDN w:val="0"/>
        <w:bidi w:val="0"/>
        <w:adjustRightInd w:val="0"/>
        <w:snapToGrid w:val="0"/>
        <w:spacing w:before="50" w:line="420" w:lineRule="exact"/>
        <w:jc w:val="left"/>
        <w:rPr>
          <w:rFonts w:ascii="宋体" w:hAnsi="宋体"/>
          <w:b/>
          <w:bCs/>
          <w:sz w:val="24"/>
        </w:rPr>
      </w:pPr>
      <w:r>
        <w:rPr>
          <w:rFonts w:hint="eastAsia" w:ascii="宋体" w:hAnsi="宋体"/>
          <w:b/>
          <w:bCs/>
          <w:sz w:val="24"/>
        </w:rPr>
        <w:t>11.知识产权保护</w:t>
      </w:r>
    </w:p>
    <w:p w14:paraId="0A5A66EE">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11.1 乙方对其所销售的货物应当享有知识产权或经权利人合法授权，保证没有侵犯任何第三人的知识产权和商业秘密等权利。</w:t>
      </w:r>
    </w:p>
    <w:p w14:paraId="0D27DA41">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11.2 甲方使用乙方提供的货物对第三人构成侵权的，应当由乙方承担全部法律责任，给甲方造成损害的，乙方应当承担赔偿责任。</w:t>
      </w:r>
    </w:p>
    <w:p w14:paraId="63C5AC2D">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11.3 甲方委托乙方开发的产品，甲方享有知识产权，未经甲方许可不得转让任何第三人。</w:t>
      </w:r>
    </w:p>
    <w:p w14:paraId="1C4BD29A">
      <w:pPr>
        <w:pageBreakBefore w:val="0"/>
        <w:topLinePunct w:val="0"/>
        <w:autoSpaceDE w:val="0"/>
        <w:autoSpaceDN w:val="0"/>
        <w:bidi w:val="0"/>
        <w:adjustRightInd w:val="0"/>
        <w:snapToGrid w:val="0"/>
        <w:spacing w:before="50" w:line="420" w:lineRule="exact"/>
        <w:jc w:val="left"/>
        <w:rPr>
          <w:rFonts w:ascii="宋体" w:hAnsi="宋体"/>
          <w:b/>
          <w:bCs/>
          <w:sz w:val="24"/>
        </w:rPr>
      </w:pPr>
      <w:r>
        <w:rPr>
          <w:rFonts w:hint="eastAsia" w:ascii="宋体" w:hAnsi="宋体"/>
          <w:b/>
          <w:bCs/>
          <w:sz w:val="24"/>
        </w:rPr>
        <w:t>12.保密义务</w:t>
      </w:r>
    </w:p>
    <w:p w14:paraId="1B17C15A">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12.1甲、乙双方在采购和履行合同过程中所获悉的对方属于保密的内容，双方均有保密义务。</w:t>
      </w:r>
    </w:p>
    <w:p w14:paraId="59D62C7B">
      <w:pPr>
        <w:pageBreakBefore w:val="0"/>
        <w:topLinePunct w:val="0"/>
        <w:autoSpaceDE w:val="0"/>
        <w:autoSpaceDN w:val="0"/>
        <w:bidi w:val="0"/>
        <w:adjustRightInd w:val="0"/>
        <w:snapToGrid w:val="0"/>
        <w:spacing w:before="50" w:line="420" w:lineRule="exact"/>
        <w:jc w:val="left"/>
        <w:rPr>
          <w:rFonts w:ascii="宋体" w:hAnsi="宋体"/>
          <w:b/>
          <w:bCs/>
          <w:sz w:val="24"/>
        </w:rPr>
      </w:pPr>
      <w:r>
        <w:rPr>
          <w:rFonts w:hint="eastAsia" w:ascii="宋体" w:hAnsi="宋体"/>
          <w:b/>
          <w:bCs/>
          <w:sz w:val="24"/>
        </w:rPr>
        <w:t>13.合同价款支付</w:t>
      </w:r>
    </w:p>
    <w:p w14:paraId="024A558E">
      <w:pPr>
        <w:pageBreakBefore w:val="0"/>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13.1验收合格后，乙方出具正规发票给甲方，凭甲方开具的《政府采购合同验收报告单》办理合同价</w:t>
      </w:r>
      <w:r>
        <w:rPr>
          <w:rFonts w:hint="eastAsia" w:ascii="宋体" w:hAnsi="宋体"/>
          <w:bCs/>
          <w:szCs w:val="21"/>
        </w:rPr>
        <w:t>款</w:t>
      </w:r>
      <w:r>
        <w:rPr>
          <w:rFonts w:hint="eastAsia" w:ascii="宋体" w:hAnsi="宋体"/>
          <w:szCs w:val="21"/>
        </w:rPr>
        <w:t>结算手续。</w:t>
      </w:r>
    </w:p>
    <w:p w14:paraId="50B24BB3">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13.2合同价款构成中应当由财政支付的部分，甲方应当在货物验收合格后的十五个工作日内向国库管理部门申请支付，经国库管理部门审核后直接支付给乙方。</w:t>
      </w:r>
    </w:p>
    <w:p w14:paraId="3EB67003">
      <w:pPr>
        <w:pageBreakBefore w:val="0"/>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13.3合同价款构成中应当由甲方自行支付的部分，甲方应当在货物验收合格后十五个工作日内支付。</w:t>
      </w:r>
    </w:p>
    <w:p w14:paraId="6F2B8DE0">
      <w:pPr>
        <w:pageBreakBefore w:val="0"/>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13.4支付合同价</w:t>
      </w:r>
      <w:r>
        <w:rPr>
          <w:rFonts w:hint="eastAsia" w:ascii="宋体" w:hAnsi="宋体"/>
          <w:bCs/>
          <w:szCs w:val="21"/>
        </w:rPr>
        <w:t>款</w:t>
      </w:r>
      <w:r>
        <w:rPr>
          <w:rFonts w:hint="eastAsia" w:ascii="宋体" w:hAnsi="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070C754E">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13.5合同价款支付方式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中另有规定。</w:t>
      </w:r>
    </w:p>
    <w:p w14:paraId="5CD46012">
      <w:pPr>
        <w:pageBreakBefore w:val="0"/>
        <w:topLinePunct w:val="0"/>
        <w:autoSpaceDE w:val="0"/>
        <w:autoSpaceDN w:val="0"/>
        <w:bidi w:val="0"/>
        <w:adjustRightInd w:val="0"/>
        <w:snapToGrid w:val="0"/>
        <w:spacing w:before="50" w:line="420" w:lineRule="exact"/>
        <w:jc w:val="left"/>
        <w:rPr>
          <w:rFonts w:ascii="宋体" w:hAnsi="宋体"/>
          <w:b/>
          <w:sz w:val="24"/>
        </w:rPr>
      </w:pPr>
      <w:r>
        <w:rPr>
          <w:rFonts w:hint="eastAsia" w:ascii="宋体" w:hAnsi="宋体"/>
          <w:b/>
          <w:bCs/>
          <w:sz w:val="24"/>
        </w:rPr>
        <w:t>14.</w:t>
      </w:r>
      <w:r>
        <w:rPr>
          <w:rFonts w:hint="eastAsia"/>
          <w:b/>
          <w:sz w:val="24"/>
        </w:rPr>
        <w:t>乙方应提供的</w:t>
      </w:r>
      <w:r>
        <w:rPr>
          <w:rFonts w:hint="eastAsia" w:ascii="宋体" w:hAnsi="宋体"/>
          <w:b/>
          <w:sz w:val="24"/>
        </w:rPr>
        <w:t>服务</w:t>
      </w:r>
    </w:p>
    <w:p w14:paraId="571BC857">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14.1乙方应向甲方提交所提供货物的技术文件，包括相应的中文技术文件，如：产品目录、图纸、操作手册、使用说明、维护手册或服务指南。这些文件应包装好随同货物一起发运。</w:t>
      </w:r>
    </w:p>
    <w:p w14:paraId="46976FD6">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14.2乙方还应提供下列服务：</w:t>
      </w:r>
    </w:p>
    <w:p w14:paraId="7292C372">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（1）货物的现场移动、安装、调试、启动监督及技术支持；</w:t>
      </w:r>
    </w:p>
    <w:p w14:paraId="00D7FBA0">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（2）提供货物组装和维修所需的专用工具和辅助材料；</w:t>
      </w:r>
    </w:p>
    <w:p w14:paraId="637C3DFE">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（3）在合同各方商定的一定期限内对所有的货物实施运行监督、维修，但前提条件是该服务并不能免除乙方在质量保证期内所承担的义务；</w:t>
      </w:r>
    </w:p>
    <w:p w14:paraId="1EAB3FE4">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（4）在制造商或项目现场就货物的安装、启动、运营、维护对甲方操作人员进行培训；</w:t>
      </w:r>
    </w:p>
    <w:p w14:paraId="38E358F9">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（5）</w:t>
      </w:r>
      <w:r>
        <w:rPr>
          <w:rFonts w:hint="eastAsia" w:ascii="宋体" w:hAnsi="宋体"/>
          <w:b/>
          <w:szCs w:val="21"/>
        </w:rPr>
        <w:t>【政府采购合同专用条款】</w:t>
      </w:r>
      <w:r>
        <w:rPr>
          <w:rFonts w:hint="eastAsia" w:ascii="宋体" w:hAnsi="宋体"/>
          <w:szCs w:val="21"/>
        </w:rPr>
        <w:t>规定由乙方提供的其他服务。</w:t>
      </w:r>
    </w:p>
    <w:p w14:paraId="3D0267AB">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14.3乙方提供的服务的费用应包含在合同价款中，甲方不再另行支付。</w:t>
      </w:r>
    </w:p>
    <w:p w14:paraId="19B09D46">
      <w:pPr>
        <w:pageBreakBefore w:val="0"/>
        <w:topLinePunct w:val="0"/>
        <w:bidi w:val="0"/>
        <w:adjustRightInd w:val="0"/>
        <w:snapToGrid w:val="0"/>
        <w:spacing w:before="50" w:line="420" w:lineRule="exact"/>
        <w:jc w:val="left"/>
        <w:rPr>
          <w:rFonts w:ascii="宋体" w:hAnsi="宋体"/>
          <w:b/>
          <w:bCs/>
          <w:sz w:val="24"/>
        </w:rPr>
      </w:pPr>
      <w:r>
        <w:rPr>
          <w:rFonts w:hint="eastAsia" w:ascii="宋体" w:hAnsi="宋体"/>
          <w:b/>
          <w:bCs/>
          <w:sz w:val="24"/>
        </w:rPr>
        <w:t>15.违约责任</w:t>
      </w:r>
    </w:p>
    <w:p w14:paraId="085D6B49">
      <w:pPr>
        <w:pageBreakBefore w:val="0"/>
        <w:topLinePunct w:val="0"/>
        <w:bidi w:val="0"/>
        <w:adjustRightInd w:val="0"/>
        <w:snapToGrid w:val="0"/>
        <w:spacing w:before="50" w:line="420" w:lineRule="exact"/>
        <w:ind w:firstLine="480" w:firstLineChars="200"/>
        <w:jc w:val="left"/>
        <w:rPr>
          <w:rFonts w:ascii="宋体" w:hAnsi="宋体"/>
          <w:bCs/>
          <w:szCs w:val="21"/>
        </w:rPr>
      </w:pPr>
      <w:r>
        <w:rPr>
          <w:rFonts w:hint="eastAsia" w:ascii="宋体" w:hAnsi="宋体"/>
          <w:bCs/>
          <w:szCs w:val="21"/>
        </w:rPr>
        <w:t>15.1质量瑕疵的补救措施和索赔</w:t>
      </w:r>
    </w:p>
    <w:p w14:paraId="4F2A1989">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F956C58">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①乙方同意退货并将货款退还给甲方，由此发生的一切费用和损失由乙方承担。</w:t>
      </w:r>
    </w:p>
    <w:p w14:paraId="1778E8BF">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②根据货物的质量状况以及甲方所遭受的损失，经过甲乙双方商定降低货物的价格。</w:t>
      </w:r>
    </w:p>
    <w:p w14:paraId="07370D96">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25A1A35">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3D42ADB">
      <w:pPr>
        <w:pageBreakBefore w:val="0"/>
        <w:topLinePunct w:val="0"/>
        <w:autoSpaceDE w:val="0"/>
        <w:autoSpaceDN w:val="0"/>
        <w:bidi w:val="0"/>
        <w:adjustRightInd w:val="0"/>
        <w:snapToGrid w:val="0"/>
        <w:spacing w:before="50" w:line="420" w:lineRule="exact"/>
        <w:ind w:firstLine="480" w:firstLineChars="200"/>
        <w:jc w:val="left"/>
        <w:rPr>
          <w:rFonts w:ascii="宋体" w:hAnsi="宋体"/>
          <w:bCs/>
          <w:szCs w:val="21"/>
        </w:rPr>
      </w:pPr>
      <w:r>
        <w:rPr>
          <w:rFonts w:hint="eastAsia" w:ascii="宋体" w:hAnsi="宋体"/>
          <w:bCs/>
          <w:szCs w:val="21"/>
        </w:rPr>
        <w:t>15.2迟延交货的违约责任</w:t>
      </w:r>
    </w:p>
    <w:p w14:paraId="36872239">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3B8DDDD0">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（2）除本合同</w:t>
      </w:r>
      <w:r>
        <w:rPr>
          <w:rFonts w:hint="eastAsia" w:ascii="宋体" w:hAnsi="宋体"/>
          <w:bCs/>
          <w:szCs w:val="21"/>
        </w:rPr>
        <w:t>第20条</w:t>
      </w:r>
      <w:r>
        <w:rPr>
          <w:rFonts w:hint="eastAsia" w:ascii="宋体" w:hAnsi="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50535E71">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35A2742">
      <w:pPr>
        <w:pageBreakBefore w:val="0"/>
        <w:topLinePunct w:val="0"/>
        <w:autoSpaceDE w:val="0"/>
        <w:autoSpaceDN w:val="0"/>
        <w:bidi w:val="0"/>
        <w:adjustRightInd w:val="0"/>
        <w:snapToGrid w:val="0"/>
        <w:spacing w:before="50" w:line="420" w:lineRule="exact"/>
        <w:jc w:val="left"/>
        <w:rPr>
          <w:rFonts w:ascii="宋体" w:hAnsi="宋体"/>
          <w:b/>
          <w:sz w:val="24"/>
        </w:rPr>
      </w:pPr>
      <w:r>
        <w:rPr>
          <w:rFonts w:hint="eastAsia" w:ascii="宋体" w:hAnsi="宋体"/>
          <w:b/>
          <w:sz w:val="24"/>
        </w:rPr>
        <w:t>16.合同的变更</w:t>
      </w:r>
    </w:p>
    <w:p w14:paraId="19F7D0E0">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16.1在合同履行过程中，甲、乙双方可就合同履行的时间、地点和方式等协商进行变更。协商一致后，双方应签订书面的补充协议。</w:t>
      </w:r>
    </w:p>
    <w:p w14:paraId="7522DB16">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16.2在不改变合同其他条款的前提下，甲方有权在合同价款百分之十的范围内追加与合同标的相同的货物或服务，并就此与乙方签订补充合同，乙方不得拒绝。</w:t>
      </w:r>
    </w:p>
    <w:p w14:paraId="146CE749">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16.3除双方签署书面协议，并成为合同不可分割的一部分外，本合同条件不得有任何变更。</w:t>
      </w:r>
    </w:p>
    <w:p w14:paraId="469C21D9">
      <w:pPr>
        <w:pageBreakBefore w:val="0"/>
        <w:topLinePunct w:val="0"/>
        <w:autoSpaceDE w:val="0"/>
        <w:autoSpaceDN w:val="0"/>
        <w:bidi w:val="0"/>
        <w:adjustRightInd w:val="0"/>
        <w:snapToGrid w:val="0"/>
        <w:spacing w:before="50" w:line="420" w:lineRule="exact"/>
        <w:jc w:val="left"/>
        <w:rPr>
          <w:rFonts w:ascii="宋体" w:hAnsi="宋体"/>
          <w:b/>
          <w:sz w:val="24"/>
        </w:rPr>
      </w:pPr>
      <w:r>
        <w:rPr>
          <w:rFonts w:hint="eastAsia" w:ascii="宋体" w:hAnsi="宋体"/>
          <w:b/>
          <w:sz w:val="24"/>
        </w:rPr>
        <w:t>17.合同中止与终止</w:t>
      </w:r>
    </w:p>
    <w:p w14:paraId="14BFC7E7">
      <w:pPr>
        <w:pageBreakBefore w:val="0"/>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17.1合同的中止</w:t>
      </w:r>
    </w:p>
    <w:p w14:paraId="65DC4118">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（1）合同在履行过程中，因采购计划调整，甲方可以要求中止履行，待计划确定后继续履行；</w:t>
      </w:r>
    </w:p>
    <w:p w14:paraId="4F0683CA">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2D0432D6">
      <w:pPr>
        <w:pageBreakBefore w:val="0"/>
        <w:topLinePunct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17.2合同的终止</w:t>
      </w:r>
    </w:p>
    <w:p w14:paraId="300E40BB">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（1）合同因有效期限届满而终止；</w:t>
      </w:r>
    </w:p>
    <w:p w14:paraId="7D72AFFC">
      <w:pPr>
        <w:pageBreakBefore w:val="0"/>
        <w:topLinePunct w:val="0"/>
        <w:autoSpaceDE w:val="0"/>
        <w:autoSpaceDN w:val="0"/>
        <w:bidi w:val="0"/>
        <w:adjustRightInd w:val="0"/>
        <w:snapToGrid w:val="0"/>
        <w:spacing w:before="50" w:line="420" w:lineRule="exact"/>
        <w:ind w:firstLine="480" w:firstLineChars="200"/>
        <w:jc w:val="left"/>
        <w:rPr>
          <w:rFonts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3F9F3DA6">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（3）如果乙方丧失履约能力或被宣告破产，甲方可在任何时候以书面形式通知乙方终止合同而不给乙方补偿。</w:t>
      </w:r>
    </w:p>
    <w:p w14:paraId="1F108AFF">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32AAC3FA">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4F1C8D3D">
      <w:pPr>
        <w:keepNext w:val="0"/>
        <w:keepLines w:val="0"/>
        <w:pageBreakBefore w:val="0"/>
        <w:widowControl w:val="0"/>
        <w:kinsoku/>
        <w:wordWrap/>
        <w:overflowPunct/>
        <w:topLinePunct w:val="0"/>
        <w:autoSpaceDE w:val="0"/>
        <w:autoSpaceDN w:val="0"/>
        <w:bidi w:val="0"/>
        <w:adjustRightInd w:val="0"/>
        <w:snapToGrid w:val="0"/>
        <w:spacing w:before="50" w:line="380" w:lineRule="exact"/>
        <w:jc w:val="left"/>
        <w:textAlignment w:val="auto"/>
        <w:rPr>
          <w:rFonts w:ascii="宋体" w:hAnsi="宋体"/>
          <w:b/>
          <w:bCs/>
          <w:sz w:val="24"/>
        </w:rPr>
      </w:pPr>
      <w:r>
        <w:rPr>
          <w:rFonts w:hint="eastAsia" w:ascii="宋体" w:hAnsi="宋体"/>
          <w:b/>
          <w:bCs/>
          <w:sz w:val="24"/>
        </w:rPr>
        <w:t>18.合同转让和分包</w:t>
      </w:r>
    </w:p>
    <w:p w14:paraId="379F059F">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18.1乙方不得以任何形式将合同转包。</w:t>
      </w:r>
    </w:p>
    <w:p w14:paraId="4C4783C1">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18.2乙方未在投标文件中说明，不得将</w:t>
      </w:r>
      <w:r>
        <w:rPr>
          <w:rFonts w:hint="eastAsia" w:ascii="宋体" w:hAnsi="宋体"/>
          <w:bCs/>
          <w:szCs w:val="21"/>
        </w:rPr>
        <w:t>合同</w:t>
      </w:r>
      <w:r>
        <w:rPr>
          <w:rFonts w:hint="eastAsia" w:ascii="宋体" w:hAnsi="宋体"/>
          <w:szCs w:val="21"/>
        </w:rPr>
        <w:t>的非主体、非关键性工作分包给他人。</w:t>
      </w:r>
    </w:p>
    <w:p w14:paraId="4C2D0544">
      <w:pPr>
        <w:keepNext w:val="0"/>
        <w:keepLines w:val="0"/>
        <w:pageBreakBefore w:val="0"/>
        <w:widowControl w:val="0"/>
        <w:kinsoku/>
        <w:wordWrap/>
        <w:overflowPunct/>
        <w:topLinePunct w:val="0"/>
        <w:autoSpaceDE w:val="0"/>
        <w:autoSpaceDN w:val="0"/>
        <w:bidi w:val="0"/>
        <w:adjustRightInd w:val="0"/>
        <w:snapToGrid w:val="0"/>
        <w:spacing w:before="50" w:line="380" w:lineRule="exact"/>
        <w:jc w:val="left"/>
        <w:textAlignment w:val="auto"/>
        <w:rPr>
          <w:rFonts w:ascii="宋体" w:hAnsi="宋体"/>
          <w:b/>
          <w:bCs/>
          <w:sz w:val="24"/>
        </w:rPr>
      </w:pPr>
      <w:r>
        <w:rPr>
          <w:rFonts w:hint="eastAsia" w:ascii="宋体" w:hAnsi="宋体"/>
          <w:b/>
          <w:bCs/>
          <w:sz w:val="24"/>
        </w:rPr>
        <w:t>19.不可抗力</w:t>
      </w:r>
    </w:p>
    <w:p w14:paraId="2A7F4337">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19.1不可抗力是指合同双方不可预见、不可避免、不可克服的自然灾害和社会事件。</w:t>
      </w:r>
    </w:p>
    <w:p w14:paraId="156356D7">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19.2任何一方对由于不可抗力造成的部分或全部不能履行合同不承担违约责任。但迟延履行后发生不可抗力的，不能免除责任。</w:t>
      </w:r>
    </w:p>
    <w:p w14:paraId="24EB0B85">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19.3遇有不可抗力的一方，应在三日内将事件的情况以书面形式通知另一方，并在事件发生后十日内，向另一方提交合同不能履行或部分不能履行或需要延期履行理由的报告。</w:t>
      </w:r>
    </w:p>
    <w:p w14:paraId="12679C0B">
      <w:pPr>
        <w:keepNext w:val="0"/>
        <w:keepLines w:val="0"/>
        <w:pageBreakBefore w:val="0"/>
        <w:widowControl w:val="0"/>
        <w:kinsoku/>
        <w:wordWrap/>
        <w:overflowPunct/>
        <w:topLinePunct w:val="0"/>
        <w:autoSpaceDE w:val="0"/>
        <w:autoSpaceDN w:val="0"/>
        <w:bidi w:val="0"/>
        <w:adjustRightInd w:val="0"/>
        <w:snapToGrid w:val="0"/>
        <w:spacing w:before="50" w:line="380" w:lineRule="exact"/>
        <w:jc w:val="left"/>
        <w:textAlignment w:val="auto"/>
        <w:rPr>
          <w:rFonts w:ascii="宋体" w:hAnsi="宋体"/>
          <w:b/>
          <w:bCs/>
          <w:sz w:val="24"/>
        </w:rPr>
      </w:pPr>
      <w:r>
        <w:rPr>
          <w:rFonts w:hint="eastAsia" w:ascii="宋体" w:hAnsi="宋体"/>
          <w:b/>
          <w:bCs/>
          <w:sz w:val="24"/>
        </w:rPr>
        <w:t>20.解决争议的方法</w:t>
      </w:r>
    </w:p>
    <w:p w14:paraId="235C2F77">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20.1合同各方应通过友好协商，解决在执行合同过程中所发生的或与合同有关的一切争端。如从协商开始后十日内仍不能解决，可以向财政部门提请调解。</w:t>
      </w:r>
    </w:p>
    <w:p w14:paraId="55D18E85">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20.2调解不成可以向甲方所在地人民法院提起诉讼。</w:t>
      </w:r>
    </w:p>
    <w:p w14:paraId="056F9582">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20.3如仲裁或诉讼事项不影响合同其它部分的履行，则在仲裁或诉讼期间，除正在进行仲裁或诉讼的部分外，合同的其它部分应继续执行。</w:t>
      </w:r>
    </w:p>
    <w:p w14:paraId="36A4A9A4">
      <w:pPr>
        <w:keepNext w:val="0"/>
        <w:keepLines w:val="0"/>
        <w:pageBreakBefore w:val="0"/>
        <w:widowControl w:val="0"/>
        <w:kinsoku/>
        <w:wordWrap/>
        <w:overflowPunct/>
        <w:topLinePunct w:val="0"/>
        <w:autoSpaceDE w:val="0"/>
        <w:autoSpaceDN w:val="0"/>
        <w:bidi w:val="0"/>
        <w:adjustRightInd w:val="0"/>
        <w:snapToGrid w:val="0"/>
        <w:spacing w:before="50" w:line="380" w:lineRule="exact"/>
        <w:jc w:val="left"/>
        <w:textAlignment w:val="auto"/>
        <w:rPr>
          <w:rFonts w:ascii="宋体" w:hAnsi="宋体"/>
          <w:b/>
          <w:sz w:val="24"/>
        </w:rPr>
      </w:pPr>
      <w:r>
        <w:rPr>
          <w:rFonts w:hint="eastAsia" w:ascii="宋体" w:hAnsi="宋体"/>
          <w:b/>
          <w:sz w:val="24"/>
        </w:rPr>
        <w:t>21.法律适用</w:t>
      </w:r>
    </w:p>
    <w:p w14:paraId="0B84DD92">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21.1本合同适用中华人民共和国现行法律、行政法规和规章，如合同条款与法律、行政法规和规章不一致的，按照法律、行政法规和规章修改本合同。</w:t>
      </w:r>
    </w:p>
    <w:p w14:paraId="6FF19419">
      <w:pPr>
        <w:keepNext w:val="0"/>
        <w:keepLines w:val="0"/>
        <w:pageBreakBefore w:val="0"/>
        <w:widowControl w:val="0"/>
        <w:kinsoku/>
        <w:wordWrap/>
        <w:overflowPunct/>
        <w:topLinePunct w:val="0"/>
        <w:autoSpaceDE w:val="0"/>
        <w:autoSpaceDN w:val="0"/>
        <w:bidi w:val="0"/>
        <w:adjustRightInd w:val="0"/>
        <w:snapToGrid w:val="0"/>
        <w:spacing w:before="50" w:line="380" w:lineRule="exact"/>
        <w:jc w:val="left"/>
        <w:textAlignment w:val="auto"/>
        <w:rPr>
          <w:rFonts w:ascii="宋体" w:hAnsi="宋体"/>
          <w:b/>
          <w:sz w:val="24"/>
        </w:rPr>
      </w:pPr>
      <w:r>
        <w:rPr>
          <w:rFonts w:hint="eastAsia" w:ascii="宋体" w:hAnsi="宋体"/>
          <w:b/>
          <w:bCs/>
          <w:sz w:val="24"/>
        </w:rPr>
        <w:t>22.</w:t>
      </w:r>
      <w:r>
        <w:rPr>
          <w:rFonts w:hint="eastAsia" w:ascii="宋体" w:hAnsi="宋体"/>
          <w:b/>
          <w:sz w:val="24"/>
        </w:rPr>
        <w:t>通知</w:t>
      </w:r>
    </w:p>
    <w:p w14:paraId="62B54487">
      <w:pPr>
        <w:keepNext w:val="0"/>
        <w:keepLines w:val="0"/>
        <w:pageBreakBefore w:val="0"/>
        <w:widowControl w:val="0"/>
        <w:kinsoku/>
        <w:wordWrap/>
        <w:overflowPunct/>
        <w:topLinePunct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22.1本合同一方给另一方的通知均应采用书面形式，传真或快递送到本合同中规定的对方的地址和办理签收手续，</w:t>
      </w:r>
    </w:p>
    <w:p w14:paraId="1263D6BE">
      <w:pPr>
        <w:keepNext w:val="0"/>
        <w:keepLines w:val="0"/>
        <w:pageBreakBefore w:val="0"/>
        <w:widowControl w:val="0"/>
        <w:kinsoku/>
        <w:wordWrap/>
        <w:overflowPunct/>
        <w:topLinePunct w:val="0"/>
        <w:bidi w:val="0"/>
        <w:adjustRightInd w:val="0"/>
        <w:snapToGrid w:val="0"/>
        <w:spacing w:before="50" w:line="380" w:lineRule="exact"/>
        <w:ind w:firstLine="480" w:firstLineChars="200"/>
        <w:jc w:val="left"/>
        <w:textAlignment w:val="auto"/>
        <w:rPr>
          <w:rFonts w:ascii="宋体" w:hAnsi="宋体"/>
          <w:szCs w:val="21"/>
        </w:rPr>
      </w:pPr>
      <w:r>
        <w:rPr>
          <w:rFonts w:hint="eastAsia" w:ascii="宋体" w:hAnsi="宋体"/>
          <w:szCs w:val="21"/>
        </w:rPr>
        <w:t>22.2通知以送到之日或通知书中规定的生效之日起生效，两者中以较迟之日为准。</w:t>
      </w:r>
    </w:p>
    <w:p w14:paraId="6ABAA15E">
      <w:pPr>
        <w:keepNext w:val="0"/>
        <w:keepLines w:val="0"/>
        <w:pageBreakBefore w:val="0"/>
        <w:widowControl w:val="0"/>
        <w:kinsoku/>
        <w:wordWrap/>
        <w:overflowPunct/>
        <w:topLinePunct w:val="0"/>
        <w:bidi w:val="0"/>
        <w:adjustRightInd w:val="0"/>
        <w:snapToGrid w:val="0"/>
        <w:spacing w:before="50" w:line="380" w:lineRule="exact"/>
        <w:jc w:val="left"/>
        <w:textAlignment w:val="auto"/>
        <w:rPr>
          <w:rFonts w:ascii="宋体" w:hAnsi="宋体"/>
          <w:b/>
          <w:bCs/>
          <w:sz w:val="24"/>
        </w:rPr>
      </w:pPr>
      <w:r>
        <w:rPr>
          <w:rFonts w:hint="eastAsia" w:ascii="宋体" w:hAnsi="宋体"/>
          <w:b/>
          <w:bCs/>
          <w:sz w:val="24"/>
        </w:rPr>
        <w:t>23. 合同未尽事项</w:t>
      </w:r>
    </w:p>
    <w:p w14:paraId="2458E01A">
      <w:pPr>
        <w:keepNext w:val="0"/>
        <w:keepLines w:val="0"/>
        <w:pageBreakBefore w:val="0"/>
        <w:widowControl w:val="0"/>
        <w:kinsoku/>
        <w:wordWrap/>
        <w:overflowPunct/>
        <w:topLinePunct w:val="0"/>
        <w:bidi w:val="0"/>
        <w:adjustRightInd w:val="0"/>
        <w:snapToGrid w:val="0"/>
        <w:spacing w:before="50" w:line="380" w:lineRule="exact"/>
        <w:ind w:firstLine="480" w:firstLineChars="200"/>
        <w:jc w:val="left"/>
        <w:textAlignment w:val="auto"/>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p>
    <w:p w14:paraId="173547B7">
      <w:pPr>
        <w:keepNext w:val="0"/>
        <w:keepLines w:val="0"/>
        <w:pageBreakBefore w:val="0"/>
        <w:widowControl w:val="0"/>
        <w:kinsoku/>
        <w:wordWrap/>
        <w:overflowPunct/>
        <w:topLinePunct w:val="0"/>
        <w:bidi w:val="0"/>
        <w:adjustRightInd w:val="0"/>
        <w:snapToGrid w:val="0"/>
        <w:spacing w:before="50" w:line="380" w:lineRule="exact"/>
        <w:jc w:val="left"/>
        <w:textAlignment w:val="auto"/>
        <w:rPr>
          <w:rFonts w:ascii="宋体" w:hAnsi="宋体"/>
          <w:b/>
          <w:bCs/>
          <w:sz w:val="24"/>
        </w:rPr>
      </w:pPr>
      <w:r>
        <w:rPr>
          <w:rFonts w:hint="eastAsia" w:ascii="宋体" w:hAnsi="宋体"/>
          <w:b/>
          <w:bCs/>
          <w:sz w:val="24"/>
        </w:rPr>
        <w:t>24.合同生效</w:t>
      </w:r>
    </w:p>
    <w:p w14:paraId="60CBB0A6">
      <w:pPr>
        <w:keepNext w:val="0"/>
        <w:keepLines w:val="0"/>
        <w:pageBreakBefore w:val="0"/>
        <w:widowControl w:val="0"/>
        <w:kinsoku/>
        <w:wordWrap/>
        <w:overflowPunct/>
        <w:topLinePunct w:val="0"/>
        <w:autoSpaceDE w:val="0"/>
        <w:autoSpaceDN w:val="0"/>
        <w:bidi w:val="0"/>
        <w:adjustRightInd w:val="0"/>
        <w:snapToGrid w:val="0"/>
        <w:spacing w:before="50" w:line="380" w:lineRule="exact"/>
        <w:ind w:firstLine="480" w:firstLineChars="200"/>
        <w:jc w:val="left"/>
        <w:textAlignment w:val="auto"/>
        <w:rPr>
          <w:rFonts w:hint="eastAsia" w:ascii="宋体" w:hAnsi="宋体"/>
          <w:szCs w:val="21"/>
        </w:rPr>
      </w:pPr>
      <w:r>
        <w:rPr>
          <w:rFonts w:hint="eastAsia" w:ascii="宋体" w:hAnsi="宋体"/>
          <w:szCs w:val="21"/>
        </w:rPr>
        <w:t>24.1本合同在合同双方签字盖章后生效。</w:t>
      </w:r>
    </w:p>
    <w:p w14:paraId="6048E04A">
      <w:pPr>
        <w:pStyle w:val="19"/>
        <w:pageBreakBefore w:val="0"/>
        <w:kinsoku/>
        <w:wordWrap/>
        <w:overflowPunct/>
        <w:topLinePunct w:val="0"/>
        <w:bidi w:val="0"/>
        <w:adjustRightInd w:val="0"/>
        <w:snapToGrid w:val="0"/>
        <w:spacing w:line="420" w:lineRule="exact"/>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2</w:t>
      </w:r>
      <w:r>
        <w:rPr>
          <w:rFonts w:hint="eastAsia" w:ascii="宋体" w:hAnsi="宋体" w:eastAsia="宋体" w:cs="宋体"/>
          <w:b/>
          <w:color w:val="000000"/>
          <w:sz w:val="24"/>
          <w:szCs w:val="24"/>
          <w:highlight w:val="none"/>
          <w:lang w:eastAsia="zh-CN"/>
        </w:rPr>
        <w:t>5</w:t>
      </w:r>
      <w:r>
        <w:rPr>
          <w:rFonts w:hint="eastAsia" w:ascii="宋体" w:hAnsi="宋体" w:eastAsia="宋体" w:cs="宋体"/>
          <w:b/>
          <w:color w:val="000000"/>
          <w:sz w:val="24"/>
          <w:szCs w:val="24"/>
          <w:highlight w:val="none"/>
        </w:rPr>
        <w:t>.附则</w:t>
      </w:r>
    </w:p>
    <w:p w14:paraId="0397E2A6">
      <w:pPr>
        <w:pageBreakBefore w:val="0"/>
        <w:kinsoku/>
        <w:wordWrap/>
        <w:overflowPunct/>
        <w:topLinePunct w:val="0"/>
        <w:bidi w:val="0"/>
        <w:adjustRightInd w:val="0"/>
        <w:snapToGrid w:val="0"/>
        <w:spacing w:line="420" w:lineRule="exact"/>
        <w:ind w:firstLine="480"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25.1本合同未尽事宜，见</w:t>
      </w:r>
      <w:r>
        <w:rPr>
          <w:rFonts w:hint="eastAsia" w:ascii="宋体" w:hAnsi="宋体" w:eastAsia="宋体" w:cs="宋体"/>
          <w:b/>
          <w:color w:val="000000"/>
          <w:sz w:val="24"/>
          <w:szCs w:val="24"/>
          <w:highlight w:val="none"/>
        </w:rPr>
        <w:t>招标文件前附表。</w:t>
      </w:r>
    </w:p>
    <w:p w14:paraId="498596CB">
      <w:pPr>
        <w:pageBreakBefore w:val="0"/>
        <w:topLinePunct w:val="0"/>
        <w:autoSpaceDE w:val="0"/>
        <w:autoSpaceDN w:val="0"/>
        <w:bidi w:val="0"/>
        <w:adjustRightInd w:val="0"/>
        <w:snapToGrid w:val="0"/>
        <w:spacing w:before="50" w:line="420" w:lineRule="exact"/>
        <w:ind w:firstLine="643" w:firstLineChars="200"/>
        <w:jc w:val="left"/>
        <w:rPr>
          <w:rFonts w:ascii="黑体" w:hAnsi="黑体" w:eastAsia="黑体"/>
          <w:b/>
          <w:bCs/>
          <w:sz w:val="32"/>
        </w:rPr>
      </w:pPr>
      <w:r>
        <w:rPr>
          <w:rFonts w:ascii="黑体" w:hAnsi="黑体" w:eastAsia="黑体"/>
          <w:b/>
          <w:bCs/>
          <w:sz w:val="32"/>
        </w:rPr>
        <w:br w:type="page"/>
      </w:r>
    </w:p>
    <w:p w14:paraId="03052FAD">
      <w:pPr>
        <w:pStyle w:val="3"/>
        <w:pageBreakBefore w:val="0"/>
        <w:topLinePunct w:val="0"/>
        <w:bidi w:val="0"/>
        <w:adjustRightInd w:val="0"/>
        <w:snapToGrid w:val="0"/>
        <w:spacing w:line="420" w:lineRule="exact"/>
        <w:jc w:val="center"/>
        <w:rPr>
          <w:rFonts w:ascii="黑体" w:hAnsi="华文中宋" w:eastAsia="黑体"/>
          <w:sz w:val="28"/>
          <w:szCs w:val="28"/>
        </w:rPr>
      </w:pPr>
      <w:bookmarkStart w:id="95" w:name="_Toc716"/>
      <w:bookmarkStart w:id="96" w:name="_Toc16173"/>
      <w:r>
        <w:rPr>
          <w:rFonts w:hint="eastAsia" w:ascii="黑体" w:hAnsi="华文中宋" w:eastAsia="黑体"/>
          <w:sz w:val="28"/>
          <w:szCs w:val="28"/>
        </w:rPr>
        <w:t>第三节</w:t>
      </w:r>
      <w:r>
        <w:rPr>
          <w:rFonts w:ascii="黑体" w:hAnsi="华文中宋" w:eastAsia="黑体"/>
          <w:sz w:val="28"/>
          <w:szCs w:val="28"/>
        </w:rPr>
        <w:t xml:space="preserve"> </w:t>
      </w:r>
      <w:r>
        <w:rPr>
          <w:rFonts w:hint="eastAsia" w:ascii="黑体" w:hAnsi="华文中宋" w:eastAsia="黑体"/>
          <w:sz w:val="28"/>
          <w:szCs w:val="28"/>
        </w:rPr>
        <w:t>政府采购合同专用条款</w:t>
      </w:r>
      <w:bookmarkEnd w:id="95"/>
      <w:bookmarkEnd w:id="96"/>
    </w:p>
    <w:tbl>
      <w:tblPr>
        <w:tblStyle w:val="33"/>
        <w:tblW w:w="95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69"/>
        <w:gridCol w:w="2092"/>
        <w:gridCol w:w="5257"/>
      </w:tblGrid>
      <w:tr w14:paraId="3A6FB4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2169" w:type="dxa"/>
            <w:vAlign w:val="center"/>
          </w:tcPr>
          <w:p w14:paraId="6BECDAE3">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本章第二节</w:t>
            </w:r>
          </w:p>
          <w:p w14:paraId="124A96D4">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第1.1款</w:t>
            </w:r>
          </w:p>
        </w:tc>
        <w:tc>
          <w:tcPr>
            <w:tcW w:w="2092" w:type="dxa"/>
            <w:vAlign w:val="center"/>
          </w:tcPr>
          <w:p w14:paraId="2DC8185E">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甲方名称、地址</w:t>
            </w:r>
          </w:p>
        </w:tc>
        <w:tc>
          <w:tcPr>
            <w:tcW w:w="5257" w:type="dxa"/>
            <w:vAlign w:val="center"/>
          </w:tcPr>
          <w:p w14:paraId="577A8FFD">
            <w:pPr>
              <w:pageBreakBefore w:val="0"/>
              <w:topLinePunct w:val="0"/>
              <w:bidi w:val="0"/>
              <w:adjustRightInd w:val="0"/>
              <w:snapToGrid w:val="0"/>
              <w:spacing w:line="420" w:lineRule="exact"/>
              <w:jc w:val="left"/>
              <w:rPr>
                <w:rFonts w:hint="eastAsia" w:ascii="宋体" w:eastAsia="宋体"/>
                <w:szCs w:val="21"/>
                <w:lang w:eastAsia="zh-CN"/>
              </w:rPr>
            </w:pPr>
            <w:r>
              <w:rPr>
                <w:rFonts w:hint="eastAsia" w:ascii="宋体"/>
                <w:szCs w:val="21"/>
              </w:rPr>
              <w:t>名称：</w:t>
            </w:r>
            <w:r>
              <w:rPr>
                <w:rFonts w:hint="eastAsia" w:ascii="宋体" w:cs="宋体"/>
                <w:szCs w:val="21"/>
                <w:lang w:val="en-US" w:eastAsia="zh-CN"/>
              </w:rPr>
              <w:t>张家界市文化旅游广电体育局</w:t>
            </w:r>
          </w:p>
          <w:p w14:paraId="2FA6CFDD">
            <w:pPr>
              <w:pageBreakBefore w:val="0"/>
              <w:topLinePunct w:val="0"/>
              <w:bidi w:val="0"/>
              <w:adjustRightInd w:val="0"/>
              <w:snapToGrid w:val="0"/>
              <w:spacing w:line="420" w:lineRule="exact"/>
              <w:jc w:val="left"/>
              <w:rPr>
                <w:rFonts w:hint="default" w:ascii="宋体" w:hAnsi="宋体" w:eastAsia="宋体"/>
                <w:szCs w:val="21"/>
                <w:lang w:val="en-US" w:eastAsia="zh-CN"/>
              </w:rPr>
            </w:pPr>
            <w:r>
              <w:rPr>
                <w:rFonts w:hint="eastAsia" w:ascii="宋体"/>
                <w:szCs w:val="21"/>
              </w:rPr>
              <w:t>地址：</w:t>
            </w:r>
            <w:r>
              <w:rPr>
                <w:rFonts w:hint="eastAsia" w:ascii="宋体"/>
                <w:szCs w:val="21"/>
                <w:lang w:val="en-US" w:eastAsia="zh-CN"/>
              </w:rPr>
              <w:t>张家界市永定区南庄路30号</w:t>
            </w:r>
          </w:p>
        </w:tc>
      </w:tr>
      <w:tr w14:paraId="3106D7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jc w:val="center"/>
        </w:trPr>
        <w:tc>
          <w:tcPr>
            <w:tcW w:w="2169" w:type="dxa"/>
            <w:vAlign w:val="center"/>
          </w:tcPr>
          <w:p w14:paraId="3D415AA8">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本章第二节</w:t>
            </w:r>
          </w:p>
          <w:p w14:paraId="4A05FA62">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第1.2（6）项</w:t>
            </w:r>
          </w:p>
        </w:tc>
        <w:tc>
          <w:tcPr>
            <w:tcW w:w="2092" w:type="dxa"/>
            <w:vAlign w:val="center"/>
          </w:tcPr>
          <w:p w14:paraId="549B593F">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项目现场</w:t>
            </w:r>
          </w:p>
        </w:tc>
        <w:tc>
          <w:tcPr>
            <w:tcW w:w="5257" w:type="dxa"/>
            <w:vAlign w:val="center"/>
          </w:tcPr>
          <w:p w14:paraId="53015A14">
            <w:pPr>
              <w:pageBreakBefore w:val="0"/>
              <w:topLinePunct w:val="0"/>
              <w:bidi w:val="0"/>
              <w:adjustRightInd w:val="0"/>
              <w:snapToGrid w:val="0"/>
              <w:spacing w:line="420" w:lineRule="exact"/>
              <w:jc w:val="left"/>
              <w:rPr>
                <w:rFonts w:ascii="宋体" w:hAnsi="宋体"/>
                <w:szCs w:val="21"/>
              </w:rPr>
            </w:pPr>
            <w:r>
              <w:rPr>
                <w:rFonts w:hint="eastAsia" w:ascii="宋体"/>
                <w:b w:val="0"/>
                <w:bCs w:val="0"/>
                <w:color w:val="auto"/>
                <w:szCs w:val="21"/>
                <w:lang w:eastAsia="zh-CN"/>
              </w:rPr>
              <w:t>采购人指定地点</w:t>
            </w:r>
          </w:p>
        </w:tc>
      </w:tr>
      <w:tr w14:paraId="7095E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30" w:hRule="atLeast"/>
          <w:jc w:val="center"/>
        </w:trPr>
        <w:tc>
          <w:tcPr>
            <w:tcW w:w="2169" w:type="dxa"/>
            <w:vAlign w:val="center"/>
          </w:tcPr>
          <w:p w14:paraId="0DF36B4A">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本章第二节</w:t>
            </w:r>
          </w:p>
          <w:p w14:paraId="080E2A2B">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第5.1款</w:t>
            </w:r>
          </w:p>
        </w:tc>
        <w:tc>
          <w:tcPr>
            <w:tcW w:w="2092" w:type="dxa"/>
            <w:vAlign w:val="center"/>
          </w:tcPr>
          <w:p w14:paraId="7024BB38">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履行合同的时间、地点及方式</w:t>
            </w:r>
          </w:p>
        </w:tc>
        <w:tc>
          <w:tcPr>
            <w:tcW w:w="5257" w:type="dxa"/>
            <w:vAlign w:val="center"/>
          </w:tcPr>
          <w:p w14:paraId="3C38FED0">
            <w:pPr>
              <w:rPr>
                <w:rFonts w:hint="eastAsia" w:ascii="宋体" w:hAnsi="宋体"/>
                <w:szCs w:val="21"/>
                <w:u w:val="none"/>
              </w:rPr>
            </w:pPr>
            <w:r>
              <w:rPr>
                <w:rFonts w:hint="eastAsia" w:ascii="宋体" w:hAnsi="宋体"/>
                <w:szCs w:val="21"/>
                <w:lang w:val="en-US" w:eastAsia="zh-CN"/>
              </w:rPr>
              <w:t>服务</w:t>
            </w:r>
            <w:r>
              <w:rPr>
                <w:rFonts w:hint="eastAsia" w:ascii="宋体" w:hAnsi="宋体"/>
                <w:szCs w:val="21"/>
              </w:rPr>
              <w:t>时间：</w:t>
            </w:r>
            <w:r>
              <w:rPr>
                <w:rFonts w:hint="eastAsia" w:ascii="宋体" w:hAnsi="宋体"/>
                <w:color w:val="auto"/>
                <w:szCs w:val="21"/>
                <w:u w:val="none"/>
                <w:lang w:eastAsia="zh-CN"/>
              </w:rPr>
              <w:t>整个项目分为建设期和服务期。建设期：60天，合同签订生效之日起至项目初步验收通过之日为项目建设期。合同生效之日起30日内完成包括但不限于深化设计、设备采购、设备安装、系统集成、联调测试等全套工程实施并通过项目初步验收，初步验收由乙方提出申请，甲方组织验收。初步验收合格后进入系统试运行期，试运行期30日，试运行期期满后由乙方提交验收书面申请，由甲方组织验收。</w:t>
            </w:r>
            <w:bookmarkStart w:id="143" w:name="_GoBack"/>
            <w:bookmarkEnd w:id="143"/>
          </w:p>
          <w:p w14:paraId="4E6466BF">
            <w:pPr>
              <w:pageBreakBefore w:val="0"/>
              <w:topLinePunct w:val="0"/>
              <w:bidi w:val="0"/>
              <w:adjustRightInd w:val="0"/>
              <w:snapToGrid w:val="0"/>
              <w:spacing w:line="420" w:lineRule="exact"/>
              <w:jc w:val="left"/>
              <w:rPr>
                <w:rFonts w:hint="eastAsia" w:ascii="宋体" w:hAnsi="宋体" w:eastAsia="宋体"/>
                <w:szCs w:val="21"/>
                <w:u w:val="none"/>
                <w:lang w:eastAsia="zh-CN"/>
              </w:rPr>
            </w:pPr>
            <w:r>
              <w:rPr>
                <w:rFonts w:hint="eastAsia" w:ascii="宋体" w:hAnsi="宋体"/>
                <w:szCs w:val="21"/>
                <w:u w:val="none"/>
                <w:lang w:val="en-US" w:eastAsia="zh-CN"/>
              </w:rPr>
              <w:t>服务</w:t>
            </w:r>
            <w:r>
              <w:rPr>
                <w:rFonts w:hint="eastAsia" w:ascii="宋体" w:hAnsi="宋体"/>
                <w:szCs w:val="21"/>
                <w:u w:val="none"/>
              </w:rPr>
              <w:t>地点：</w:t>
            </w:r>
            <w:r>
              <w:rPr>
                <w:rFonts w:hint="eastAsia" w:ascii="宋体"/>
                <w:b w:val="0"/>
                <w:bCs w:val="0"/>
                <w:color w:val="auto"/>
                <w:szCs w:val="21"/>
                <w:u w:val="none"/>
                <w:lang w:eastAsia="zh-CN"/>
              </w:rPr>
              <w:t>采购人指定地点</w:t>
            </w:r>
          </w:p>
          <w:p w14:paraId="2EC43499">
            <w:pPr>
              <w:pageBreakBefore w:val="0"/>
              <w:topLinePunct w:val="0"/>
              <w:bidi w:val="0"/>
              <w:adjustRightInd w:val="0"/>
              <w:snapToGrid w:val="0"/>
              <w:spacing w:line="420" w:lineRule="exact"/>
              <w:jc w:val="left"/>
              <w:rPr>
                <w:rFonts w:ascii="宋体" w:hAnsi="宋体"/>
                <w:szCs w:val="21"/>
              </w:rPr>
            </w:pPr>
            <w:r>
              <w:rPr>
                <w:rFonts w:hint="eastAsia" w:ascii="宋体" w:hAnsi="宋体"/>
                <w:szCs w:val="21"/>
                <w:u w:val="none"/>
                <w:lang w:val="en-US" w:eastAsia="zh-CN"/>
              </w:rPr>
              <w:t>服务</w:t>
            </w:r>
            <w:r>
              <w:rPr>
                <w:rFonts w:hint="eastAsia" w:ascii="宋体" w:hAnsi="宋体"/>
                <w:szCs w:val="21"/>
                <w:u w:val="none"/>
              </w:rPr>
              <w:t>方式：</w:t>
            </w:r>
            <w:r>
              <w:rPr>
                <w:rFonts w:hint="eastAsia" w:ascii="宋体" w:hAnsi="宋体" w:cs="宋体"/>
                <w:sz w:val="24"/>
                <w:u w:val="none"/>
                <w:lang w:eastAsia="zh-CN"/>
              </w:rPr>
              <w:t>提供满足采购文件要求的货物及服务</w:t>
            </w:r>
          </w:p>
        </w:tc>
      </w:tr>
      <w:tr w14:paraId="0E318B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jc w:val="center"/>
        </w:trPr>
        <w:tc>
          <w:tcPr>
            <w:tcW w:w="2169" w:type="dxa"/>
            <w:vAlign w:val="center"/>
          </w:tcPr>
          <w:p w14:paraId="7E73243F">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本章第二节</w:t>
            </w:r>
          </w:p>
          <w:p w14:paraId="6B833BBC">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第9.2（1）项</w:t>
            </w:r>
          </w:p>
        </w:tc>
        <w:tc>
          <w:tcPr>
            <w:tcW w:w="2092" w:type="dxa"/>
            <w:vAlign w:val="center"/>
          </w:tcPr>
          <w:p w14:paraId="45B3A4CC">
            <w:pPr>
              <w:pageBreakBefore w:val="0"/>
              <w:topLinePunct w:val="0"/>
              <w:bidi w:val="0"/>
              <w:adjustRightInd w:val="0"/>
              <w:snapToGrid w:val="0"/>
              <w:spacing w:line="420" w:lineRule="exact"/>
              <w:jc w:val="center"/>
              <w:rPr>
                <w:rFonts w:ascii="宋体" w:hAnsi="宋体"/>
                <w:color w:val="auto"/>
                <w:szCs w:val="21"/>
              </w:rPr>
            </w:pPr>
            <w:r>
              <w:rPr>
                <w:rFonts w:hint="eastAsia" w:ascii="宋体" w:hAnsi="宋体"/>
                <w:color w:val="auto"/>
                <w:szCs w:val="21"/>
              </w:rPr>
              <w:t>质量保证期</w:t>
            </w:r>
          </w:p>
        </w:tc>
        <w:tc>
          <w:tcPr>
            <w:tcW w:w="5257" w:type="dxa"/>
            <w:vAlign w:val="center"/>
          </w:tcPr>
          <w:p w14:paraId="567172ED">
            <w:pPr>
              <w:pageBreakBefore w:val="0"/>
              <w:topLinePunct w:val="0"/>
              <w:autoSpaceDE w:val="0"/>
              <w:autoSpaceDN w:val="0"/>
              <w:bidi w:val="0"/>
              <w:adjustRightInd w:val="0"/>
              <w:snapToGrid w:val="0"/>
              <w:spacing w:line="420" w:lineRule="exact"/>
              <w:jc w:val="left"/>
              <w:rPr>
                <w:rFonts w:hint="eastAsia" w:ascii="宋体" w:hAnsi="宋体" w:eastAsia="宋体"/>
                <w:color w:val="auto"/>
                <w:szCs w:val="21"/>
                <w:lang w:eastAsia="zh-CN"/>
              </w:rPr>
            </w:pPr>
            <w:r>
              <w:rPr>
                <w:rFonts w:hint="eastAsia" w:ascii="宋体" w:hAnsi="宋体"/>
                <w:color w:val="auto"/>
                <w:szCs w:val="21"/>
                <w:lang w:val="en-US" w:eastAsia="zh-CN"/>
              </w:rPr>
              <w:t>按照相关规定执行</w:t>
            </w:r>
          </w:p>
        </w:tc>
      </w:tr>
      <w:tr w14:paraId="5DF32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jc w:val="center"/>
        </w:trPr>
        <w:tc>
          <w:tcPr>
            <w:tcW w:w="2169" w:type="dxa"/>
            <w:vAlign w:val="center"/>
          </w:tcPr>
          <w:p w14:paraId="37FD0F32">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本章第二节</w:t>
            </w:r>
          </w:p>
          <w:p w14:paraId="28876D9F">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第9.2（3）项</w:t>
            </w:r>
          </w:p>
        </w:tc>
        <w:tc>
          <w:tcPr>
            <w:tcW w:w="2092" w:type="dxa"/>
            <w:vAlign w:val="center"/>
          </w:tcPr>
          <w:p w14:paraId="6667E86F">
            <w:pPr>
              <w:pageBreakBefore w:val="0"/>
              <w:topLinePunct w:val="0"/>
              <w:bidi w:val="0"/>
              <w:adjustRightInd w:val="0"/>
              <w:snapToGrid w:val="0"/>
              <w:spacing w:line="420" w:lineRule="exact"/>
              <w:jc w:val="center"/>
              <w:rPr>
                <w:rFonts w:ascii="宋体" w:hAnsi="宋体"/>
                <w:color w:val="auto"/>
                <w:szCs w:val="21"/>
                <w:highlight w:val="none"/>
              </w:rPr>
            </w:pPr>
            <w:r>
              <w:rPr>
                <w:rFonts w:hint="eastAsia" w:ascii="宋体" w:hAnsi="宋体"/>
                <w:color w:val="auto"/>
                <w:szCs w:val="21"/>
                <w:highlight w:val="none"/>
              </w:rPr>
              <w:t>响应时间</w:t>
            </w:r>
          </w:p>
        </w:tc>
        <w:tc>
          <w:tcPr>
            <w:tcW w:w="5257" w:type="dxa"/>
            <w:vAlign w:val="center"/>
          </w:tcPr>
          <w:p w14:paraId="5EDE1CCA">
            <w:pPr>
              <w:pageBreakBefore w:val="0"/>
              <w:topLinePunct w:val="0"/>
              <w:bidi w:val="0"/>
              <w:spacing w:line="420" w:lineRule="exac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1小时</w:t>
            </w:r>
          </w:p>
        </w:tc>
      </w:tr>
      <w:tr w14:paraId="75DDB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24" w:hRule="atLeast"/>
          <w:jc w:val="center"/>
        </w:trPr>
        <w:tc>
          <w:tcPr>
            <w:tcW w:w="2169" w:type="dxa"/>
            <w:vAlign w:val="center"/>
          </w:tcPr>
          <w:p w14:paraId="74771321">
            <w:pPr>
              <w:pageBreakBefore w:val="0"/>
              <w:topLinePunct w:val="0"/>
              <w:bidi w:val="0"/>
              <w:adjustRightInd w:val="0"/>
              <w:snapToGrid w:val="0"/>
              <w:spacing w:line="240" w:lineRule="auto"/>
              <w:jc w:val="center"/>
              <w:rPr>
                <w:rFonts w:ascii="宋体" w:hAnsi="宋体"/>
                <w:szCs w:val="21"/>
              </w:rPr>
            </w:pPr>
            <w:r>
              <w:rPr>
                <w:rFonts w:hint="eastAsia" w:ascii="宋体" w:hAnsi="宋体"/>
                <w:szCs w:val="21"/>
              </w:rPr>
              <w:t>本章第二节</w:t>
            </w:r>
          </w:p>
          <w:p w14:paraId="327AF668">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第13.5款</w:t>
            </w:r>
          </w:p>
        </w:tc>
        <w:tc>
          <w:tcPr>
            <w:tcW w:w="2092" w:type="dxa"/>
            <w:vAlign w:val="center"/>
          </w:tcPr>
          <w:p w14:paraId="6FC09CB6">
            <w:pPr>
              <w:pageBreakBefore w:val="0"/>
              <w:topLinePunct w:val="0"/>
              <w:bidi w:val="0"/>
              <w:adjustRightInd w:val="0"/>
              <w:snapToGrid w:val="0"/>
              <w:spacing w:line="420" w:lineRule="exact"/>
              <w:jc w:val="center"/>
              <w:rPr>
                <w:rFonts w:ascii="宋体" w:hAnsi="宋体"/>
                <w:color w:val="auto"/>
                <w:szCs w:val="21"/>
              </w:rPr>
            </w:pPr>
            <w:r>
              <w:rPr>
                <w:rFonts w:hint="eastAsia" w:ascii="宋体" w:hAnsi="宋体"/>
                <w:color w:val="auto"/>
                <w:szCs w:val="21"/>
              </w:rPr>
              <w:t>合同价款支付方式</w:t>
            </w:r>
            <w:r>
              <w:rPr>
                <w:rFonts w:hint="eastAsia" w:ascii="宋体" w:hAnsi="宋体"/>
                <w:bCs/>
                <w:color w:val="auto"/>
                <w:szCs w:val="21"/>
              </w:rPr>
              <w:t>和条件</w:t>
            </w:r>
          </w:p>
        </w:tc>
        <w:tc>
          <w:tcPr>
            <w:tcW w:w="5257" w:type="dxa"/>
            <w:vAlign w:val="center"/>
          </w:tcPr>
          <w:p w14:paraId="5AC132CB">
            <w:pPr>
              <w:pageBreakBefore w:val="0"/>
              <w:topLinePunct w:val="0"/>
              <w:bidi w:val="0"/>
              <w:adjustRightInd w:val="0"/>
              <w:snapToGrid w:val="0"/>
              <w:spacing w:line="420" w:lineRule="exact"/>
              <w:jc w:val="left"/>
              <w:rPr>
                <w:rFonts w:hint="eastAsia" w:ascii="宋体" w:hAnsi="宋体" w:eastAsia="宋体"/>
                <w:color w:val="auto"/>
                <w:szCs w:val="21"/>
                <w:lang w:eastAsia="zh-CN"/>
              </w:rPr>
            </w:pPr>
            <w:r>
              <w:rPr>
                <w:rFonts w:hint="eastAsia" w:ascii="宋体" w:hAnsi="宋体" w:cs="宋体"/>
                <w:sz w:val="24"/>
                <w:highlight w:val="yellow"/>
                <w:lang w:val="en-US" w:eastAsia="zh-CN"/>
              </w:rPr>
              <w:t>详见第三章《采购需求》商务要求中付款方式内容</w:t>
            </w:r>
          </w:p>
        </w:tc>
      </w:tr>
      <w:tr w14:paraId="6EB0A3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jc w:val="center"/>
        </w:trPr>
        <w:tc>
          <w:tcPr>
            <w:tcW w:w="2169" w:type="dxa"/>
            <w:vAlign w:val="center"/>
          </w:tcPr>
          <w:p w14:paraId="50232E82">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本章第二节</w:t>
            </w:r>
          </w:p>
          <w:p w14:paraId="71CE9784">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第14.2（5）项</w:t>
            </w:r>
          </w:p>
        </w:tc>
        <w:tc>
          <w:tcPr>
            <w:tcW w:w="2092" w:type="dxa"/>
            <w:vAlign w:val="center"/>
          </w:tcPr>
          <w:p w14:paraId="2B8E8556">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乙方提供的其他服务</w:t>
            </w:r>
          </w:p>
        </w:tc>
        <w:tc>
          <w:tcPr>
            <w:tcW w:w="5257" w:type="dxa"/>
            <w:vAlign w:val="center"/>
          </w:tcPr>
          <w:p w14:paraId="61C10605">
            <w:pPr>
              <w:pageBreakBefore w:val="0"/>
              <w:topLinePunct w:val="0"/>
              <w:bidi w:val="0"/>
              <w:adjustRightInd w:val="0"/>
              <w:snapToGrid w:val="0"/>
              <w:spacing w:line="420" w:lineRule="exact"/>
              <w:jc w:val="left"/>
              <w:rPr>
                <w:rFonts w:ascii="宋体" w:hAnsi="宋体"/>
                <w:szCs w:val="21"/>
              </w:rPr>
            </w:pPr>
            <w:r>
              <w:rPr>
                <w:rFonts w:hint="eastAsia" w:ascii="宋体" w:hAnsi="宋体"/>
                <w:szCs w:val="21"/>
              </w:rPr>
              <w:t>详见采购需求</w:t>
            </w:r>
          </w:p>
        </w:tc>
      </w:tr>
      <w:tr w14:paraId="739559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0" w:hRule="atLeast"/>
          <w:jc w:val="center"/>
        </w:trPr>
        <w:tc>
          <w:tcPr>
            <w:tcW w:w="2169" w:type="dxa"/>
            <w:vAlign w:val="center"/>
          </w:tcPr>
          <w:p w14:paraId="58643ADD">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本章第二节</w:t>
            </w:r>
          </w:p>
          <w:p w14:paraId="41C8AC6D">
            <w:pPr>
              <w:pageBreakBefore w:val="0"/>
              <w:topLinePunct w:val="0"/>
              <w:bidi w:val="0"/>
              <w:adjustRightInd w:val="0"/>
              <w:snapToGrid w:val="0"/>
              <w:spacing w:line="420" w:lineRule="exact"/>
              <w:jc w:val="center"/>
              <w:rPr>
                <w:rFonts w:ascii="宋体" w:hAnsi="宋体"/>
                <w:szCs w:val="21"/>
              </w:rPr>
            </w:pPr>
            <w:r>
              <w:rPr>
                <w:rFonts w:hint="eastAsia" w:ascii="宋体" w:hAnsi="宋体"/>
                <w:szCs w:val="21"/>
              </w:rPr>
              <w:t>第23.1款</w:t>
            </w:r>
          </w:p>
        </w:tc>
        <w:tc>
          <w:tcPr>
            <w:tcW w:w="2092" w:type="dxa"/>
            <w:vAlign w:val="center"/>
          </w:tcPr>
          <w:p w14:paraId="54442EFA">
            <w:pPr>
              <w:pageBreakBefore w:val="0"/>
              <w:topLinePunct w:val="0"/>
              <w:bidi w:val="0"/>
              <w:adjustRightInd w:val="0"/>
              <w:snapToGrid w:val="0"/>
              <w:spacing w:line="420" w:lineRule="exact"/>
              <w:jc w:val="center"/>
              <w:rPr>
                <w:rFonts w:ascii="宋体" w:hAnsi="宋体"/>
                <w:szCs w:val="21"/>
              </w:rPr>
            </w:pPr>
            <w:r>
              <w:rPr>
                <w:rFonts w:hint="eastAsia" w:ascii="宋体" w:hAnsi="宋体"/>
                <w:bCs/>
                <w:szCs w:val="21"/>
              </w:rPr>
              <w:t>合同未尽事项</w:t>
            </w:r>
          </w:p>
        </w:tc>
        <w:tc>
          <w:tcPr>
            <w:tcW w:w="5257" w:type="dxa"/>
            <w:vAlign w:val="center"/>
          </w:tcPr>
          <w:p w14:paraId="6309E827">
            <w:pPr>
              <w:pageBreakBefore w:val="0"/>
              <w:topLinePunct w:val="0"/>
              <w:bidi w:val="0"/>
              <w:adjustRightInd w:val="0"/>
              <w:snapToGrid w:val="0"/>
              <w:spacing w:line="420" w:lineRule="exact"/>
              <w:jc w:val="left"/>
              <w:rPr>
                <w:rFonts w:ascii="宋体" w:hAnsi="宋体"/>
                <w:szCs w:val="21"/>
              </w:rPr>
            </w:pPr>
            <w:r>
              <w:rPr>
                <w:rFonts w:hint="eastAsia" w:ascii="宋体" w:hAnsi="宋体"/>
                <w:szCs w:val="21"/>
              </w:rPr>
              <w:t>双方协商</w:t>
            </w:r>
          </w:p>
        </w:tc>
      </w:tr>
    </w:tbl>
    <w:p w14:paraId="70E40402">
      <w:pPr>
        <w:rPr>
          <w:color w:val="auto"/>
          <w:highlight w:val="none"/>
        </w:rPr>
      </w:pPr>
      <w:r>
        <w:rPr>
          <w:color w:val="auto"/>
          <w:highlight w:val="none"/>
        </w:rPr>
        <w:br w:type="page"/>
      </w:r>
    </w:p>
    <w:p w14:paraId="005EBF60">
      <w:pPr>
        <w:pStyle w:val="2"/>
        <w:keepNext w:val="0"/>
        <w:keepLines w:val="0"/>
        <w:pageBreakBefore/>
        <w:widowControl w:val="0"/>
        <w:kinsoku/>
        <w:wordWrap/>
        <w:overflowPunct/>
        <w:topLinePunct w:val="0"/>
        <w:autoSpaceDE/>
        <w:autoSpaceDN/>
        <w:bidi w:val="0"/>
        <w:adjustRightInd/>
        <w:snapToGrid/>
        <w:spacing w:before="0" w:beforeLines="0" w:after="0" w:afterLines="0" w:line="360" w:lineRule="auto"/>
        <w:jc w:val="center"/>
        <w:textAlignment w:val="auto"/>
        <w:rPr>
          <w:rFonts w:hint="default" w:ascii="宋体" w:hAnsi="宋体" w:eastAsia="宋体" w:cs="宋体"/>
          <w:b/>
          <w:bCs w:val="0"/>
          <w:color w:val="auto"/>
          <w:highlight w:val="none"/>
        </w:rPr>
      </w:pPr>
      <w:bookmarkStart w:id="97" w:name="_Toc169"/>
      <w:r>
        <w:rPr>
          <w:rFonts w:hint="eastAsia" w:ascii="宋体" w:hAnsi="宋体" w:eastAsia="宋体" w:cs="宋体"/>
          <w:b/>
          <w:bCs w:val="0"/>
          <w:color w:val="auto"/>
          <w:highlight w:val="none"/>
        </w:rPr>
        <w:t>第六章 响应文件组成</w:t>
      </w:r>
      <w:bookmarkEnd w:id="91"/>
      <w:bookmarkEnd w:id="92"/>
      <w:bookmarkEnd w:id="97"/>
    </w:p>
    <w:p w14:paraId="1DF3AF0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b/>
          <w:bCs/>
          <w:color w:val="auto"/>
        </w:rPr>
      </w:pPr>
      <w:bookmarkStart w:id="98" w:name="_Toc4620"/>
      <w:bookmarkStart w:id="99" w:name="_Toc29211"/>
      <w:bookmarkStart w:id="100" w:name="_Toc31111"/>
      <w:bookmarkStart w:id="101" w:name="_Toc11034"/>
      <w:r>
        <w:rPr>
          <w:rFonts w:hint="eastAsia"/>
          <w:b/>
          <w:bCs/>
          <w:color w:val="auto"/>
          <w:lang w:eastAsia="zh-CN"/>
        </w:rPr>
        <w:t>供应商</w:t>
      </w:r>
      <w:r>
        <w:rPr>
          <w:rFonts w:hint="eastAsia"/>
          <w:b/>
          <w:bCs/>
          <w:color w:val="auto"/>
        </w:rPr>
        <w:t>的响应文件应包含以下部分：</w:t>
      </w:r>
    </w:p>
    <w:tbl>
      <w:tblPr>
        <w:tblStyle w:val="34"/>
        <w:tblW w:w="499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6420"/>
        <w:gridCol w:w="2544"/>
      </w:tblGrid>
      <w:tr w14:paraId="0F5DF36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shd w:val="pct10" w:color="ADB9CA" w:fill="D6DCE5"/>
            <w:vAlign w:val="center"/>
          </w:tcPr>
          <w:p w14:paraId="4E0AE8E6">
            <w:pPr>
              <w:pStyle w:val="43"/>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3258" w:type="pct"/>
            <w:tcBorders>
              <w:tl2br w:val="nil"/>
              <w:tr2bl w:val="nil"/>
            </w:tcBorders>
            <w:shd w:val="pct10" w:color="ADB9CA" w:fill="D6DCE5"/>
            <w:vAlign w:val="center"/>
          </w:tcPr>
          <w:p w14:paraId="2E22176E">
            <w:pPr>
              <w:pStyle w:val="43"/>
              <w:rPr>
                <w:rFonts w:hint="eastAsia" w:ascii="宋体" w:hAnsi="宋体" w:eastAsia="宋体" w:cs="宋体"/>
                <w:color w:val="auto"/>
                <w:sz w:val="24"/>
                <w:szCs w:val="24"/>
              </w:rPr>
            </w:pPr>
            <w:r>
              <w:rPr>
                <w:rFonts w:hint="eastAsia" w:ascii="宋体" w:hAnsi="宋体" w:eastAsia="宋体" w:cs="宋体"/>
                <w:color w:val="auto"/>
                <w:sz w:val="24"/>
                <w:szCs w:val="24"/>
              </w:rPr>
              <w:t>内容</w:t>
            </w:r>
          </w:p>
        </w:tc>
        <w:tc>
          <w:tcPr>
            <w:tcW w:w="1291" w:type="pct"/>
            <w:tcBorders>
              <w:tl2br w:val="nil"/>
              <w:tr2bl w:val="nil"/>
            </w:tcBorders>
            <w:shd w:val="pct10" w:color="ADB9CA" w:fill="D6DCE5"/>
            <w:vAlign w:val="center"/>
          </w:tcPr>
          <w:p w14:paraId="04DEA8E2">
            <w:pPr>
              <w:pStyle w:val="43"/>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58A98F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71D8B39C">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5E6B8F01">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谈判</w:t>
            </w:r>
            <w:r>
              <w:rPr>
                <w:rFonts w:hint="eastAsia" w:ascii="宋体" w:hAnsi="宋体" w:eastAsia="宋体" w:cs="宋体"/>
                <w:b w:val="0"/>
                <w:bCs/>
                <w:color w:val="auto"/>
                <w:sz w:val="24"/>
                <w:szCs w:val="24"/>
              </w:rPr>
              <w:t>响应声明（格式）</w:t>
            </w:r>
          </w:p>
        </w:tc>
        <w:tc>
          <w:tcPr>
            <w:tcW w:w="1291" w:type="pct"/>
            <w:tcBorders>
              <w:tl2br w:val="nil"/>
              <w:tr2bl w:val="nil"/>
            </w:tcBorders>
            <w:vAlign w:val="center"/>
          </w:tcPr>
          <w:p w14:paraId="14903A7F">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6CC60B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133B4B9C">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6B46EAD4">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授权委托书（格式）</w:t>
            </w:r>
          </w:p>
        </w:tc>
        <w:tc>
          <w:tcPr>
            <w:tcW w:w="1291" w:type="pct"/>
            <w:tcBorders>
              <w:tl2br w:val="nil"/>
              <w:tr2bl w:val="nil"/>
            </w:tcBorders>
            <w:vAlign w:val="center"/>
          </w:tcPr>
          <w:p w14:paraId="5CEBF69F">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5E2500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77B31C7D">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380C20E1">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的资格证明资料</w:t>
            </w:r>
          </w:p>
        </w:tc>
        <w:tc>
          <w:tcPr>
            <w:tcW w:w="1291" w:type="pct"/>
            <w:tcBorders>
              <w:tl2br w:val="nil"/>
              <w:tr2bl w:val="nil"/>
            </w:tcBorders>
            <w:vAlign w:val="center"/>
          </w:tcPr>
          <w:p w14:paraId="22ED123C">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0966B3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4837E43C">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0734F648">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谈判</w:t>
            </w:r>
            <w:r>
              <w:rPr>
                <w:rFonts w:hint="eastAsia" w:ascii="宋体" w:hAnsi="宋体" w:eastAsia="宋体" w:cs="宋体"/>
                <w:b w:val="0"/>
                <w:bCs/>
                <w:color w:val="auto"/>
                <w:sz w:val="24"/>
                <w:szCs w:val="24"/>
              </w:rPr>
              <w:t>响应</w:t>
            </w:r>
            <w:r>
              <w:rPr>
                <w:rFonts w:hint="eastAsia" w:ascii="宋体" w:hAnsi="宋体" w:eastAsia="宋体" w:cs="宋体"/>
                <w:b w:val="0"/>
                <w:bCs/>
                <w:color w:val="auto"/>
                <w:sz w:val="24"/>
                <w:szCs w:val="24"/>
                <w:lang w:val="en-US" w:eastAsia="zh-CN"/>
              </w:rPr>
              <w:t>表</w:t>
            </w:r>
          </w:p>
        </w:tc>
        <w:tc>
          <w:tcPr>
            <w:tcW w:w="1291" w:type="pct"/>
            <w:tcBorders>
              <w:tl2br w:val="nil"/>
              <w:tr2bl w:val="nil"/>
            </w:tcBorders>
            <w:vAlign w:val="center"/>
          </w:tcPr>
          <w:p w14:paraId="6C385928">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7E46D4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4AE698B5">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10F2C4E2">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FF0000"/>
                <w:sz w:val="24"/>
                <w:szCs w:val="24"/>
              </w:rPr>
            </w:pPr>
            <w:r>
              <w:rPr>
                <w:rFonts w:hint="eastAsia" w:ascii="宋体" w:hAnsi="宋体" w:eastAsia="宋体" w:cs="宋体"/>
                <w:b w:val="0"/>
                <w:bCs/>
                <w:color w:val="000000" w:themeColor="text1"/>
                <w:sz w:val="24"/>
                <w:szCs w:val="24"/>
                <w:lang w:val="en-US" w:eastAsia="zh-CN"/>
                <w14:textFill>
                  <w14:solidFill>
                    <w14:schemeClr w14:val="tx1"/>
                  </w14:solidFill>
                </w14:textFill>
              </w:rPr>
              <w:t>采购需求响应表</w:t>
            </w:r>
          </w:p>
        </w:tc>
        <w:tc>
          <w:tcPr>
            <w:tcW w:w="1291" w:type="pct"/>
            <w:tcBorders>
              <w:tl2br w:val="nil"/>
              <w:tr2bl w:val="nil"/>
            </w:tcBorders>
            <w:vAlign w:val="center"/>
          </w:tcPr>
          <w:p w14:paraId="4B59C366">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7C6C5B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141EC1F3">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06A2C303">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FF0000"/>
                <w:sz w:val="24"/>
                <w:szCs w:val="24"/>
              </w:rPr>
            </w:pPr>
            <w:r>
              <w:rPr>
                <w:rFonts w:hint="eastAsia" w:ascii="宋体" w:hAnsi="宋体" w:eastAsia="宋体" w:cs="宋体"/>
                <w:b w:val="0"/>
                <w:bCs/>
                <w:color w:val="auto"/>
                <w:sz w:val="24"/>
                <w:szCs w:val="24"/>
                <w:lang w:val="en-US" w:eastAsia="zh-CN"/>
              </w:rPr>
              <w:t>□服务方案</w:t>
            </w:r>
          </w:p>
        </w:tc>
        <w:tc>
          <w:tcPr>
            <w:tcW w:w="1291" w:type="pct"/>
            <w:tcBorders>
              <w:tl2br w:val="nil"/>
              <w:tr2bl w:val="nil"/>
            </w:tcBorders>
            <w:vAlign w:val="center"/>
          </w:tcPr>
          <w:p w14:paraId="73C29EEC">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764024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0F7C6F12">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6D9514CE">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FF0000"/>
                <w:sz w:val="24"/>
                <w:szCs w:val="24"/>
              </w:rPr>
            </w:pPr>
            <w:r>
              <w:rPr>
                <w:rFonts w:hint="eastAsia" w:ascii="宋体" w:hAnsi="宋体" w:eastAsia="宋体" w:cs="宋体"/>
                <w:b w:val="0"/>
                <w:bCs/>
                <w:color w:val="auto"/>
                <w:sz w:val="24"/>
                <w:szCs w:val="24"/>
                <w:lang w:val="en-US" w:eastAsia="zh-CN"/>
              </w:rPr>
              <w:t>谈判</w:t>
            </w:r>
            <w:r>
              <w:rPr>
                <w:rFonts w:hint="eastAsia" w:ascii="宋体" w:hAnsi="宋体" w:eastAsia="宋体" w:cs="宋体"/>
                <w:b w:val="0"/>
                <w:bCs/>
                <w:color w:val="auto"/>
                <w:sz w:val="24"/>
                <w:szCs w:val="24"/>
              </w:rPr>
              <w:t>承诺</w:t>
            </w:r>
            <w:r>
              <w:rPr>
                <w:rFonts w:hint="eastAsia" w:ascii="宋体" w:hAnsi="宋体" w:eastAsia="宋体" w:cs="宋体"/>
                <w:b w:val="0"/>
                <w:bCs/>
                <w:color w:val="auto"/>
                <w:sz w:val="24"/>
                <w:szCs w:val="24"/>
                <w:lang w:val="en-US" w:eastAsia="zh-CN"/>
              </w:rPr>
              <w:t>书</w:t>
            </w:r>
          </w:p>
        </w:tc>
        <w:tc>
          <w:tcPr>
            <w:tcW w:w="1291" w:type="pct"/>
            <w:tcBorders>
              <w:tl2br w:val="nil"/>
              <w:tr2bl w:val="nil"/>
            </w:tcBorders>
            <w:vAlign w:val="center"/>
          </w:tcPr>
          <w:p w14:paraId="4AE54F25">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7EFBC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09AFBC83">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2983EDD2">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FF0000"/>
                <w:sz w:val="24"/>
                <w:szCs w:val="24"/>
              </w:rPr>
            </w:pPr>
            <w:r>
              <w:rPr>
                <w:rFonts w:hint="eastAsia" w:ascii="宋体" w:hAnsi="宋体" w:eastAsia="宋体" w:cs="宋体"/>
                <w:b w:val="0"/>
                <w:bCs/>
                <w:color w:val="auto"/>
                <w:sz w:val="24"/>
                <w:szCs w:val="24"/>
                <w:lang w:val="en-US" w:eastAsia="zh-CN"/>
              </w:rPr>
              <w:t>投标保证金</w:t>
            </w:r>
          </w:p>
        </w:tc>
        <w:tc>
          <w:tcPr>
            <w:tcW w:w="1291" w:type="pct"/>
            <w:tcBorders>
              <w:tl2br w:val="nil"/>
              <w:tr2bl w:val="nil"/>
            </w:tcBorders>
            <w:vAlign w:val="center"/>
          </w:tcPr>
          <w:p w14:paraId="382B16FC">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674744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34352E32">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6C967EA2">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FF0000"/>
                <w:sz w:val="24"/>
                <w:szCs w:val="24"/>
              </w:rPr>
            </w:pPr>
            <w:r>
              <w:rPr>
                <w:rFonts w:hint="eastAsia" w:ascii="宋体" w:hAnsi="宋体" w:eastAsia="宋体" w:cs="宋体"/>
                <w:b w:val="0"/>
                <w:bCs/>
                <w:color w:val="auto"/>
                <w:sz w:val="24"/>
                <w:szCs w:val="24"/>
              </w:rPr>
              <w:t>符合</w:t>
            </w:r>
            <w:r>
              <w:rPr>
                <w:rFonts w:hint="eastAsia" w:ascii="宋体" w:hAnsi="宋体" w:eastAsia="宋体" w:cs="宋体"/>
                <w:b w:val="0"/>
                <w:bCs/>
                <w:color w:val="auto"/>
                <w:sz w:val="24"/>
                <w:szCs w:val="24"/>
                <w:lang w:val="en-US" w:eastAsia="zh-CN"/>
              </w:rPr>
              <w:t>谈判</w:t>
            </w:r>
            <w:r>
              <w:rPr>
                <w:rFonts w:hint="eastAsia" w:ascii="宋体" w:hAnsi="宋体" w:eastAsia="宋体" w:cs="宋体"/>
                <w:b w:val="0"/>
                <w:bCs/>
                <w:color w:val="auto"/>
                <w:sz w:val="24"/>
                <w:szCs w:val="24"/>
              </w:rPr>
              <w:t>文件规定的证明文件</w:t>
            </w:r>
          </w:p>
        </w:tc>
        <w:tc>
          <w:tcPr>
            <w:tcW w:w="1291" w:type="pct"/>
            <w:tcBorders>
              <w:tl2br w:val="nil"/>
              <w:tr2bl w:val="nil"/>
            </w:tcBorders>
            <w:vAlign w:val="center"/>
          </w:tcPr>
          <w:p w14:paraId="434AF6DE">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3B4DC5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2171ED09">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1E38B188">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FF0000"/>
                <w:sz w:val="24"/>
                <w:szCs w:val="24"/>
              </w:rPr>
            </w:pPr>
            <w:r>
              <w:rPr>
                <w:rFonts w:hint="eastAsia" w:ascii="宋体" w:hAnsi="宋体" w:eastAsia="宋体" w:cs="宋体"/>
                <w:b w:val="0"/>
                <w:bCs/>
                <w:color w:val="auto"/>
                <w:sz w:val="24"/>
                <w:szCs w:val="24"/>
                <w:lang w:eastAsia="zh-CN"/>
              </w:rPr>
              <w:t>供应商</w:t>
            </w:r>
            <w:r>
              <w:rPr>
                <w:rFonts w:hint="eastAsia" w:ascii="宋体" w:hAnsi="宋体" w:eastAsia="宋体" w:cs="宋体"/>
                <w:b w:val="0"/>
                <w:bCs/>
                <w:color w:val="auto"/>
                <w:sz w:val="24"/>
                <w:szCs w:val="24"/>
              </w:rPr>
              <w:t>认为需提供的其他资料</w:t>
            </w:r>
          </w:p>
        </w:tc>
        <w:tc>
          <w:tcPr>
            <w:tcW w:w="1291" w:type="pct"/>
            <w:tcBorders>
              <w:tl2br w:val="nil"/>
              <w:tr2bl w:val="nil"/>
            </w:tcBorders>
            <w:vAlign w:val="center"/>
          </w:tcPr>
          <w:p w14:paraId="1ECD31D1">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6D9B76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7ACD25CC">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52423B1D">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FF0000"/>
                <w:sz w:val="24"/>
                <w:szCs w:val="24"/>
                <w:lang w:eastAsia="zh-CN"/>
              </w:rPr>
            </w:pPr>
            <w:r>
              <w:rPr>
                <w:rFonts w:hint="eastAsia" w:ascii="宋体" w:hAnsi="宋体" w:eastAsia="宋体" w:cs="宋体"/>
                <w:b w:val="0"/>
                <w:bCs/>
                <w:color w:val="auto"/>
                <w:sz w:val="24"/>
                <w:szCs w:val="24"/>
                <w:lang w:val="en-US" w:eastAsia="zh-CN"/>
              </w:rPr>
              <w:t>送达方式确认函</w:t>
            </w:r>
          </w:p>
        </w:tc>
        <w:tc>
          <w:tcPr>
            <w:tcW w:w="1291" w:type="pct"/>
            <w:tcBorders>
              <w:tl2br w:val="nil"/>
              <w:tr2bl w:val="nil"/>
            </w:tcBorders>
            <w:vAlign w:val="center"/>
          </w:tcPr>
          <w:p w14:paraId="0E209957">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r w14:paraId="3304A1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0" w:type="pct"/>
            <w:tcBorders>
              <w:tl2br w:val="nil"/>
              <w:tr2bl w:val="nil"/>
            </w:tcBorders>
            <w:vAlign w:val="center"/>
          </w:tcPr>
          <w:p w14:paraId="72874964">
            <w:pPr>
              <w:pStyle w:val="47"/>
              <w:keepNext w:val="0"/>
              <w:keepLines w:val="0"/>
              <w:pageBreakBefore w:val="0"/>
              <w:widowControl w:val="0"/>
              <w:numPr>
                <w:ilvl w:val="0"/>
                <w:numId w:val="16"/>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auto"/>
                <w:sz w:val="24"/>
                <w:szCs w:val="24"/>
              </w:rPr>
            </w:pPr>
          </w:p>
        </w:tc>
        <w:tc>
          <w:tcPr>
            <w:tcW w:w="3258" w:type="pct"/>
            <w:tcBorders>
              <w:tl2br w:val="nil"/>
              <w:tr2bl w:val="nil"/>
            </w:tcBorders>
            <w:vAlign w:val="center"/>
          </w:tcPr>
          <w:p w14:paraId="12DD5C95">
            <w:pPr>
              <w:pStyle w:val="4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中小企业声明函</w:t>
            </w:r>
          </w:p>
        </w:tc>
        <w:tc>
          <w:tcPr>
            <w:tcW w:w="1291" w:type="pct"/>
            <w:tcBorders>
              <w:tl2br w:val="nil"/>
              <w:tr2bl w:val="nil"/>
            </w:tcBorders>
            <w:vAlign w:val="center"/>
          </w:tcPr>
          <w:p w14:paraId="4A4CD3FB">
            <w:pPr>
              <w:pStyle w:val="4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rPr>
            </w:pPr>
          </w:p>
        </w:tc>
      </w:tr>
    </w:tbl>
    <w:p w14:paraId="50106E47">
      <w:pPr>
        <w:rPr>
          <w:rFonts w:ascii="仿宋_GB2312" w:eastAsia="仿宋_GB2312" w:cs="Times New Roman"/>
          <w:color w:val="auto"/>
          <w:sz w:val="44"/>
          <w:szCs w:val="28"/>
        </w:rPr>
      </w:pPr>
      <w:r>
        <w:rPr>
          <w:rFonts w:hint="eastAsia" w:ascii="宋体" w:hAnsi="宋体" w:cs="宋体"/>
          <w:b w:val="0"/>
          <w:bCs/>
          <w:color w:val="auto"/>
          <w:kern w:val="2"/>
          <w:sz w:val="21"/>
          <w:szCs w:val="21"/>
          <w:lang w:val="en-US" w:eastAsia="zh-CN" w:bidi="ar-SA"/>
        </w:rPr>
        <w:t>☑表示选择 □表示不选择</w:t>
      </w:r>
    </w:p>
    <w:p w14:paraId="70AEBFF5">
      <w:pPr>
        <w:rPr>
          <w:rFonts w:ascii="仿宋_GB2312" w:eastAsia="仿宋_GB2312" w:cs="Times New Roman"/>
          <w:color w:val="auto"/>
          <w:sz w:val="44"/>
          <w:szCs w:val="28"/>
        </w:rPr>
      </w:pPr>
      <w:r>
        <w:rPr>
          <w:rFonts w:ascii="仿宋_GB2312" w:eastAsia="仿宋_GB2312" w:cs="Times New Roman"/>
          <w:color w:val="auto"/>
          <w:sz w:val="44"/>
          <w:szCs w:val="28"/>
        </w:rPr>
        <w:br w:type="page"/>
      </w:r>
    </w:p>
    <w:p w14:paraId="4C8340BD">
      <w:pPr>
        <w:pStyle w:val="72"/>
        <w:rPr>
          <w:color w:val="auto"/>
        </w:rPr>
      </w:pPr>
    </w:p>
    <w:tbl>
      <w:tblPr>
        <w:tblStyle w:val="33"/>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2626"/>
        <w:gridCol w:w="285"/>
        <w:gridCol w:w="5384"/>
        <w:gridCol w:w="414"/>
      </w:tblGrid>
      <w:tr w14:paraId="3D9E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9139" w:type="dxa"/>
            <w:gridSpan w:val="5"/>
            <w:tcBorders>
              <w:top w:val="nil"/>
              <w:left w:val="nil"/>
              <w:bottom w:val="nil"/>
              <w:right w:val="nil"/>
            </w:tcBorders>
            <w:vAlign w:val="bottom"/>
          </w:tcPr>
          <w:p w14:paraId="59F80850">
            <w:pPr>
              <w:pStyle w:val="12"/>
              <w:ind w:left="480"/>
              <w:jc w:val="center"/>
              <w:rPr>
                <w:color w:val="auto"/>
              </w:rPr>
            </w:pPr>
          </w:p>
          <w:p w14:paraId="7340538E">
            <w:pPr>
              <w:spacing w:line="480" w:lineRule="auto"/>
              <w:jc w:val="center"/>
              <w:rPr>
                <w:rFonts w:ascii="仿宋_GB2312" w:eastAsia="仿宋_GB2312" w:cs="Times New Roman"/>
                <w:color w:val="auto"/>
                <w:sz w:val="44"/>
                <w:szCs w:val="28"/>
              </w:rPr>
            </w:pPr>
          </w:p>
        </w:tc>
      </w:tr>
      <w:tr w14:paraId="2403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9139" w:type="dxa"/>
            <w:gridSpan w:val="5"/>
            <w:tcBorders>
              <w:top w:val="nil"/>
              <w:left w:val="nil"/>
              <w:bottom w:val="nil"/>
              <w:right w:val="nil"/>
            </w:tcBorders>
          </w:tcPr>
          <w:p w14:paraId="3CD8D5C2">
            <w:pPr>
              <w:spacing w:line="480" w:lineRule="auto"/>
              <w:jc w:val="center"/>
              <w:rPr>
                <w:rFonts w:ascii="Times New Roman" w:hAnsi="Times New Roman" w:cs="Times New Roman"/>
                <w:b/>
                <w:color w:val="auto"/>
                <w:sz w:val="20"/>
                <w:szCs w:val="21"/>
              </w:rPr>
            </w:pPr>
            <w:r>
              <w:rPr>
                <w:rFonts w:hint="eastAsia" w:ascii="宋体" w:hAnsi="宋体" w:eastAsia="宋体" w:cs="宋体"/>
                <w:b/>
                <w:bCs/>
                <w:color w:val="auto"/>
                <w:sz w:val="72"/>
                <w:szCs w:val="72"/>
              </w:rPr>
              <w:t>政</w:t>
            </w:r>
            <w:r>
              <w:rPr>
                <w:rFonts w:hint="eastAsia" w:ascii="宋体" w:hAnsi="宋体" w:eastAsia="宋体" w:cs="宋体"/>
                <w:b/>
                <w:bCs/>
                <w:color w:val="auto"/>
                <w:sz w:val="72"/>
                <w:szCs w:val="72"/>
                <w:lang w:val="en-US" w:eastAsia="zh-CN"/>
              </w:rPr>
              <w:t>府</w:t>
            </w:r>
            <w:r>
              <w:rPr>
                <w:rFonts w:hint="eastAsia" w:ascii="宋体" w:hAnsi="宋体" w:eastAsia="宋体" w:cs="宋体"/>
                <w:b/>
                <w:bCs/>
                <w:color w:val="auto"/>
                <w:sz w:val="72"/>
                <w:szCs w:val="72"/>
              </w:rPr>
              <w:t>采购</w:t>
            </w:r>
          </w:p>
        </w:tc>
      </w:tr>
      <w:tr w14:paraId="6990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9139" w:type="dxa"/>
            <w:gridSpan w:val="5"/>
            <w:tcBorders>
              <w:top w:val="nil"/>
              <w:left w:val="nil"/>
              <w:bottom w:val="nil"/>
              <w:right w:val="nil"/>
            </w:tcBorders>
          </w:tcPr>
          <w:p w14:paraId="0AE7F15C">
            <w:pPr>
              <w:spacing w:line="480" w:lineRule="auto"/>
              <w:jc w:val="center"/>
              <w:rPr>
                <w:rFonts w:ascii="Times New Roman" w:hAnsi="Times New Roman" w:cs="Times New Roman"/>
                <w:color w:val="auto"/>
                <w:sz w:val="40"/>
                <w:szCs w:val="21"/>
              </w:rPr>
            </w:pPr>
            <w:r>
              <w:rPr>
                <w:rFonts w:hint="eastAsia" w:ascii="宋体" w:hAnsi="宋体" w:eastAsia="宋体" w:cs="宋体"/>
                <w:b/>
                <w:bCs/>
                <w:color w:val="auto"/>
                <w:sz w:val="72"/>
                <w:szCs w:val="72"/>
              </w:rPr>
              <w:t>响 应 文 件</w:t>
            </w:r>
          </w:p>
        </w:tc>
      </w:tr>
      <w:tr w14:paraId="5BCA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9139" w:type="dxa"/>
            <w:gridSpan w:val="5"/>
            <w:tcBorders>
              <w:top w:val="nil"/>
              <w:left w:val="nil"/>
              <w:bottom w:val="nil"/>
              <w:right w:val="nil"/>
            </w:tcBorders>
          </w:tcPr>
          <w:p w14:paraId="68203835">
            <w:pPr>
              <w:rPr>
                <w:rFonts w:ascii="Times New Roman" w:hAnsi="Times New Roman" w:eastAsia="楷体_GB2312" w:cs="Times New Roman"/>
                <w:b/>
                <w:color w:val="auto"/>
                <w:kern w:val="36"/>
                <w:sz w:val="52"/>
                <w:szCs w:val="52"/>
              </w:rPr>
            </w:pPr>
          </w:p>
        </w:tc>
      </w:tr>
      <w:tr w14:paraId="4B1F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restart"/>
            <w:tcBorders>
              <w:top w:val="nil"/>
              <w:left w:val="nil"/>
              <w:bottom w:val="nil"/>
              <w:right w:val="nil"/>
            </w:tcBorders>
            <w:vAlign w:val="center"/>
          </w:tcPr>
          <w:p w14:paraId="6952D0B8">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楷体_GB2312" w:cs="Times New Roman"/>
                <w:color w:val="auto"/>
                <w:sz w:val="52"/>
              </w:rPr>
            </w:pPr>
          </w:p>
        </w:tc>
        <w:tc>
          <w:tcPr>
            <w:tcW w:w="2626" w:type="dxa"/>
            <w:tcBorders>
              <w:top w:val="nil"/>
              <w:left w:val="nil"/>
              <w:bottom w:val="nil"/>
              <w:right w:val="nil"/>
            </w:tcBorders>
            <w:vAlign w:val="center"/>
          </w:tcPr>
          <w:p w14:paraId="2168F884">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ascii="Times New Roman" w:hAnsi="Times New Roman" w:cs="Times New Roman"/>
                <w:color w:val="auto"/>
              </w:rPr>
            </w:pPr>
            <w:r>
              <w:rPr>
                <w:rFonts w:hint="eastAsia" w:ascii="黑体" w:eastAsia="黑体" w:cs="黑体"/>
                <w:color w:val="auto"/>
                <w:sz w:val="32"/>
                <w:szCs w:val="32"/>
              </w:rPr>
              <w:t>项目名称：</w:t>
            </w:r>
          </w:p>
        </w:tc>
        <w:tc>
          <w:tcPr>
            <w:tcW w:w="285" w:type="dxa"/>
            <w:tcBorders>
              <w:top w:val="nil"/>
              <w:left w:val="nil"/>
              <w:bottom w:val="nil"/>
              <w:right w:val="nil"/>
            </w:tcBorders>
            <w:vAlign w:val="bottom"/>
          </w:tcPr>
          <w:p w14:paraId="0316C0E9">
            <w:pPr>
              <w:keepNext w:val="0"/>
              <w:keepLines w:val="0"/>
              <w:pageBreakBefore w:val="0"/>
              <w:widowControl w:val="0"/>
              <w:kinsoku/>
              <w:wordWrap/>
              <w:overflowPunct/>
              <w:topLinePunct w:val="0"/>
              <w:autoSpaceDE/>
              <w:autoSpaceDN/>
              <w:bidi w:val="0"/>
              <w:adjustRightInd/>
              <w:snapToGrid/>
              <w:spacing w:line="360" w:lineRule="auto"/>
              <w:ind w:firstLine="1960" w:firstLineChars="700"/>
              <w:jc w:val="center"/>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w:t>
            </w:r>
          </w:p>
        </w:tc>
        <w:tc>
          <w:tcPr>
            <w:tcW w:w="5384" w:type="dxa"/>
            <w:tcBorders>
              <w:top w:val="nil"/>
              <w:left w:val="nil"/>
              <w:bottom w:val="nil"/>
              <w:right w:val="nil"/>
            </w:tcBorders>
            <w:vAlign w:val="bottom"/>
          </w:tcPr>
          <w:p w14:paraId="57FC18B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color w:val="auto"/>
                <w:spacing w:val="20"/>
                <w:sz w:val="28"/>
                <w:szCs w:val="28"/>
              </w:rPr>
            </w:pPr>
          </w:p>
        </w:tc>
        <w:tc>
          <w:tcPr>
            <w:tcW w:w="414" w:type="dxa"/>
            <w:vMerge w:val="restart"/>
            <w:tcBorders>
              <w:top w:val="nil"/>
              <w:left w:val="nil"/>
              <w:bottom w:val="nil"/>
              <w:right w:val="nil"/>
            </w:tcBorders>
            <w:vAlign w:val="center"/>
          </w:tcPr>
          <w:p w14:paraId="196E0DEA">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楷体_GB2312" w:cs="Times New Roman"/>
                <w:color w:val="auto"/>
                <w:sz w:val="52"/>
              </w:rPr>
            </w:pPr>
          </w:p>
        </w:tc>
      </w:tr>
      <w:tr w14:paraId="3790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continue"/>
            <w:tcBorders>
              <w:top w:val="nil"/>
              <w:left w:val="nil"/>
              <w:bottom w:val="nil"/>
              <w:right w:val="nil"/>
            </w:tcBorders>
            <w:vAlign w:val="center"/>
          </w:tcPr>
          <w:p w14:paraId="0F66AF0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p>
        </w:tc>
        <w:tc>
          <w:tcPr>
            <w:tcW w:w="2626" w:type="dxa"/>
            <w:tcBorders>
              <w:top w:val="nil"/>
              <w:left w:val="nil"/>
              <w:bottom w:val="nil"/>
              <w:right w:val="nil"/>
            </w:tcBorders>
            <w:vAlign w:val="center"/>
          </w:tcPr>
          <w:p w14:paraId="14496374">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ascii="Times New Roman" w:hAnsi="Times New Roman" w:cs="Times New Roman"/>
                <w:color w:val="auto"/>
              </w:rPr>
            </w:pPr>
            <w:r>
              <w:rPr>
                <w:rFonts w:hint="eastAsia" w:ascii="黑体" w:eastAsia="黑体" w:cs="黑体"/>
                <w:color w:val="auto"/>
                <w:sz w:val="32"/>
                <w:szCs w:val="32"/>
                <w:lang w:eastAsia="zh-CN"/>
              </w:rPr>
              <w:t>采购人</w:t>
            </w:r>
            <w:r>
              <w:rPr>
                <w:rFonts w:hint="eastAsia" w:ascii="黑体" w:eastAsia="黑体" w:cs="黑体"/>
                <w:color w:val="auto"/>
                <w:sz w:val="32"/>
                <w:szCs w:val="32"/>
              </w:rPr>
              <w:t>：</w:t>
            </w:r>
          </w:p>
        </w:tc>
        <w:tc>
          <w:tcPr>
            <w:tcW w:w="285" w:type="dxa"/>
            <w:tcBorders>
              <w:top w:val="nil"/>
              <w:left w:val="nil"/>
              <w:bottom w:val="nil"/>
              <w:right w:val="nil"/>
            </w:tcBorders>
            <w:vAlign w:val="bottom"/>
          </w:tcPr>
          <w:p w14:paraId="13082ED3">
            <w:pPr>
              <w:keepNext w:val="0"/>
              <w:keepLines w:val="0"/>
              <w:pageBreakBefore w:val="0"/>
              <w:widowControl w:val="0"/>
              <w:kinsoku/>
              <w:wordWrap/>
              <w:overflowPunct/>
              <w:topLinePunct w:val="0"/>
              <w:autoSpaceDE/>
              <w:autoSpaceDN/>
              <w:bidi w:val="0"/>
              <w:adjustRightInd/>
              <w:snapToGrid/>
              <w:spacing w:line="360" w:lineRule="auto"/>
              <w:ind w:firstLine="1960" w:firstLineChars="700"/>
              <w:jc w:val="center"/>
              <w:textAlignment w:val="auto"/>
              <w:rPr>
                <w:rFonts w:ascii="Times New Roman" w:hAnsi="Times New Roman" w:cs="Times New Roman"/>
                <w:color w:val="auto"/>
                <w:sz w:val="28"/>
                <w:szCs w:val="28"/>
              </w:rPr>
            </w:pPr>
          </w:p>
        </w:tc>
        <w:tc>
          <w:tcPr>
            <w:tcW w:w="5384" w:type="dxa"/>
            <w:tcBorders>
              <w:top w:val="nil"/>
              <w:left w:val="nil"/>
              <w:bottom w:val="nil"/>
              <w:right w:val="nil"/>
            </w:tcBorders>
            <w:vAlign w:val="bottom"/>
          </w:tcPr>
          <w:p w14:paraId="0D8CADE2">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color w:val="auto"/>
                <w:sz w:val="28"/>
                <w:szCs w:val="28"/>
              </w:rPr>
            </w:pPr>
          </w:p>
        </w:tc>
        <w:tc>
          <w:tcPr>
            <w:tcW w:w="414" w:type="dxa"/>
            <w:vMerge w:val="continue"/>
            <w:tcBorders>
              <w:top w:val="nil"/>
              <w:left w:val="nil"/>
              <w:bottom w:val="nil"/>
              <w:right w:val="nil"/>
            </w:tcBorders>
            <w:vAlign w:val="center"/>
          </w:tcPr>
          <w:p w14:paraId="75D9330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p>
        </w:tc>
      </w:tr>
      <w:tr w14:paraId="3008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continue"/>
            <w:tcBorders>
              <w:top w:val="nil"/>
              <w:left w:val="nil"/>
              <w:bottom w:val="nil"/>
              <w:right w:val="nil"/>
            </w:tcBorders>
            <w:vAlign w:val="center"/>
          </w:tcPr>
          <w:p w14:paraId="3C750D9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p>
        </w:tc>
        <w:tc>
          <w:tcPr>
            <w:tcW w:w="2626" w:type="dxa"/>
            <w:tcBorders>
              <w:top w:val="nil"/>
              <w:left w:val="nil"/>
              <w:bottom w:val="nil"/>
              <w:right w:val="nil"/>
            </w:tcBorders>
            <w:vAlign w:val="center"/>
          </w:tcPr>
          <w:p w14:paraId="4743DB29">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ascii="Times New Roman" w:hAnsi="Times New Roman" w:cs="Times New Roman"/>
                <w:color w:val="auto"/>
              </w:rPr>
            </w:pPr>
            <w:r>
              <w:rPr>
                <w:rFonts w:hint="eastAsia" w:ascii="黑体" w:eastAsia="黑体" w:cs="黑体"/>
                <w:color w:val="auto"/>
                <w:sz w:val="32"/>
                <w:szCs w:val="32"/>
                <w:lang w:eastAsia="zh-CN"/>
              </w:rPr>
              <w:t>采购计划编号</w:t>
            </w:r>
            <w:r>
              <w:rPr>
                <w:rFonts w:hint="eastAsia" w:ascii="黑体" w:eastAsia="黑体" w:cs="黑体"/>
                <w:color w:val="auto"/>
                <w:sz w:val="32"/>
                <w:szCs w:val="32"/>
              </w:rPr>
              <w:t>：</w:t>
            </w:r>
          </w:p>
        </w:tc>
        <w:tc>
          <w:tcPr>
            <w:tcW w:w="285" w:type="dxa"/>
            <w:tcBorders>
              <w:top w:val="nil"/>
              <w:left w:val="nil"/>
              <w:bottom w:val="nil"/>
              <w:right w:val="nil"/>
            </w:tcBorders>
            <w:vAlign w:val="bottom"/>
          </w:tcPr>
          <w:p w14:paraId="7FB286D7">
            <w:pPr>
              <w:keepNext w:val="0"/>
              <w:keepLines w:val="0"/>
              <w:pageBreakBefore w:val="0"/>
              <w:widowControl w:val="0"/>
              <w:kinsoku/>
              <w:wordWrap/>
              <w:overflowPunct/>
              <w:topLinePunct w:val="0"/>
              <w:autoSpaceDE/>
              <w:autoSpaceDN/>
              <w:bidi w:val="0"/>
              <w:adjustRightInd/>
              <w:snapToGrid/>
              <w:spacing w:line="360" w:lineRule="auto"/>
              <w:ind w:firstLine="1960" w:firstLineChars="700"/>
              <w:jc w:val="center"/>
              <w:textAlignment w:val="auto"/>
              <w:rPr>
                <w:rFonts w:ascii="Times New Roman" w:hAnsi="Times New Roman" w:cs="Times New Roman"/>
                <w:color w:val="auto"/>
                <w:sz w:val="28"/>
                <w:szCs w:val="28"/>
              </w:rPr>
            </w:pPr>
          </w:p>
        </w:tc>
        <w:tc>
          <w:tcPr>
            <w:tcW w:w="5384" w:type="dxa"/>
            <w:tcBorders>
              <w:top w:val="nil"/>
              <w:left w:val="nil"/>
              <w:bottom w:val="nil"/>
              <w:right w:val="nil"/>
            </w:tcBorders>
            <w:vAlign w:val="bottom"/>
          </w:tcPr>
          <w:p w14:paraId="1DAFDCC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color w:val="auto"/>
                <w:sz w:val="28"/>
                <w:szCs w:val="28"/>
              </w:rPr>
            </w:pPr>
          </w:p>
        </w:tc>
        <w:tc>
          <w:tcPr>
            <w:tcW w:w="414" w:type="dxa"/>
            <w:vMerge w:val="continue"/>
            <w:tcBorders>
              <w:top w:val="nil"/>
              <w:left w:val="nil"/>
              <w:bottom w:val="nil"/>
              <w:right w:val="nil"/>
            </w:tcBorders>
            <w:vAlign w:val="center"/>
          </w:tcPr>
          <w:p w14:paraId="4DA88DD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p>
        </w:tc>
      </w:tr>
      <w:tr w14:paraId="47D6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30" w:type="dxa"/>
            <w:vMerge w:val="continue"/>
            <w:tcBorders>
              <w:top w:val="nil"/>
              <w:left w:val="nil"/>
              <w:bottom w:val="nil"/>
              <w:right w:val="nil"/>
            </w:tcBorders>
            <w:vAlign w:val="center"/>
          </w:tcPr>
          <w:p w14:paraId="2011DCE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p>
        </w:tc>
        <w:tc>
          <w:tcPr>
            <w:tcW w:w="2626" w:type="dxa"/>
            <w:tcBorders>
              <w:top w:val="nil"/>
              <w:left w:val="nil"/>
              <w:bottom w:val="nil"/>
              <w:right w:val="nil"/>
            </w:tcBorders>
            <w:vAlign w:val="center"/>
          </w:tcPr>
          <w:p w14:paraId="60FC62CC">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ascii="Times New Roman" w:hAnsi="Times New Roman" w:cs="Times New Roman"/>
                <w:color w:val="auto"/>
              </w:rPr>
            </w:pPr>
            <w:r>
              <w:rPr>
                <w:rFonts w:hint="eastAsia" w:ascii="黑体" w:eastAsia="黑体" w:cs="黑体"/>
                <w:color w:val="auto"/>
                <w:sz w:val="32"/>
                <w:szCs w:val="32"/>
                <w:lang w:eastAsia="zh-CN"/>
              </w:rPr>
              <w:t>采购代理机构</w:t>
            </w:r>
            <w:r>
              <w:rPr>
                <w:rFonts w:hint="eastAsia" w:ascii="黑体" w:eastAsia="黑体" w:cs="黑体"/>
                <w:color w:val="auto"/>
                <w:sz w:val="32"/>
                <w:szCs w:val="32"/>
              </w:rPr>
              <w:t>：</w:t>
            </w:r>
          </w:p>
        </w:tc>
        <w:tc>
          <w:tcPr>
            <w:tcW w:w="285" w:type="dxa"/>
            <w:tcBorders>
              <w:top w:val="nil"/>
              <w:left w:val="nil"/>
              <w:bottom w:val="nil"/>
              <w:right w:val="nil"/>
            </w:tcBorders>
            <w:vAlign w:val="bottom"/>
          </w:tcPr>
          <w:p w14:paraId="7D8B5D0B">
            <w:pPr>
              <w:keepNext w:val="0"/>
              <w:keepLines w:val="0"/>
              <w:pageBreakBefore w:val="0"/>
              <w:widowControl w:val="0"/>
              <w:kinsoku/>
              <w:wordWrap/>
              <w:overflowPunct/>
              <w:topLinePunct w:val="0"/>
              <w:autoSpaceDE/>
              <w:autoSpaceDN/>
              <w:bidi w:val="0"/>
              <w:adjustRightInd/>
              <w:snapToGrid/>
              <w:spacing w:line="360" w:lineRule="auto"/>
              <w:ind w:firstLine="1960" w:firstLineChars="700"/>
              <w:jc w:val="center"/>
              <w:textAlignment w:val="auto"/>
              <w:rPr>
                <w:rFonts w:ascii="Times New Roman" w:hAnsi="Times New Roman" w:cs="Times New Roman"/>
                <w:color w:val="auto"/>
                <w:sz w:val="28"/>
                <w:szCs w:val="28"/>
              </w:rPr>
            </w:pPr>
          </w:p>
        </w:tc>
        <w:tc>
          <w:tcPr>
            <w:tcW w:w="5384" w:type="dxa"/>
            <w:tcBorders>
              <w:top w:val="nil"/>
              <w:left w:val="nil"/>
              <w:bottom w:val="nil"/>
              <w:right w:val="nil"/>
            </w:tcBorders>
            <w:vAlign w:val="bottom"/>
          </w:tcPr>
          <w:p w14:paraId="7172101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cs="Times New Roman"/>
                <w:color w:val="auto"/>
                <w:sz w:val="28"/>
                <w:szCs w:val="28"/>
                <w:u w:val="single"/>
              </w:rPr>
            </w:pPr>
          </w:p>
        </w:tc>
        <w:tc>
          <w:tcPr>
            <w:tcW w:w="414" w:type="dxa"/>
            <w:vMerge w:val="continue"/>
            <w:tcBorders>
              <w:top w:val="nil"/>
              <w:left w:val="nil"/>
              <w:bottom w:val="nil"/>
              <w:right w:val="nil"/>
            </w:tcBorders>
            <w:vAlign w:val="center"/>
          </w:tcPr>
          <w:p w14:paraId="64203B8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pPr>
          </w:p>
        </w:tc>
      </w:tr>
      <w:tr w14:paraId="276D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430" w:type="dxa"/>
            <w:tcBorders>
              <w:top w:val="nil"/>
              <w:left w:val="nil"/>
              <w:bottom w:val="nil"/>
              <w:right w:val="nil"/>
            </w:tcBorders>
            <w:vAlign w:val="bottom"/>
          </w:tcPr>
          <w:p w14:paraId="00454E66">
            <w:pPr>
              <w:pStyle w:val="44"/>
              <w:keepNext w:val="0"/>
              <w:keepLines w:val="0"/>
              <w:pageBreakBefore w:val="0"/>
              <w:widowControl w:val="0"/>
              <w:kinsoku/>
              <w:wordWrap/>
              <w:overflowPunct/>
              <w:topLinePunct w:val="0"/>
              <w:autoSpaceDE/>
              <w:autoSpaceDN/>
              <w:bidi w:val="0"/>
              <w:adjustRightInd/>
              <w:snapToGrid/>
              <w:spacing w:before="156" w:line="360" w:lineRule="auto"/>
              <w:ind w:firstLine="1600" w:firstLineChars="500"/>
              <w:textAlignment w:val="auto"/>
              <w:rPr>
                <w:rFonts w:ascii="黑体" w:eastAsia="黑体"/>
                <w:color w:val="auto"/>
                <w:sz w:val="32"/>
                <w:szCs w:val="32"/>
              </w:rPr>
            </w:pPr>
          </w:p>
        </w:tc>
        <w:tc>
          <w:tcPr>
            <w:tcW w:w="2626" w:type="dxa"/>
            <w:tcBorders>
              <w:top w:val="nil"/>
              <w:left w:val="nil"/>
              <w:bottom w:val="nil"/>
              <w:right w:val="nil"/>
            </w:tcBorders>
            <w:vAlign w:val="bottom"/>
          </w:tcPr>
          <w:p w14:paraId="17EBC37F">
            <w:pPr>
              <w:pStyle w:val="44"/>
              <w:keepNext w:val="0"/>
              <w:keepLines w:val="0"/>
              <w:pageBreakBefore w:val="0"/>
              <w:widowControl w:val="0"/>
              <w:kinsoku/>
              <w:wordWrap/>
              <w:overflowPunct/>
              <w:topLinePunct w:val="0"/>
              <w:autoSpaceDE/>
              <w:autoSpaceDN/>
              <w:bidi w:val="0"/>
              <w:adjustRightInd/>
              <w:snapToGrid/>
              <w:spacing w:before="156" w:line="360" w:lineRule="auto"/>
              <w:ind w:firstLine="0" w:firstLineChars="0"/>
              <w:jc w:val="distribute"/>
              <w:textAlignment w:val="auto"/>
              <w:rPr>
                <w:rFonts w:ascii="黑体" w:eastAsia="黑体"/>
                <w:color w:val="auto"/>
                <w:sz w:val="32"/>
                <w:szCs w:val="32"/>
              </w:rPr>
            </w:pPr>
            <w:r>
              <w:rPr>
                <w:rFonts w:hint="eastAsia" w:ascii="黑体" w:eastAsia="黑体"/>
                <w:color w:val="auto"/>
                <w:sz w:val="32"/>
                <w:szCs w:val="32"/>
                <w:lang w:eastAsia="zh-CN"/>
              </w:rPr>
              <w:t>供应商</w:t>
            </w:r>
            <w:r>
              <w:rPr>
                <w:rFonts w:hint="eastAsia" w:ascii="黑体" w:eastAsia="黑体"/>
                <w:color w:val="auto"/>
                <w:sz w:val="32"/>
                <w:szCs w:val="32"/>
              </w:rPr>
              <w:t>：</w:t>
            </w:r>
          </w:p>
        </w:tc>
        <w:tc>
          <w:tcPr>
            <w:tcW w:w="285" w:type="dxa"/>
            <w:tcBorders>
              <w:top w:val="nil"/>
              <w:left w:val="nil"/>
              <w:bottom w:val="nil"/>
              <w:right w:val="nil"/>
            </w:tcBorders>
            <w:vAlign w:val="bottom"/>
          </w:tcPr>
          <w:p w14:paraId="3A525656">
            <w:pPr>
              <w:pStyle w:val="44"/>
              <w:keepNext w:val="0"/>
              <w:keepLines w:val="0"/>
              <w:pageBreakBefore w:val="0"/>
              <w:widowControl w:val="0"/>
              <w:kinsoku/>
              <w:wordWrap/>
              <w:overflowPunct/>
              <w:topLinePunct w:val="0"/>
              <w:autoSpaceDE/>
              <w:autoSpaceDN/>
              <w:bidi w:val="0"/>
              <w:adjustRightInd/>
              <w:snapToGrid/>
              <w:spacing w:before="156" w:line="360" w:lineRule="auto"/>
              <w:ind w:firstLine="1600" w:firstLineChars="500"/>
              <w:jc w:val="center"/>
              <w:textAlignment w:val="auto"/>
              <w:rPr>
                <w:rFonts w:ascii="黑体" w:eastAsia="黑体" w:cs="黑体"/>
                <w:color w:val="auto"/>
                <w:sz w:val="32"/>
                <w:szCs w:val="28"/>
              </w:rPr>
            </w:pPr>
          </w:p>
        </w:tc>
        <w:tc>
          <w:tcPr>
            <w:tcW w:w="5384" w:type="dxa"/>
            <w:tcBorders>
              <w:top w:val="nil"/>
              <w:left w:val="nil"/>
              <w:bottom w:val="nil"/>
              <w:right w:val="nil"/>
            </w:tcBorders>
            <w:vAlign w:val="bottom"/>
          </w:tcPr>
          <w:p w14:paraId="0A6811D8">
            <w:pPr>
              <w:pStyle w:val="44"/>
              <w:keepNext w:val="0"/>
              <w:keepLines w:val="0"/>
              <w:pageBreakBefore w:val="0"/>
              <w:widowControl w:val="0"/>
              <w:kinsoku/>
              <w:wordWrap/>
              <w:overflowPunct/>
              <w:topLinePunct w:val="0"/>
              <w:autoSpaceDE/>
              <w:autoSpaceDN/>
              <w:bidi w:val="0"/>
              <w:adjustRightInd/>
              <w:snapToGrid/>
              <w:spacing w:before="156" w:line="360" w:lineRule="auto"/>
              <w:ind w:firstLine="1600" w:firstLineChars="500"/>
              <w:textAlignment w:val="auto"/>
              <w:rPr>
                <w:rFonts w:ascii="黑体" w:eastAsia="黑体" w:cs="黑体"/>
                <w:color w:val="auto"/>
                <w:sz w:val="32"/>
                <w:szCs w:val="28"/>
              </w:rPr>
            </w:pPr>
          </w:p>
        </w:tc>
        <w:tc>
          <w:tcPr>
            <w:tcW w:w="414" w:type="dxa"/>
            <w:tcBorders>
              <w:top w:val="nil"/>
              <w:left w:val="nil"/>
              <w:bottom w:val="nil"/>
              <w:right w:val="nil"/>
            </w:tcBorders>
            <w:vAlign w:val="bottom"/>
          </w:tcPr>
          <w:p w14:paraId="049D0D84">
            <w:pPr>
              <w:pStyle w:val="44"/>
              <w:keepNext w:val="0"/>
              <w:keepLines w:val="0"/>
              <w:pageBreakBefore w:val="0"/>
              <w:widowControl w:val="0"/>
              <w:kinsoku/>
              <w:wordWrap/>
              <w:overflowPunct/>
              <w:topLinePunct w:val="0"/>
              <w:autoSpaceDE/>
              <w:autoSpaceDN/>
              <w:bidi w:val="0"/>
              <w:adjustRightInd/>
              <w:snapToGrid/>
              <w:spacing w:before="156" w:line="360" w:lineRule="auto"/>
              <w:ind w:firstLine="1600" w:firstLineChars="500"/>
              <w:textAlignment w:val="auto"/>
              <w:rPr>
                <w:rFonts w:ascii="黑体" w:eastAsia="黑体" w:cs="黑体"/>
                <w:color w:val="auto"/>
                <w:sz w:val="32"/>
                <w:szCs w:val="28"/>
              </w:rPr>
            </w:pPr>
          </w:p>
        </w:tc>
      </w:tr>
      <w:tr w14:paraId="069A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9139" w:type="dxa"/>
            <w:gridSpan w:val="5"/>
            <w:tcBorders>
              <w:top w:val="nil"/>
              <w:left w:val="nil"/>
              <w:bottom w:val="nil"/>
              <w:right w:val="nil"/>
            </w:tcBorders>
            <w:vAlign w:val="bottom"/>
          </w:tcPr>
          <w:p w14:paraId="4EEB2B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eastAsia="黑体" w:cs="Times New Roman"/>
                <w:color w:val="auto"/>
                <w:sz w:val="32"/>
                <w:szCs w:val="32"/>
              </w:rPr>
            </w:pPr>
            <w:r>
              <w:rPr>
                <w:rFonts w:hint="eastAsia" w:ascii="黑体" w:eastAsia="黑体" w:cs="Times New Roman"/>
                <w:color w:val="auto"/>
                <w:sz w:val="32"/>
                <w:szCs w:val="32"/>
              </w:rPr>
              <w:t>二〇XX年 月</w:t>
            </w:r>
          </w:p>
        </w:tc>
      </w:tr>
    </w:tbl>
    <w:p w14:paraId="299C41DA">
      <w:pPr>
        <w:rPr>
          <w:rFonts w:hint="eastAsia" w:ascii="宋体" w:hAnsi="宋体" w:eastAsia="宋体" w:cs="宋体"/>
          <w:b/>
          <w:bCs/>
          <w:color w:val="auto"/>
          <w:kern w:val="2"/>
          <w:sz w:val="30"/>
          <w:szCs w:val="24"/>
          <w:lang w:val="en-US" w:eastAsia="zh-CN" w:bidi="ar-SA"/>
        </w:rPr>
      </w:pPr>
      <w:bookmarkStart w:id="102" w:name="_Toc11864"/>
      <w:bookmarkStart w:id="103" w:name="_Toc14306"/>
      <w:bookmarkStart w:id="104" w:name="_Toc22147"/>
      <w:bookmarkStart w:id="105" w:name="_Toc19862"/>
      <w:r>
        <w:rPr>
          <w:rFonts w:hint="eastAsia" w:ascii="宋体" w:hAnsi="宋体" w:eastAsia="宋体" w:cs="宋体"/>
          <w:b/>
          <w:bCs/>
          <w:color w:val="auto"/>
          <w:kern w:val="2"/>
          <w:sz w:val="30"/>
          <w:szCs w:val="24"/>
          <w:lang w:val="en-US" w:eastAsia="zh-CN" w:bidi="ar-SA"/>
        </w:rPr>
        <w:br w:type="page"/>
      </w:r>
    </w:p>
    <w:p w14:paraId="795CFA9C">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360" w:lineRule="auto"/>
        <w:ind w:left="0" w:leftChars="0" w:firstLine="0" w:firstLineChars="0"/>
        <w:jc w:val="center"/>
        <w:textAlignment w:val="auto"/>
        <w:rPr>
          <w:rFonts w:hint="eastAsia" w:ascii="宋体" w:hAnsi="宋体" w:eastAsia="宋体" w:cs="宋体"/>
          <w:b/>
          <w:bCs/>
          <w:color w:val="auto"/>
        </w:rPr>
      </w:pPr>
      <w:bookmarkStart w:id="106" w:name="_Toc1991"/>
      <w:r>
        <w:rPr>
          <w:rFonts w:hint="eastAsia" w:ascii="宋体" w:hAnsi="宋体" w:eastAsia="宋体" w:cs="宋体"/>
          <w:b/>
          <w:bCs/>
          <w:color w:val="auto"/>
          <w:kern w:val="2"/>
          <w:sz w:val="30"/>
          <w:szCs w:val="24"/>
          <w:lang w:val="en-US" w:eastAsia="zh-CN" w:bidi="ar-SA"/>
        </w:rPr>
        <w:t>一、</w:t>
      </w:r>
      <w:r>
        <w:rPr>
          <w:rFonts w:hint="eastAsia" w:ascii="宋体" w:hAnsi="宋体" w:eastAsia="宋体" w:cs="宋体"/>
          <w:b/>
          <w:bCs/>
          <w:color w:val="auto"/>
          <w:lang w:val="en-US" w:eastAsia="zh-CN"/>
        </w:rPr>
        <w:t>谈判</w:t>
      </w:r>
      <w:r>
        <w:rPr>
          <w:rFonts w:hint="eastAsia" w:ascii="宋体" w:hAnsi="宋体" w:eastAsia="宋体" w:cs="宋体"/>
          <w:b/>
          <w:bCs/>
          <w:color w:val="auto"/>
        </w:rPr>
        <w:t>响应声明（格式）</w:t>
      </w:r>
      <w:bookmarkEnd w:id="102"/>
      <w:bookmarkEnd w:id="103"/>
      <w:bookmarkEnd w:id="104"/>
      <w:bookmarkEnd w:id="105"/>
      <w:bookmarkEnd w:id="106"/>
    </w:p>
    <w:p w14:paraId="40A30C1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采购代理机构</w:t>
      </w:r>
      <w:r>
        <w:rPr>
          <w:rFonts w:hint="eastAsia" w:ascii="宋体" w:hAnsi="宋体" w:eastAsia="宋体" w:cs="宋体"/>
          <w:color w:val="auto"/>
          <w:sz w:val="24"/>
          <w:szCs w:val="24"/>
        </w:rPr>
        <w:t>）：</w:t>
      </w:r>
    </w:p>
    <w:p w14:paraId="4C22312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firstLine="480"/>
        <w:textAlignment w:val="auto"/>
        <w:rPr>
          <w:rFonts w:hint="eastAsia" w:ascii="宋体" w:hAnsi="宋体" w:eastAsia="宋体" w:cs="宋体"/>
          <w:sz w:val="24"/>
          <w:szCs w:val="24"/>
        </w:rPr>
      </w:pPr>
      <w:r>
        <w:rPr>
          <w:rFonts w:hint="eastAsia" w:ascii="宋体" w:hAnsi="宋体" w:eastAsia="宋体" w:cs="宋体"/>
          <w:sz w:val="24"/>
          <w:szCs w:val="24"/>
        </w:rPr>
        <w:t>根据贵方为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（项目名称）的谈判邀请（</w:t>
      </w:r>
      <w:r>
        <w:rPr>
          <w:rFonts w:hint="eastAsia" w:ascii="宋体" w:hAnsi="宋体" w:eastAsia="宋体" w:cs="宋体"/>
          <w:sz w:val="24"/>
          <w:szCs w:val="24"/>
          <w:lang w:val="en-US" w:eastAsia="zh-CN"/>
        </w:rPr>
        <w:t>采购计划</w:t>
      </w:r>
      <w:r>
        <w:rPr>
          <w:rFonts w:hint="eastAsia" w:ascii="宋体" w:hAnsi="宋体" w:eastAsia="宋体" w:cs="宋体"/>
          <w:sz w:val="24"/>
          <w:szCs w:val="24"/>
        </w:rPr>
        <w:t>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），签字代表</w:t>
      </w:r>
      <w:r>
        <w:rPr>
          <w:rFonts w:hint="eastAsia" w:ascii="宋体" w:hAnsi="宋体" w:eastAsia="宋体" w:cs="宋体"/>
          <w:sz w:val="24"/>
          <w:szCs w:val="24"/>
          <w:u w:val="single"/>
        </w:rPr>
        <w:t xml:space="preserve">         </w:t>
      </w:r>
      <w:r>
        <w:rPr>
          <w:rFonts w:hint="eastAsia" w:ascii="宋体" w:hAnsi="宋体" w:eastAsia="宋体" w:cs="宋体"/>
          <w:sz w:val="24"/>
          <w:szCs w:val="24"/>
        </w:rPr>
        <w:t>（姓名、职务）经正式授权并代表供应商</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（供应商名称）提交响应文件电子文档：一份，参加采购项目第</w:t>
      </w:r>
      <w:r>
        <w:rPr>
          <w:rFonts w:hint="eastAsia" w:ascii="宋体" w:hAnsi="宋体" w:eastAsia="宋体" w:cs="宋体"/>
          <w:sz w:val="24"/>
          <w:szCs w:val="24"/>
          <w:u w:val="single"/>
        </w:rPr>
        <w:t xml:space="preserve">   </w:t>
      </w:r>
      <w:r>
        <w:rPr>
          <w:rFonts w:hint="eastAsia" w:ascii="宋体" w:hAnsi="宋体" w:eastAsia="宋体" w:cs="宋体"/>
          <w:sz w:val="24"/>
          <w:szCs w:val="24"/>
        </w:rPr>
        <w:t>包谈判，并在此声明，所递交的响应文件内容完整、真实。</w:t>
      </w:r>
    </w:p>
    <w:p w14:paraId="026A830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firstLine="480"/>
        <w:textAlignment w:val="auto"/>
        <w:rPr>
          <w:rFonts w:hint="eastAsia" w:ascii="宋体" w:hAnsi="宋体" w:eastAsia="宋体" w:cs="宋体"/>
          <w:sz w:val="24"/>
          <w:szCs w:val="24"/>
        </w:rPr>
      </w:pPr>
      <w:r>
        <w:rPr>
          <w:rFonts w:hint="eastAsia" w:ascii="宋体" w:hAnsi="宋体" w:eastAsia="宋体" w:cs="宋体"/>
          <w:sz w:val="24"/>
          <w:szCs w:val="24"/>
        </w:rPr>
        <w:t>一、我方已详细审查谈判文件。我们完全理解并同意放弃对这方面有不明及误解的权力。</w:t>
      </w:r>
    </w:p>
    <w:p w14:paraId="0876C31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firstLine="480"/>
        <w:textAlignment w:val="auto"/>
        <w:rPr>
          <w:rFonts w:hint="eastAsia" w:ascii="宋体" w:hAnsi="宋体" w:eastAsia="宋体" w:cs="宋体"/>
          <w:sz w:val="24"/>
          <w:szCs w:val="24"/>
        </w:rPr>
      </w:pPr>
      <w:r>
        <w:rPr>
          <w:rFonts w:hint="eastAsia" w:ascii="宋体" w:hAnsi="宋体" w:eastAsia="宋体" w:cs="宋体"/>
          <w:sz w:val="24"/>
          <w:szCs w:val="24"/>
        </w:rPr>
        <w:t>二、我方愿意向贵方提供任何与本项采购有关的数据、情况和技术资料。若贵方需要，我方愿意提供我方作出的一切承诺的证明材料。</w:t>
      </w:r>
    </w:p>
    <w:p w14:paraId="04F41AB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firstLine="480"/>
        <w:textAlignment w:val="auto"/>
        <w:rPr>
          <w:rFonts w:hint="eastAsia" w:ascii="宋体" w:hAnsi="宋体" w:eastAsia="宋体" w:cs="宋体"/>
          <w:sz w:val="24"/>
          <w:szCs w:val="24"/>
        </w:rPr>
      </w:pPr>
      <w:r>
        <w:rPr>
          <w:rFonts w:hint="eastAsia" w:ascii="宋体" w:hAnsi="宋体" w:eastAsia="宋体" w:cs="宋体"/>
          <w:sz w:val="24"/>
          <w:szCs w:val="24"/>
        </w:rPr>
        <w:t>三、我方愿意按谈判文件规定和谈判小组要求重新提交响应文件。</w:t>
      </w:r>
    </w:p>
    <w:p w14:paraId="500C6D5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firstLine="480"/>
        <w:textAlignment w:val="auto"/>
        <w:rPr>
          <w:rFonts w:hint="eastAsia" w:ascii="宋体" w:hAnsi="宋体" w:eastAsia="宋体" w:cs="宋体"/>
          <w:sz w:val="24"/>
          <w:szCs w:val="24"/>
        </w:rPr>
      </w:pPr>
      <w:r>
        <w:rPr>
          <w:rFonts w:hint="eastAsia" w:ascii="宋体" w:hAnsi="宋体" w:eastAsia="宋体" w:cs="宋体"/>
          <w:sz w:val="24"/>
          <w:szCs w:val="24"/>
        </w:rPr>
        <w:t>四、我方同意在谈判文件中规定的提交首次响应文件截止时间起</w:t>
      </w:r>
      <w:r>
        <w:rPr>
          <w:rFonts w:hint="eastAsia" w:ascii="宋体" w:hAnsi="宋体" w:eastAsia="宋体" w:cs="宋体"/>
          <w:sz w:val="24"/>
          <w:szCs w:val="24"/>
          <w:u w:val="single"/>
        </w:rPr>
        <w:t xml:space="preserve">  </w:t>
      </w:r>
      <w:r>
        <w:rPr>
          <w:rFonts w:hint="eastAsia" w:ascii="宋体" w:hAnsi="宋体" w:eastAsia="宋体" w:cs="宋体"/>
          <w:sz w:val="24"/>
          <w:szCs w:val="24"/>
        </w:rPr>
        <w:t>日内（响应文件有效期）遵守本响应文件中的承诺且在此期限期满之前均具有法律约束力。</w:t>
      </w:r>
    </w:p>
    <w:p w14:paraId="60A92E3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firstLine="480"/>
        <w:textAlignment w:val="auto"/>
        <w:rPr>
          <w:rFonts w:hint="eastAsia" w:ascii="宋体" w:hAnsi="宋体" w:eastAsia="宋体" w:cs="宋体"/>
          <w:sz w:val="24"/>
          <w:szCs w:val="24"/>
        </w:rPr>
      </w:pPr>
      <w:r>
        <w:rPr>
          <w:rFonts w:hint="eastAsia" w:ascii="宋体" w:hAnsi="宋体" w:eastAsia="宋体" w:cs="宋体"/>
          <w:sz w:val="24"/>
          <w:szCs w:val="24"/>
        </w:rPr>
        <w:t>五、我方承诺遵守《政府采购法》及实施条例、《政府采购竞争性谈判采购方式管理暂行办法》（财库</w:t>
      </w:r>
      <w:r>
        <w:rPr>
          <w:rFonts w:hint="eastAsia" w:ascii="宋体" w:hAnsi="宋体" w:eastAsia="宋体" w:cs="宋体"/>
          <w:sz w:val="24"/>
          <w:szCs w:val="24"/>
          <w:lang w:eastAsia="zh-CN"/>
        </w:rPr>
        <w:t>〔2014〕214号</w:t>
      </w:r>
      <w:r>
        <w:rPr>
          <w:rFonts w:hint="eastAsia" w:ascii="宋体" w:hAnsi="宋体" w:eastAsia="宋体" w:cs="宋体"/>
          <w:sz w:val="24"/>
          <w:szCs w:val="24"/>
        </w:rPr>
        <w:t>）</w:t>
      </w:r>
      <w:r>
        <w:rPr>
          <w:rFonts w:hint="eastAsia" w:ascii="宋体" w:hAnsi="宋体" w:eastAsia="宋体" w:cs="宋体"/>
          <w:sz w:val="24"/>
          <w:szCs w:val="24"/>
          <w:lang w:eastAsia="zh-CN"/>
        </w:rPr>
        <w:t>、《张家界市人民政府办公室关于进一步加强政府采购管理工作的通知》（张政办发〔2024〕21号）</w:t>
      </w:r>
      <w:r>
        <w:rPr>
          <w:rFonts w:hint="eastAsia" w:ascii="宋体" w:hAnsi="宋体" w:eastAsia="宋体" w:cs="宋体"/>
          <w:sz w:val="24"/>
          <w:szCs w:val="24"/>
        </w:rPr>
        <w:t>的有关规定，保证在获得成交资格后，按照谈判文件确定的事项签订政府采购合同，履行双方所签订的合同，并承担合同规定的责任和义务。</w:t>
      </w:r>
    </w:p>
    <w:p w14:paraId="52C4E346">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sz w:val="24"/>
          <w:szCs w:val="24"/>
        </w:rPr>
        <w:t>六、我方承诺在参与竞争性谈判过程中，若出现《政府采购法》第七十七条、《政府采购法实施条例》第七十二条规定之情形，我方同意接受条款规定作出的处罚</w:t>
      </w:r>
      <w:r>
        <w:rPr>
          <w:rFonts w:hint="eastAsia" w:ascii="宋体" w:hAnsi="宋体" w:eastAsia="宋体" w:cs="宋体"/>
          <w:color w:val="auto"/>
          <w:sz w:val="24"/>
          <w:szCs w:val="24"/>
        </w:rPr>
        <w:t>。</w:t>
      </w:r>
    </w:p>
    <w:p w14:paraId="0B132BD2">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我方的联系方式：</w:t>
      </w:r>
    </w:p>
    <w:p w14:paraId="272C09B3">
      <w:pPr>
        <w:pStyle w:val="44"/>
        <w:spacing w:before="156" w:line="400" w:lineRule="exact"/>
        <w:ind w:firstLine="480"/>
        <w:rPr>
          <w:rFonts w:hint="eastAsia"/>
          <w:color w:val="auto"/>
        </w:rPr>
      </w:pPr>
      <w:r>
        <w:rPr>
          <w:rFonts w:hint="eastAsia"/>
          <w:color w:val="auto"/>
        </w:rPr>
        <w:t xml:space="preserve">地址：        邮编：        电话：        电子邮箱：   </w:t>
      </w:r>
    </w:p>
    <w:p w14:paraId="06DA97C6">
      <w:pPr>
        <w:pStyle w:val="44"/>
        <w:spacing w:before="156" w:line="400" w:lineRule="exact"/>
        <w:ind w:firstLine="480"/>
        <w:rPr>
          <w:color w:val="auto"/>
        </w:rPr>
      </w:pPr>
      <w:r>
        <w:rPr>
          <w:rFonts w:hint="eastAsia"/>
          <w:color w:val="auto"/>
        </w:rPr>
        <w:t xml:space="preserve">      </w:t>
      </w:r>
    </w:p>
    <w:tbl>
      <w:tblPr>
        <w:tblStyle w:val="34"/>
        <w:tblpPr w:leftFromText="180" w:rightFromText="180" w:vertAnchor="text" w:horzAnchor="page" w:tblpX="1249" w:tblpY="195"/>
        <w:tblOverlap w:val="never"/>
        <w:tblW w:w="9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3"/>
        <w:gridCol w:w="1730"/>
        <w:gridCol w:w="1345"/>
        <w:gridCol w:w="2851"/>
      </w:tblGrid>
      <w:tr w14:paraId="4BF2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6D76CB3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sz w:val="24"/>
                <w:szCs w:val="24"/>
              </w:rPr>
            </w:pPr>
            <w:r>
              <w:rPr>
                <w:rFonts w:hint="eastAsia"/>
                <w:bCs/>
                <w:color w:val="auto"/>
                <w:sz w:val="24"/>
                <w:szCs w:val="24"/>
                <w:lang w:eastAsia="zh-CN"/>
              </w:rPr>
              <w:t>供应商</w:t>
            </w:r>
            <w:r>
              <w:rPr>
                <w:rFonts w:hint="eastAsia"/>
                <w:bCs/>
                <w:color w:val="auto"/>
                <w:sz w:val="24"/>
                <w:szCs w:val="24"/>
              </w:rPr>
              <w:t>名称（加盖公章）：</w:t>
            </w:r>
          </w:p>
        </w:tc>
        <w:tc>
          <w:tcPr>
            <w:tcW w:w="5926" w:type="dxa"/>
            <w:gridSpan w:val="3"/>
            <w:tcBorders>
              <w:top w:val="nil"/>
              <w:left w:val="nil"/>
              <w:bottom w:val="nil"/>
              <w:right w:val="nil"/>
            </w:tcBorders>
            <w:vAlign w:val="center"/>
          </w:tcPr>
          <w:p w14:paraId="3B0B40F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color w:val="auto"/>
                <w:sz w:val="24"/>
                <w:szCs w:val="24"/>
              </w:rPr>
            </w:pPr>
          </w:p>
        </w:tc>
      </w:tr>
      <w:tr w14:paraId="6219F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2B9A9DB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sz w:val="24"/>
                <w:szCs w:val="24"/>
              </w:rPr>
            </w:pPr>
            <w:r>
              <w:rPr>
                <w:rFonts w:hint="eastAsia"/>
                <w:color w:val="auto"/>
                <w:sz w:val="24"/>
                <w:szCs w:val="24"/>
              </w:rPr>
              <w:t>法定代表人（单位负责人）</w:t>
            </w:r>
          </w:p>
        </w:tc>
        <w:tc>
          <w:tcPr>
            <w:tcW w:w="5926" w:type="dxa"/>
            <w:gridSpan w:val="3"/>
            <w:tcBorders>
              <w:top w:val="nil"/>
              <w:left w:val="nil"/>
              <w:bottom w:val="nil"/>
              <w:right w:val="nil"/>
            </w:tcBorders>
            <w:vAlign w:val="center"/>
          </w:tcPr>
          <w:p w14:paraId="5830259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color w:val="auto"/>
                <w:sz w:val="24"/>
                <w:szCs w:val="24"/>
              </w:rPr>
            </w:pPr>
          </w:p>
        </w:tc>
      </w:tr>
      <w:tr w14:paraId="5138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202F6D2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sz w:val="24"/>
                <w:szCs w:val="24"/>
              </w:rPr>
            </w:pPr>
            <w:r>
              <w:rPr>
                <w:rFonts w:hint="eastAsia"/>
                <w:color w:val="auto"/>
                <w:sz w:val="24"/>
                <w:szCs w:val="24"/>
              </w:rPr>
              <w:t>或其授权的代理人（签字）：</w:t>
            </w:r>
          </w:p>
        </w:tc>
        <w:tc>
          <w:tcPr>
            <w:tcW w:w="5926" w:type="dxa"/>
            <w:gridSpan w:val="3"/>
            <w:tcBorders>
              <w:top w:val="nil"/>
              <w:left w:val="nil"/>
              <w:bottom w:val="nil"/>
              <w:right w:val="nil"/>
            </w:tcBorders>
            <w:vAlign w:val="center"/>
          </w:tcPr>
          <w:p w14:paraId="4486C01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color w:val="auto"/>
                <w:sz w:val="24"/>
                <w:szCs w:val="24"/>
              </w:rPr>
            </w:pPr>
          </w:p>
        </w:tc>
      </w:tr>
      <w:tr w14:paraId="3632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3" w:type="dxa"/>
            <w:tcBorders>
              <w:top w:val="nil"/>
              <w:left w:val="nil"/>
              <w:bottom w:val="nil"/>
              <w:right w:val="nil"/>
            </w:tcBorders>
            <w:vAlign w:val="center"/>
          </w:tcPr>
          <w:p w14:paraId="51AE896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sz w:val="24"/>
                <w:szCs w:val="24"/>
              </w:rPr>
            </w:pPr>
          </w:p>
        </w:tc>
        <w:tc>
          <w:tcPr>
            <w:tcW w:w="1730" w:type="dxa"/>
            <w:tcBorders>
              <w:top w:val="nil"/>
              <w:left w:val="nil"/>
              <w:bottom w:val="nil"/>
              <w:right w:val="nil"/>
            </w:tcBorders>
            <w:vAlign w:val="center"/>
          </w:tcPr>
          <w:p w14:paraId="5D57B20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sz w:val="24"/>
                <w:szCs w:val="24"/>
              </w:rPr>
            </w:pPr>
          </w:p>
        </w:tc>
        <w:tc>
          <w:tcPr>
            <w:tcW w:w="1345" w:type="dxa"/>
            <w:tcBorders>
              <w:top w:val="nil"/>
              <w:left w:val="nil"/>
              <w:bottom w:val="nil"/>
              <w:right w:val="nil"/>
            </w:tcBorders>
            <w:vAlign w:val="center"/>
          </w:tcPr>
          <w:p w14:paraId="560EC23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sz w:val="24"/>
                <w:szCs w:val="24"/>
              </w:rPr>
            </w:pPr>
            <w:r>
              <w:rPr>
                <w:rFonts w:hint="eastAsia"/>
                <w:color w:val="auto"/>
                <w:sz w:val="24"/>
                <w:szCs w:val="24"/>
              </w:rPr>
              <w:t>日   期：</w:t>
            </w:r>
          </w:p>
        </w:tc>
        <w:tc>
          <w:tcPr>
            <w:tcW w:w="2851" w:type="dxa"/>
            <w:tcBorders>
              <w:top w:val="nil"/>
              <w:left w:val="nil"/>
              <w:bottom w:val="nil"/>
              <w:right w:val="nil"/>
            </w:tcBorders>
            <w:vAlign w:val="center"/>
          </w:tcPr>
          <w:p w14:paraId="2D73958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sz w:val="24"/>
                <w:szCs w:val="24"/>
              </w:rPr>
            </w:pPr>
            <w:r>
              <w:rPr>
                <w:rFonts w:hint="eastAsia"/>
                <w:color w:val="auto"/>
                <w:sz w:val="24"/>
                <w:szCs w:val="24"/>
              </w:rPr>
              <w:t>年   月   日</w:t>
            </w:r>
          </w:p>
        </w:tc>
      </w:tr>
    </w:tbl>
    <w:p w14:paraId="7F697978">
      <w:pPr>
        <w:rPr>
          <w:color w:val="auto"/>
        </w:rPr>
      </w:pPr>
      <w:r>
        <w:rPr>
          <w:color w:val="auto"/>
        </w:rPr>
        <w:br w:type="page"/>
      </w:r>
    </w:p>
    <w:p w14:paraId="5406A53B">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360" w:lineRule="auto"/>
        <w:ind w:left="0" w:leftChars="0" w:firstLine="0" w:firstLineChars="0"/>
        <w:jc w:val="center"/>
        <w:textAlignment w:val="auto"/>
        <w:rPr>
          <w:rFonts w:hint="eastAsia" w:ascii="宋体" w:hAnsi="宋体" w:eastAsia="宋体" w:cs="宋体"/>
          <w:b/>
          <w:bCs/>
          <w:color w:val="auto"/>
          <w:kern w:val="2"/>
          <w:sz w:val="30"/>
          <w:szCs w:val="24"/>
          <w:lang w:val="en-US" w:eastAsia="zh-CN" w:bidi="ar-SA"/>
        </w:rPr>
      </w:pPr>
      <w:bookmarkStart w:id="107" w:name="_Toc6881"/>
      <w:bookmarkStart w:id="108" w:name="_Toc18644"/>
      <w:bookmarkStart w:id="109" w:name="_Toc1553"/>
      <w:bookmarkStart w:id="110" w:name="_Toc20918"/>
      <w:bookmarkStart w:id="111" w:name="_Toc17150"/>
      <w:r>
        <w:rPr>
          <w:rFonts w:hint="eastAsia" w:ascii="宋体" w:hAnsi="宋体" w:eastAsia="宋体" w:cs="宋体"/>
          <w:b/>
          <w:bCs/>
          <w:color w:val="auto"/>
          <w:kern w:val="2"/>
          <w:sz w:val="30"/>
          <w:szCs w:val="24"/>
          <w:lang w:val="en-US" w:eastAsia="zh-CN" w:bidi="ar-SA"/>
        </w:rPr>
        <w:t>二、授权委托书（格式）</w:t>
      </w:r>
      <w:bookmarkEnd w:id="107"/>
      <w:bookmarkEnd w:id="108"/>
      <w:bookmarkEnd w:id="109"/>
      <w:bookmarkEnd w:id="110"/>
      <w:bookmarkEnd w:id="111"/>
    </w:p>
    <w:p w14:paraId="047C122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rPr>
      </w:pPr>
      <w:r>
        <w:rPr>
          <w:rFonts w:hint="eastAsia" w:ascii="宋体" w:hAnsi="宋体" w:eastAsia="宋体" w:cs="宋体"/>
          <w:bCs/>
        </w:rPr>
        <w:t xml:space="preserve">本人 </w:t>
      </w:r>
      <w:r>
        <w:rPr>
          <w:rFonts w:hint="eastAsia" w:ascii="宋体" w:hAnsi="宋体" w:eastAsia="宋体" w:cs="宋体"/>
          <w:bCs/>
          <w:u w:val="single"/>
        </w:rPr>
        <w:t xml:space="preserve">         </w:t>
      </w:r>
      <w:r>
        <w:rPr>
          <w:rFonts w:hint="eastAsia" w:ascii="宋体" w:hAnsi="宋体" w:eastAsia="宋体" w:cs="宋体"/>
          <w:bCs/>
        </w:rPr>
        <w:t xml:space="preserve">（姓名、职务）系 </w:t>
      </w:r>
      <w:r>
        <w:rPr>
          <w:rFonts w:hint="eastAsia" w:ascii="宋体" w:hAnsi="宋体" w:eastAsia="宋体" w:cs="宋体"/>
          <w:bCs/>
          <w:u w:val="single"/>
        </w:rPr>
        <w:t xml:space="preserve">                        </w:t>
      </w:r>
      <w:r>
        <w:rPr>
          <w:rFonts w:hint="eastAsia" w:ascii="宋体" w:hAnsi="宋体" w:eastAsia="宋体" w:cs="宋体"/>
          <w:bCs/>
        </w:rPr>
        <w:t>（</w:t>
      </w:r>
      <w:r>
        <w:rPr>
          <w:rFonts w:hint="eastAsia" w:ascii="宋体" w:hAnsi="宋体" w:eastAsia="宋体" w:cs="宋体"/>
        </w:rPr>
        <w:t>供应商名称）的法定代表人（单位负责人），现授权</w:t>
      </w:r>
      <w:r>
        <w:rPr>
          <w:rFonts w:hint="eastAsia" w:ascii="宋体" w:hAnsi="宋体" w:eastAsia="宋体" w:cs="宋体"/>
          <w:u w:val="single"/>
        </w:rPr>
        <w:t xml:space="preserve">          </w:t>
      </w:r>
      <w:r>
        <w:rPr>
          <w:rFonts w:hint="eastAsia" w:ascii="宋体" w:hAnsi="宋体" w:eastAsia="宋体" w:cs="宋体"/>
        </w:rPr>
        <w:t>（姓名、职务）为我方代理人。代理人根据授权，以我方名义：（1）签署、澄清、补正、修改、撤回、提交</w:t>
      </w:r>
      <w:r>
        <w:rPr>
          <w:rFonts w:hint="eastAsia" w:ascii="宋体" w:hAnsi="宋体" w:eastAsia="宋体" w:cs="宋体"/>
          <w:u w:val="single"/>
          <w:lang w:val="en-US" w:eastAsia="zh-CN"/>
        </w:rPr>
        <w:t xml:space="preserve">              </w:t>
      </w:r>
      <w:r>
        <w:rPr>
          <w:rFonts w:hint="eastAsia" w:ascii="宋体" w:hAnsi="宋体" w:eastAsia="宋体" w:cs="宋体"/>
        </w:rPr>
        <w:t>（</w:t>
      </w:r>
      <w:r>
        <w:rPr>
          <w:rFonts w:hint="eastAsia" w:ascii="宋体" w:hAnsi="宋体" w:eastAsia="宋体" w:cs="宋体"/>
          <w:lang w:val="en-US" w:eastAsia="zh-CN"/>
        </w:rPr>
        <w:t>项目名称、采购计划编号、</w:t>
      </w:r>
      <w:r>
        <w:rPr>
          <w:rFonts w:hint="eastAsia" w:ascii="宋体" w:hAnsi="宋体" w:eastAsia="宋体" w:cs="宋体"/>
        </w:rPr>
        <w:t>委托代理编号）响应文件；（2）签署并重新提交响应文件</w:t>
      </w:r>
      <w:r>
        <w:rPr>
          <w:rFonts w:hint="eastAsia" w:ascii="宋体" w:hAnsi="宋体" w:eastAsia="宋体" w:cs="宋体"/>
          <w:lang w:val="en-US" w:eastAsia="zh-CN"/>
        </w:rPr>
        <w:t>及公开报价</w:t>
      </w:r>
      <w:r>
        <w:rPr>
          <w:rFonts w:hint="eastAsia" w:ascii="宋体" w:hAnsi="宋体" w:eastAsia="宋体" w:cs="宋体"/>
        </w:rPr>
        <w:t>；（3）退出谈判（如可能）；（4）签订合同和处理有关事宜，其法律后果由我方承担。</w:t>
      </w:r>
    </w:p>
    <w:p w14:paraId="011F2CB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rPr>
      </w:pPr>
      <w:r>
        <w:rPr>
          <w:rFonts w:hint="eastAsia" w:ascii="宋体" w:hAnsi="宋体" w:eastAsia="宋体" w:cs="宋体"/>
        </w:rPr>
        <w:t>委托期限：</w:t>
      </w:r>
      <w:r>
        <w:rPr>
          <w:rFonts w:hint="eastAsia" w:ascii="宋体" w:hAnsi="宋体" w:eastAsia="宋体" w:cs="宋体"/>
          <w:u w:val="single"/>
        </w:rPr>
        <w:t xml:space="preserve">                                      </w:t>
      </w:r>
      <w:r>
        <w:rPr>
          <w:rFonts w:hint="eastAsia" w:ascii="宋体" w:hAnsi="宋体" w:eastAsia="宋体" w:cs="宋体"/>
        </w:rPr>
        <w:t>。</w:t>
      </w:r>
    </w:p>
    <w:p w14:paraId="180F91F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rPr>
      </w:pPr>
      <w:r>
        <w:rPr>
          <w:rFonts w:hint="eastAsia" w:ascii="宋体" w:hAnsi="宋体" w:eastAsia="宋体" w:cs="宋体"/>
        </w:rPr>
        <w:t>代理人无转委托权。</w:t>
      </w:r>
    </w:p>
    <w:p w14:paraId="48110D6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r>
        <w:rPr>
          <w:rFonts w:hint="eastAsia" w:ascii="宋体" w:hAnsi="宋体" w:eastAsia="宋体" w:cs="宋体"/>
          <w:color w:val="auto"/>
        </w:rPr>
        <w:t>。</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789B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2500" w:type="pct"/>
            <w:tcBorders>
              <w:top w:val="single" w:color="auto" w:sz="4" w:space="0"/>
              <w:left w:val="single" w:color="auto" w:sz="4" w:space="0"/>
              <w:bottom w:val="single" w:color="auto" w:sz="4" w:space="0"/>
              <w:right w:val="single" w:color="auto" w:sz="4" w:space="0"/>
            </w:tcBorders>
            <w:shd w:val="clear" w:color="auto" w:fill="auto"/>
            <w:vAlign w:val="center"/>
          </w:tcPr>
          <w:p w14:paraId="337D6A51">
            <w:pPr>
              <w:adjustRightInd w:val="0"/>
              <w:snapToGrid w:val="0"/>
              <w:spacing w:before="156" w:beforeLines="50" w:line="360" w:lineRule="auto"/>
              <w:jc w:val="center"/>
              <w:rPr>
                <w:rFonts w:ascii="宋体" w:cs="Times New Roman"/>
                <w:color w:val="auto"/>
                <w:szCs w:val="21"/>
              </w:rPr>
            </w:pPr>
            <w:r>
              <w:rPr>
                <w:rFonts w:hint="eastAsia" w:ascii="宋体" w:cs="Times New Roman"/>
                <w:color w:val="auto"/>
                <w:szCs w:val="21"/>
              </w:rPr>
              <w:t>身份证（正面）</w:t>
            </w:r>
            <w:r>
              <w:rPr>
                <w:rFonts w:hint="eastAsia" w:ascii="宋体" w:cs="微软雅黑"/>
                <w:color w:val="auto"/>
                <w:spacing w:val="-2"/>
                <w:kern w:val="0"/>
                <w:szCs w:val="21"/>
              </w:rPr>
              <w:t>复</w:t>
            </w:r>
            <w:r>
              <w:rPr>
                <w:rFonts w:hint="eastAsia" w:ascii="宋体" w:cs="微软雅黑"/>
                <w:color w:val="auto"/>
                <w:kern w:val="0"/>
                <w:szCs w:val="21"/>
              </w:rPr>
              <w:t>印</w:t>
            </w:r>
            <w:r>
              <w:rPr>
                <w:rFonts w:hint="eastAsia" w:ascii="宋体" w:cs="微软雅黑"/>
                <w:color w:val="auto"/>
                <w:spacing w:val="-2"/>
                <w:kern w:val="0"/>
                <w:szCs w:val="21"/>
              </w:rPr>
              <w:t>件</w:t>
            </w:r>
          </w:p>
        </w:tc>
        <w:tc>
          <w:tcPr>
            <w:tcW w:w="2500" w:type="pct"/>
            <w:tcBorders>
              <w:top w:val="single" w:color="auto" w:sz="4" w:space="0"/>
              <w:left w:val="single" w:color="auto" w:sz="4" w:space="0"/>
              <w:bottom w:val="single" w:color="auto" w:sz="4" w:space="0"/>
              <w:right w:val="single" w:color="auto" w:sz="4" w:space="0"/>
            </w:tcBorders>
            <w:shd w:val="clear" w:color="auto" w:fill="auto"/>
            <w:vAlign w:val="center"/>
          </w:tcPr>
          <w:p w14:paraId="1D403A21">
            <w:pPr>
              <w:adjustRightInd w:val="0"/>
              <w:snapToGrid w:val="0"/>
              <w:spacing w:before="156" w:beforeLines="50" w:line="360" w:lineRule="auto"/>
              <w:jc w:val="center"/>
              <w:rPr>
                <w:rFonts w:ascii="宋体" w:cs="Times New Roman"/>
                <w:color w:val="auto"/>
                <w:szCs w:val="21"/>
              </w:rPr>
            </w:pPr>
            <w:r>
              <w:rPr>
                <w:rFonts w:hint="eastAsia" w:ascii="宋体" w:cs="Times New Roman"/>
                <w:color w:val="auto"/>
                <w:szCs w:val="21"/>
              </w:rPr>
              <w:t>身份证（反面）</w:t>
            </w:r>
            <w:r>
              <w:rPr>
                <w:rFonts w:hint="eastAsia" w:ascii="宋体" w:cs="微软雅黑"/>
                <w:color w:val="auto"/>
                <w:spacing w:val="-2"/>
                <w:kern w:val="0"/>
                <w:szCs w:val="21"/>
              </w:rPr>
              <w:t>复</w:t>
            </w:r>
            <w:r>
              <w:rPr>
                <w:rFonts w:hint="eastAsia" w:ascii="宋体" w:cs="微软雅黑"/>
                <w:color w:val="auto"/>
                <w:kern w:val="0"/>
                <w:szCs w:val="21"/>
              </w:rPr>
              <w:t>印</w:t>
            </w:r>
            <w:r>
              <w:rPr>
                <w:rFonts w:hint="eastAsia" w:ascii="宋体" w:cs="微软雅黑"/>
                <w:color w:val="auto"/>
                <w:spacing w:val="-2"/>
                <w:kern w:val="0"/>
                <w:szCs w:val="21"/>
              </w:rPr>
              <w:t>件</w:t>
            </w:r>
          </w:p>
        </w:tc>
      </w:tr>
    </w:tbl>
    <w:p w14:paraId="0A186D5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cs="Times New Roman"/>
          <w:color w:val="auto"/>
          <w:szCs w:val="21"/>
        </w:rPr>
      </w:pPr>
      <w:r>
        <w:rPr>
          <w:rFonts w:hint="eastAsia" w:ascii="宋体" w:cs="Times New Roman"/>
          <w:color w:val="auto"/>
          <w:szCs w:val="21"/>
        </w:rPr>
        <w:t>注：</w:t>
      </w:r>
      <w:r>
        <w:rPr>
          <w:rFonts w:hint="eastAsia" w:ascii="宋体" w:cs="Times New Roman"/>
          <w:color w:val="auto"/>
          <w:szCs w:val="21"/>
          <w:lang w:eastAsia="zh-CN"/>
        </w:rPr>
        <w:t>供应商</w:t>
      </w:r>
      <w:r>
        <w:rPr>
          <w:rFonts w:hint="eastAsia" w:ascii="宋体" w:cs="Times New Roman"/>
          <w:color w:val="auto"/>
          <w:szCs w:val="21"/>
        </w:rPr>
        <w:t>代表不是</w:t>
      </w:r>
      <w:r>
        <w:rPr>
          <w:rFonts w:hint="eastAsia" w:ascii="宋体" w:cs="Times New Roman"/>
          <w:color w:val="auto"/>
          <w:szCs w:val="21"/>
          <w:lang w:eastAsia="zh-CN"/>
        </w:rPr>
        <w:t>供应商</w:t>
      </w:r>
      <w:r>
        <w:rPr>
          <w:rFonts w:hint="eastAsia" w:ascii="宋体" w:cs="Times New Roman"/>
          <w:color w:val="auto"/>
          <w:szCs w:val="21"/>
        </w:rPr>
        <w:t>的法定代表人（单位负责人）的提供。</w:t>
      </w:r>
      <w:r>
        <w:rPr>
          <w:rFonts w:hint="eastAsia" w:ascii="宋体" w:cs="Times New Roman"/>
          <w:color w:val="auto"/>
          <w:szCs w:val="21"/>
          <w:lang w:eastAsia="zh-CN"/>
        </w:rPr>
        <w:t>供应商</w:t>
      </w:r>
      <w:r>
        <w:rPr>
          <w:rFonts w:hint="eastAsia" w:ascii="宋体" w:cs="Times New Roman"/>
          <w:color w:val="auto"/>
          <w:szCs w:val="21"/>
        </w:rPr>
        <w:t>为自然人的无需提供。</w:t>
      </w:r>
    </w:p>
    <w:tbl>
      <w:tblPr>
        <w:tblStyle w:val="34"/>
        <w:tblpPr w:leftFromText="180" w:rightFromText="180" w:vertAnchor="text" w:horzAnchor="page" w:tblpX="1472" w:tblpY="373"/>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96"/>
        <w:gridCol w:w="1738"/>
        <w:gridCol w:w="1226"/>
        <w:gridCol w:w="2692"/>
      </w:tblGrid>
      <w:tr w14:paraId="0C27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2129" w:type="pct"/>
            <w:tcBorders>
              <w:top w:val="nil"/>
              <w:left w:val="nil"/>
              <w:bottom w:val="nil"/>
              <w:right w:val="nil"/>
            </w:tcBorders>
            <w:vAlign w:val="center"/>
          </w:tcPr>
          <w:p w14:paraId="4C8689E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rPr>
            </w:pPr>
            <w:r>
              <w:rPr>
                <w:rFonts w:hint="eastAsia" w:ascii="宋体" w:hAnsi="宋体" w:eastAsia="宋体" w:cs="宋体"/>
                <w:color w:val="auto"/>
                <w:lang w:eastAsia="zh-CN"/>
              </w:rPr>
              <w:t>供应商</w:t>
            </w:r>
            <w:r>
              <w:rPr>
                <w:rFonts w:hint="eastAsia" w:ascii="宋体" w:hAnsi="宋体" w:eastAsia="宋体" w:cs="宋体"/>
                <w:color w:val="auto"/>
              </w:rPr>
              <w:t>名称（加盖公章）：</w:t>
            </w:r>
          </w:p>
        </w:tc>
        <w:tc>
          <w:tcPr>
            <w:tcW w:w="2870" w:type="pct"/>
            <w:gridSpan w:val="3"/>
            <w:tcBorders>
              <w:top w:val="nil"/>
              <w:left w:val="nil"/>
              <w:bottom w:val="nil"/>
              <w:right w:val="nil"/>
            </w:tcBorders>
            <w:vAlign w:val="center"/>
          </w:tcPr>
          <w:p w14:paraId="65B9FA9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color w:val="auto"/>
              </w:rPr>
            </w:pPr>
          </w:p>
        </w:tc>
      </w:tr>
      <w:tr w14:paraId="7638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pct"/>
            <w:tcBorders>
              <w:top w:val="nil"/>
              <w:left w:val="nil"/>
              <w:bottom w:val="nil"/>
              <w:right w:val="nil"/>
            </w:tcBorders>
            <w:vAlign w:val="center"/>
          </w:tcPr>
          <w:p w14:paraId="23EE8B5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rPr>
            </w:pPr>
            <w:r>
              <w:rPr>
                <w:rFonts w:hint="eastAsia" w:ascii="宋体" w:hAnsi="宋体" w:eastAsia="宋体" w:cs="宋体"/>
                <w:color w:val="auto"/>
              </w:rPr>
              <w:t>法定代表人（单位负责人）（签字）：</w:t>
            </w:r>
          </w:p>
        </w:tc>
        <w:tc>
          <w:tcPr>
            <w:tcW w:w="2870" w:type="pct"/>
            <w:gridSpan w:val="3"/>
            <w:tcBorders>
              <w:top w:val="nil"/>
              <w:left w:val="nil"/>
              <w:bottom w:val="nil"/>
              <w:right w:val="nil"/>
            </w:tcBorders>
            <w:vAlign w:val="center"/>
          </w:tcPr>
          <w:p w14:paraId="10E4BB8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color w:val="auto"/>
              </w:rPr>
            </w:pPr>
          </w:p>
        </w:tc>
      </w:tr>
      <w:tr w14:paraId="4753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pct"/>
            <w:tcBorders>
              <w:top w:val="nil"/>
              <w:left w:val="nil"/>
              <w:bottom w:val="nil"/>
              <w:right w:val="nil"/>
            </w:tcBorders>
            <w:vAlign w:val="center"/>
          </w:tcPr>
          <w:p w14:paraId="0BC6314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rPr>
            </w:pPr>
          </w:p>
        </w:tc>
        <w:tc>
          <w:tcPr>
            <w:tcW w:w="2870" w:type="pct"/>
            <w:gridSpan w:val="3"/>
            <w:tcBorders>
              <w:top w:val="nil"/>
              <w:left w:val="nil"/>
              <w:bottom w:val="nil"/>
              <w:right w:val="nil"/>
            </w:tcBorders>
            <w:vAlign w:val="center"/>
          </w:tcPr>
          <w:p w14:paraId="32C2543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color w:val="auto"/>
              </w:rPr>
            </w:pPr>
          </w:p>
        </w:tc>
      </w:tr>
      <w:tr w14:paraId="0203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9" w:type="pct"/>
            <w:tcBorders>
              <w:top w:val="nil"/>
              <w:left w:val="nil"/>
              <w:bottom w:val="nil"/>
              <w:right w:val="nil"/>
            </w:tcBorders>
            <w:vAlign w:val="center"/>
          </w:tcPr>
          <w:p w14:paraId="5614BCA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rPr>
            </w:pPr>
          </w:p>
        </w:tc>
        <w:tc>
          <w:tcPr>
            <w:tcW w:w="882" w:type="pct"/>
            <w:tcBorders>
              <w:top w:val="nil"/>
              <w:left w:val="nil"/>
              <w:bottom w:val="nil"/>
              <w:right w:val="nil"/>
            </w:tcBorders>
            <w:vAlign w:val="center"/>
          </w:tcPr>
          <w:p w14:paraId="0FBE9E5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rPr>
            </w:pPr>
          </w:p>
        </w:tc>
        <w:tc>
          <w:tcPr>
            <w:tcW w:w="622" w:type="pct"/>
            <w:tcBorders>
              <w:top w:val="nil"/>
              <w:left w:val="nil"/>
              <w:bottom w:val="nil"/>
              <w:right w:val="nil"/>
            </w:tcBorders>
            <w:vAlign w:val="center"/>
          </w:tcPr>
          <w:p w14:paraId="4A33DB3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rPr>
            </w:pPr>
            <w:r>
              <w:rPr>
                <w:rFonts w:hint="eastAsia" w:ascii="宋体" w:hAnsi="宋体" w:eastAsia="宋体" w:cs="宋体"/>
                <w:color w:val="auto"/>
              </w:rPr>
              <w:t>日期：</w:t>
            </w:r>
          </w:p>
        </w:tc>
        <w:tc>
          <w:tcPr>
            <w:tcW w:w="1366" w:type="pct"/>
            <w:tcBorders>
              <w:top w:val="nil"/>
              <w:left w:val="nil"/>
              <w:bottom w:val="nil"/>
              <w:right w:val="nil"/>
            </w:tcBorders>
            <w:vAlign w:val="center"/>
          </w:tcPr>
          <w:p w14:paraId="6A7CE36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0" w:firstLineChars="0"/>
              <w:jc w:val="both"/>
              <w:textAlignment w:val="auto"/>
              <w:rPr>
                <w:rFonts w:hint="eastAsia" w:ascii="宋体" w:hAnsi="宋体" w:eastAsia="宋体" w:cs="宋体"/>
                <w:color w:val="auto"/>
              </w:rPr>
            </w:pPr>
            <w:r>
              <w:rPr>
                <w:rFonts w:hint="eastAsia" w:ascii="宋体" w:hAnsi="宋体" w:eastAsia="宋体" w:cs="宋体"/>
                <w:color w:val="auto"/>
              </w:rPr>
              <w:t>年   月   日</w:t>
            </w:r>
          </w:p>
        </w:tc>
      </w:tr>
    </w:tbl>
    <w:p w14:paraId="5061910B">
      <w:pPr>
        <w:pStyle w:val="5"/>
        <w:tabs>
          <w:tab w:val="left" w:pos="0"/>
        </w:tabs>
        <w:spacing w:before="156" w:after="156"/>
        <w:ind w:firstLine="480"/>
        <w:rPr>
          <w:color w:val="auto"/>
        </w:rPr>
        <w:sectPr>
          <w:pgSz w:w="11906" w:h="16838"/>
          <w:pgMar w:top="1134" w:right="1134" w:bottom="1134" w:left="1134" w:header="850" w:footer="624" w:gutter="0"/>
          <w:pgBorders>
            <w:top w:val="none" w:sz="0" w:space="0"/>
            <w:left w:val="none" w:sz="0" w:space="0"/>
            <w:bottom w:val="none" w:sz="0" w:space="0"/>
            <w:right w:val="none" w:sz="0" w:space="0"/>
          </w:pgBorders>
          <w:pgNumType w:fmt="decimal"/>
          <w:cols w:space="0" w:num="1"/>
          <w:docGrid w:type="lines" w:linePitch="312" w:charSpace="0"/>
        </w:sectPr>
      </w:pPr>
    </w:p>
    <w:p w14:paraId="10D89989">
      <w:pPr>
        <w:pStyle w:val="5"/>
        <w:keepNext/>
        <w:keepLines/>
        <w:pageBreakBefore w:val="0"/>
        <w:widowControl w:val="0"/>
        <w:tabs>
          <w:tab w:val="left" w:pos="0"/>
        </w:tabs>
        <w:kinsoku/>
        <w:wordWrap/>
        <w:overflowPunct/>
        <w:topLinePunct w:val="0"/>
        <w:autoSpaceDE/>
        <w:autoSpaceDN/>
        <w:bidi w:val="0"/>
        <w:adjustRightInd/>
        <w:snapToGrid/>
        <w:spacing w:before="0" w:after="0" w:line="360" w:lineRule="auto"/>
        <w:ind w:firstLine="0" w:firstLineChars="0"/>
        <w:textAlignment w:val="auto"/>
        <w:rPr>
          <w:rFonts w:hint="eastAsia" w:ascii="黑体" w:hAnsi="黑体" w:eastAsia="黑体" w:cs="黑体"/>
          <w:b w:val="0"/>
          <w:bCs/>
          <w:color w:val="auto"/>
        </w:rPr>
      </w:pPr>
      <w:r>
        <w:rPr>
          <w:rFonts w:hint="eastAsia" w:ascii="黑体" w:hAnsi="黑体" w:eastAsia="黑体" w:cs="黑体"/>
          <w:b w:val="0"/>
          <w:bCs/>
          <w:color w:val="auto"/>
        </w:rPr>
        <w:t>附件2-1法定代表人（单位负责人）身份证明（格式）</w:t>
      </w:r>
    </w:p>
    <w:p w14:paraId="38905DB2">
      <w:pPr>
        <w:rPr>
          <w:rFonts w:hint="eastAsia"/>
        </w:rPr>
      </w:pPr>
    </w:p>
    <w:p w14:paraId="67A6FEE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32"/>
          <w:szCs w:val="28"/>
        </w:rPr>
      </w:pPr>
      <w:r>
        <w:rPr>
          <w:rFonts w:hint="eastAsia" w:ascii="宋体" w:hAnsi="宋体" w:eastAsia="宋体" w:cs="宋体"/>
          <w:b/>
          <w:bCs/>
          <w:color w:val="auto"/>
          <w:sz w:val="32"/>
          <w:szCs w:val="28"/>
        </w:rPr>
        <w:t>法定代表人（单位负责人）身份证明（格式）</w:t>
      </w:r>
    </w:p>
    <w:p w14:paraId="0308089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32"/>
          <w:szCs w:val="28"/>
        </w:rPr>
      </w:pPr>
    </w:p>
    <w:p w14:paraId="70F2F90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color w:val="auto"/>
          <w:u w:val="single"/>
        </w:rPr>
      </w:pPr>
      <w:r>
        <w:rPr>
          <w:rFonts w:hint="eastAsia"/>
          <w:color w:val="auto"/>
          <w:lang w:eastAsia="zh-CN"/>
        </w:rPr>
        <w:t>供应商</w:t>
      </w:r>
      <w:r>
        <w:rPr>
          <w:rFonts w:hint="eastAsia"/>
          <w:color w:val="auto"/>
        </w:rPr>
        <w:t>名称：</w:t>
      </w:r>
    </w:p>
    <w:p w14:paraId="7CD5638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color w:val="auto"/>
          <w:u w:val="single"/>
        </w:rPr>
      </w:pPr>
      <w:r>
        <w:rPr>
          <w:rFonts w:hint="eastAsia"/>
          <w:color w:val="auto"/>
        </w:rPr>
        <w:t>统一社会信用代码：</w:t>
      </w:r>
    </w:p>
    <w:p w14:paraId="2940E8F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color w:val="auto"/>
          <w:u w:val="single"/>
        </w:rPr>
      </w:pPr>
      <w:r>
        <w:rPr>
          <w:rFonts w:hint="eastAsia"/>
          <w:color w:val="auto"/>
        </w:rPr>
        <w:t>注册地址：</w:t>
      </w:r>
    </w:p>
    <w:p w14:paraId="0732FE7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color w:val="auto"/>
        </w:rPr>
      </w:pPr>
      <w:r>
        <w:rPr>
          <w:rFonts w:hint="eastAsia"/>
          <w:color w:val="auto"/>
        </w:rPr>
        <w:t>姓名：</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r>
        <w:rPr>
          <w:rFonts w:hint="eastAsia"/>
          <w:color w:val="auto"/>
          <w:u w:val="none"/>
        </w:rPr>
        <w:t>：</w:t>
      </w:r>
      <w:r>
        <w:rPr>
          <w:rFonts w:hint="eastAsia"/>
          <w:color w:val="auto"/>
          <w:u w:val="single"/>
        </w:rPr>
        <w:t xml:space="preserve">     </w:t>
      </w:r>
      <w:r>
        <w:rPr>
          <w:rFonts w:hint="eastAsia"/>
          <w:color w:val="auto"/>
        </w:rPr>
        <w:t>职务：</w:t>
      </w:r>
      <w:r>
        <w:rPr>
          <w:rFonts w:hint="eastAsia"/>
          <w:color w:val="auto"/>
          <w:u w:val="single"/>
        </w:rPr>
        <w:t xml:space="preserve">     </w:t>
      </w:r>
      <w:r>
        <w:rPr>
          <w:rFonts w:hint="eastAsia"/>
          <w:color w:val="auto"/>
        </w:rPr>
        <w:t>系</w:t>
      </w:r>
      <w:r>
        <w:rPr>
          <w:rFonts w:hint="eastAsia"/>
          <w:color w:val="auto"/>
          <w:u w:val="single"/>
        </w:rPr>
        <w:t>（</w:t>
      </w:r>
      <w:r>
        <w:rPr>
          <w:rFonts w:hint="eastAsia"/>
          <w:color w:val="auto"/>
          <w:u w:val="single"/>
          <w:lang w:eastAsia="zh-CN"/>
        </w:rPr>
        <w:t>供应商</w:t>
      </w:r>
      <w:r>
        <w:rPr>
          <w:rFonts w:hint="eastAsia"/>
          <w:color w:val="auto"/>
          <w:u w:val="single"/>
        </w:rPr>
        <w:t>名称）</w:t>
      </w:r>
      <w:r>
        <w:rPr>
          <w:rFonts w:hint="eastAsia"/>
          <w:color w:val="auto"/>
        </w:rPr>
        <w:t>的法定代表人（单位负责人）。</w:t>
      </w:r>
    </w:p>
    <w:p w14:paraId="182A400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color w:val="auto"/>
        </w:rPr>
      </w:pPr>
      <w:r>
        <w:rPr>
          <w:rFonts w:hint="eastAsia"/>
          <w:color w:val="auto"/>
        </w:rPr>
        <w:t>特此证明。</w:t>
      </w:r>
    </w:p>
    <w:p w14:paraId="71BB1D2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color w:val="auto"/>
        </w:rPr>
      </w:pPr>
      <w:r>
        <w:rPr>
          <w:rFonts w:hint="eastAsia"/>
          <w:color w:val="auto"/>
        </w:rPr>
        <w:t>附：法定代表人（单位负责人）身份证复印件。</w:t>
      </w:r>
    </w:p>
    <w:tbl>
      <w:tblPr>
        <w:tblStyle w:val="3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5"/>
        <w:gridCol w:w="4927"/>
      </w:tblGrid>
      <w:tr w14:paraId="0082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trPr>
        <w:tc>
          <w:tcPr>
            <w:tcW w:w="2499" w:type="pct"/>
            <w:tcBorders>
              <w:top w:val="single" w:color="auto" w:sz="4" w:space="0"/>
              <w:left w:val="single" w:color="auto" w:sz="4" w:space="0"/>
              <w:bottom w:val="single" w:color="auto" w:sz="4" w:space="0"/>
              <w:right w:val="single" w:color="auto" w:sz="4" w:space="0"/>
            </w:tcBorders>
            <w:shd w:val="clear" w:color="auto" w:fill="auto"/>
            <w:vAlign w:val="center"/>
          </w:tcPr>
          <w:p w14:paraId="0FE497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cs="Times New Roman"/>
                <w:color w:val="auto"/>
                <w:sz w:val="24"/>
                <w:szCs w:val="24"/>
              </w:rPr>
            </w:pPr>
            <w:r>
              <w:rPr>
                <w:rFonts w:hint="eastAsia" w:ascii="宋体" w:cs="Times New Roman"/>
                <w:color w:val="auto"/>
                <w:sz w:val="24"/>
                <w:szCs w:val="24"/>
              </w:rPr>
              <w:t>身份证（正面）</w:t>
            </w:r>
            <w:r>
              <w:rPr>
                <w:rFonts w:hint="eastAsia" w:ascii="宋体" w:cs="微软雅黑"/>
                <w:color w:val="auto"/>
                <w:spacing w:val="-2"/>
                <w:kern w:val="0"/>
                <w:sz w:val="24"/>
                <w:szCs w:val="24"/>
              </w:rPr>
              <w:t>复</w:t>
            </w:r>
            <w:r>
              <w:rPr>
                <w:rFonts w:hint="eastAsia" w:ascii="宋体" w:cs="微软雅黑"/>
                <w:color w:val="auto"/>
                <w:kern w:val="0"/>
                <w:sz w:val="24"/>
                <w:szCs w:val="24"/>
              </w:rPr>
              <w:t>印</w:t>
            </w:r>
            <w:r>
              <w:rPr>
                <w:rFonts w:hint="eastAsia" w:ascii="宋体" w:cs="微软雅黑"/>
                <w:color w:val="auto"/>
                <w:spacing w:val="-2"/>
                <w:kern w:val="0"/>
                <w:sz w:val="24"/>
                <w:szCs w:val="24"/>
              </w:rPr>
              <w:t>件</w:t>
            </w:r>
          </w:p>
        </w:tc>
        <w:tc>
          <w:tcPr>
            <w:tcW w:w="2500" w:type="pct"/>
            <w:tcBorders>
              <w:top w:val="single" w:color="auto" w:sz="4" w:space="0"/>
              <w:left w:val="single" w:color="auto" w:sz="4" w:space="0"/>
              <w:bottom w:val="single" w:color="auto" w:sz="4" w:space="0"/>
              <w:right w:val="single" w:color="auto" w:sz="4" w:space="0"/>
            </w:tcBorders>
            <w:shd w:val="clear" w:color="auto" w:fill="auto"/>
            <w:vAlign w:val="center"/>
          </w:tcPr>
          <w:p w14:paraId="4C5AE5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cs="Times New Roman"/>
                <w:color w:val="auto"/>
                <w:sz w:val="24"/>
                <w:szCs w:val="24"/>
              </w:rPr>
            </w:pPr>
            <w:r>
              <w:rPr>
                <w:rFonts w:hint="eastAsia" w:ascii="宋体" w:cs="Times New Roman"/>
                <w:color w:val="auto"/>
                <w:sz w:val="24"/>
                <w:szCs w:val="24"/>
              </w:rPr>
              <w:t>身份证（反面）</w:t>
            </w:r>
            <w:r>
              <w:rPr>
                <w:rFonts w:hint="eastAsia" w:ascii="宋体" w:cs="微软雅黑"/>
                <w:color w:val="auto"/>
                <w:spacing w:val="-2"/>
                <w:kern w:val="0"/>
                <w:sz w:val="24"/>
                <w:szCs w:val="24"/>
              </w:rPr>
              <w:t>复</w:t>
            </w:r>
            <w:r>
              <w:rPr>
                <w:rFonts w:hint="eastAsia" w:ascii="宋体" w:cs="微软雅黑"/>
                <w:color w:val="auto"/>
                <w:kern w:val="0"/>
                <w:sz w:val="24"/>
                <w:szCs w:val="24"/>
              </w:rPr>
              <w:t>印</w:t>
            </w:r>
            <w:r>
              <w:rPr>
                <w:rFonts w:hint="eastAsia" w:ascii="宋体" w:cs="微软雅黑"/>
                <w:color w:val="auto"/>
                <w:spacing w:val="-2"/>
                <w:kern w:val="0"/>
                <w:sz w:val="24"/>
                <w:szCs w:val="24"/>
              </w:rPr>
              <w:t>件</w:t>
            </w:r>
          </w:p>
        </w:tc>
      </w:tr>
    </w:tbl>
    <w:p w14:paraId="1C372BDE">
      <w:pPr>
        <w:adjustRightInd w:val="0"/>
        <w:snapToGrid w:val="0"/>
        <w:spacing w:before="156" w:beforeLines="50" w:line="360" w:lineRule="auto"/>
        <w:rPr>
          <w:rFonts w:ascii="宋体" w:cs="Times New Roman"/>
          <w:color w:val="auto"/>
          <w:szCs w:val="21"/>
        </w:rPr>
      </w:pPr>
      <w:r>
        <w:rPr>
          <w:rFonts w:hint="eastAsia" w:ascii="宋体" w:cs="Times New Roman"/>
          <w:color w:val="auto"/>
          <w:szCs w:val="21"/>
        </w:rPr>
        <w:t>注：</w:t>
      </w:r>
      <w:r>
        <w:rPr>
          <w:rFonts w:hint="eastAsia" w:ascii="宋体" w:cs="Times New Roman"/>
          <w:color w:val="auto"/>
          <w:szCs w:val="21"/>
          <w:lang w:eastAsia="zh-CN"/>
        </w:rPr>
        <w:t>供应商</w:t>
      </w:r>
      <w:r>
        <w:rPr>
          <w:rFonts w:hint="eastAsia" w:ascii="宋体" w:cs="Times New Roman"/>
          <w:color w:val="auto"/>
          <w:szCs w:val="21"/>
        </w:rPr>
        <w:t>代表为法定代表人（单位负责人）的提供。</w:t>
      </w:r>
      <w:r>
        <w:rPr>
          <w:rFonts w:hint="eastAsia" w:ascii="宋体" w:cs="Times New Roman"/>
          <w:color w:val="auto"/>
          <w:szCs w:val="21"/>
          <w:lang w:eastAsia="zh-CN"/>
        </w:rPr>
        <w:t>供应商</w:t>
      </w:r>
      <w:r>
        <w:rPr>
          <w:rFonts w:hint="eastAsia" w:ascii="宋体" w:cs="Times New Roman"/>
          <w:color w:val="auto"/>
          <w:szCs w:val="21"/>
        </w:rPr>
        <w:t>为自然人的无需提供。</w:t>
      </w:r>
    </w:p>
    <w:tbl>
      <w:tblPr>
        <w:tblStyle w:val="34"/>
        <w:tblpPr w:leftFromText="180" w:rightFromText="180" w:vertAnchor="text" w:horzAnchor="page" w:tblpX="1217" w:tblpY="499"/>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8"/>
        <w:gridCol w:w="2039"/>
        <w:gridCol w:w="1185"/>
        <w:gridCol w:w="2602"/>
      </w:tblGrid>
      <w:tr w14:paraId="102D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698" w:type="dxa"/>
            <w:tcBorders>
              <w:top w:val="nil"/>
              <w:left w:val="nil"/>
              <w:bottom w:val="nil"/>
              <w:right w:val="nil"/>
            </w:tcBorders>
            <w:vAlign w:val="center"/>
          </w:tcPr>
          <w:p w14:paraId="055511BA">
            <w:pPr>
              <w:pStyle w:val="44"/>
              <w:spacing w:before="156" w:line="240" w:lineRule="auto"/>
              <w:ind w:firstLine="0" w:firstLineChars="0"/>
              <w:jc w:val="distribute"/>
              <w:rPr>
                <w:color w:val="auto"/>
              </w:rPr>
            </w:pPr>
            <w:r>
              <w:rPr>
                <w:rFonts w:hint="eastAsia"/>
                <w:color w:val="auto"/>
                <w:lang w:eastAsia="zh-CN"/>
              </w:rPr>
              <w:t>供应商</w:t>
            </w:r>
            <w:r>
              <w:rPr>
                <w:rFonts w:hint="eastAsia"/>
                <w:color w:val="auto"/>
              </w:rPr>
              <w:t>名称（加盖公章）：</w:t>
            </w:r>
          </w:p>
        </w:tc>
        <w:tc>
          <w:tcPr>
            <w:tcW w:w="5826" w:type="dxa"/>
            <w:gridSpan w:val="3"/>
            <w:tcBorders>
              <w:top w:val="nil"/>
              <w:left w:val="nil"/>
              <w:bottom w:val="nil"/>
              <w:right w:val="nil"/>
            </w:tcBorders>
            <w:vAlign w:val="center"/>
          </w:tcPr>
          <w:p w14:paraId="2CCD33B3">
            <w:pPr>
              <w:pStyle w:val="44"/>
              <w:spacing w:before="156" w:line="540" w:lineRule="exact"/>
              <w:ind w:firstLine="480"/>
              <w:jc w:val="center"/>
              <w:rPr>
                <w:color w:val="auto"/>
              </w:rPr>
            </w:pPr>
          </w:p>
        </w:tc>
      </w:tr>
      <w:tr w14:paraId="7F24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8" w:type="dxa"/>
            <w:tcBorders>
              <w:top w:val="nil"/>
              <w:left w:val="nil"/>
              <w:bottom w:val="nil"/>
              <w:right w:val="nil"/>
            </w:tcBorders>
            <w:vAlign w:val="center"/>
          </w:tcPr>
          <w:p w14:paraId="19A09136">
            <w:pPr>
              <w:pStyle w:val="44"/>
              <w:spacing w:before="156" w:line="540" w:lineRule="exact"/>
              <w:ind w:firstLine="0" w:firstLineChars="0"/>
              <w:rPr>
                <w:color w:val="auto"/>
              </w:rPr>
            </w:pPr>
          </w:p>
        </w:tc>
        <w:tc>
          <w:tcPr>
            <w:tcW w:w="2039" w:type="dxa"/>
            <w:tcBorders>
              <w:top w:val="nil"/>
              <w:left w:val="nil"/>
              <w:bottom w:val="nil"/>
              <w:right w:val="nil"/>
            </w:tcBorders>
            <w:vAlign w:val="center"/>
          </w:tcPr>
          <w:p w14:paraId="01F2FC59">
            <w:pPr>
              <w:pStyle w:val="44"/>
              <w:spacing w:before="156" w:line="540" w:lineRule="exact"/>
              <w:ind w:firstLine="0" w:firstLineChars="0"/>
              <w:jc w:val="center"/>
              <w:rPr>
                <w:color w:val="auto"/>
              </w:rPr>
            </w:pPr>
          </w:p>
        </w:tc>
        <w:tc>
          <w:tcPr>
            <w:tcW w:w="1185" w:type="dxa"/>
            <w:tcBorders>
              <w:top w:val="nil"/>
              <w:left w:val="nil"/>
              <w:bottom w:val="nil"/>
              <w:right w:val="nil"/>
            </w:tcBorders>
            <w:vAlign w:val="center"/>
          </w:tcPr>
          <w:p w14:paraId="3AB5C6C8">
            <w:pPr>
              <w:pStyle w:val="44"/>
              <w:spacing w:before="156" w:line="240" w:lineRule="auto"/>
              <w:ind w:firstLine="0" w:firstLineChars="0"/>
              <w:jc w:val="distribute"/>
              <w:rPr>
                <w:color w:val="auto"/>
              </w:rPr>
            </w:pPr>
            <w:r>
              <w:rPr>
                <w:rFonts w:hint="eastAsia"/>
                <w:color w:val="auto"/>
              </w:rPr>
              <w:t>日期：</w:t>
            </w:r>
          </w:p>
        </w:tc>
        <w:tc>
          <w:tcPr>
            <w:tcW w:w="2602" w:type="dxa"/>
            <w:tcBorders>
              <w:top w:val="nil"/>
              <w:left w:val="nil"/>
              <w:bottom w:val="nil"/>
              <w:right w:val="nil"/>
            </w:tcBorders>
            <w:vAlign w:val="center"/>
          </w:tcPr>
          <w:p w14:paraId="6BBB40AB">
            <w:pPr>
              <w:pStyle w:val="44"/>
              <w:spacing w:before="156" w:line="240" w:lineRule="auto"/>
              <w:ind w:firstLine="0" w:firstLineChars="0"/>
              <w:jc w:val="center"/>
              <w:rPr>
                <w:color w:val="auto"/>
              </w:rPr>
            </w:pPr>
            <w:r>
              <w:rPr>
                <w:rFonts w:hint="eastAsia"/>
                <w:color w:val="auto"/>
              </w:rPr>
              <w:t>年   月   日</w:t>
            </w:r>
          </w:p>
        </w:tc>
      </w:tr>
    </w:tbl>
    <w:p w14:paraId="09F1D21C">
      <w:pPr>
        <w:rPr>
          <w:color w:val="auto"/>
        </w:rPr>
      </w:pPr>
      <w:r>
        <w:rPr>
          <w:rFonts w:hint="eastAsia"/>
          <w:color w:val="auto"/>
        </w:rPr>
        <w:br w:type="page"/>
      </w:r>
    </w:p>
    <w:p w14:paraId="22EC5596">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360" w:lineRule="auto"/>
        <w:ind w:left="0" w:leftChars="0" w:firstLine="0" w:firstLineChars="0"/>
        <w:jc w:val="center"/>
        <w:textAlignment w:val="auto"/>
        <w:rPr>
          <w:rFonts w:hint="eastAsia" w:ascii="宋体" w:hAnsi="宋体" w:eastAsia="宋体" w:cs="宋体"/>
          <w:b/>
          <w:bCs/>
          <w:color w:val="auto"/>
        </w:rPr>
      </w:pPr>
      <w:bookmarkStart w:id="112" w:name="_Toc5852"/>
      <w:bookmarkStart w:id="113" w:name="_Toc22863"/>
      <w:bookmarkStart w:id="114" w:name="_Toc15164"/>
      <w:bookmarkStart w:id="115" w:name="_Toc26517"/>
      <w:bookmarkStart w:id="116" w:name="_Toc30932"/>
      <w:r>
        <w:rPr>
          <w:rFonts w:hint="eastAsia" w:ascii="宋体" w:hAnsi="宋体" w:eastAsia="宋体" w:cs="宋体"/>
          <w:b/>
          <w:bCs/>
          <w:color w:val="auto"/>
          <w:kern w:val="2"/>
          <w:sz w:val="30"/>
          <w:szCs w:val="24"/>
          <w:lang w:val="en-US" w:eastAsia="zh-CN" w:bidi="ar-SA"/>
        </w:rPr>
        <w:t>三、</w:t>
      </w:r>
      <w:r>
        <w:rPr>
          <w:rFonts w:hint="eastAsia" w:ascii="宋体" w:hAnsi="宋体" w:eastAsia="宋体" w:cs="宋体"/>
          <w:b/>
          <w:bCs/>
          <w:color w:val="auto"/>
          <w:lang w:eastAsia="zh-CN"/>
        </w:rPr>
        <w:t>供应商</w:t>
      </w:r>
      <w:r>
        <w:rPr>
          <w:rFonts w:hint="eastAsia" w:ascii="宋体" w:hAnsi="宋体" w:eastAsia="宋体" w:cs="宋体"/>
          <w:b/>
          <w:bCs/>
          <w:color w:val="auto"/>
        </w:rPr>
        <w:t>的资格证明资料</w:t>
      </w:r>
      <w:bookmarkEnd w:id="112"/>
      <w:bookmarkEnd w:id="113"/>
      <w:bookmarkEnd w:id="114"/>
      <w:bookmarkEnd w:id="115"/>
      <w:bookmarkEnd w:id="116"/>
    </w:p>
    <w:p w14:paraId="5661BB32">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附件3-1</w:t>
      </w:r>
      <w:r>
        <w:rPr>
          <w:rFonts w:hint="eastAsia" w:ascii="黑体" w:hAnsi="黑体" w:eastAsia="黑体" w:cs="黑体"/>
          <w:color w:val="auto"/>
          <w:lang w:eastAsia="zh-CN"/>
        </w:rPr>
        <w:t>供应商</w:t>
      </w:r>
      <w:r>
        <w:rPr>
          <w:rFonts w:hint="eastAsia" w:ascii="黑体" w:hAnsi="黑体" w:eastAsia="黑体" w:cs="黑体"/>
          <w:color w:val="auto"/>
        </w:rPr>
        <w:t>基本情况表</w:t>
      </w:r>
    </w:p>
    <w:p w14:paraId="2E3E80C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32"/>
          <w:szCs w:val="28"/>
        </w:rPr>
      </w:pPr>
      <w:r>
        <w:rPr>
          <w:rFonts w:hint="eastAsia" w:ascii="宋体" w:hAnsi="宋体" w:eastAsia="宋体" w:cs="宋体"/>
          <w:b/>
          <w:bCs/>
          <w:color w:val="auto"/>
          <w:sz w:val="32"/>
          <w:szCs w:val="28"/>
          <w:lang w:eastAsia="zh-CN"/>
        </w:rPr>
        <w:t>供应商</w:t>
      </w:r>
      <w:r>
        <w:rPr>
          <w:rFonts w:hint="eastAsia" w:ascii="宋体" w:hAnsi="宋体" w:eastAsia="宋体" w:cs="宋体"/>
          <w:b/>
          <w:bCs/>
          <w:color w:val="auto"/>
          <w:sz w:val="32"/>
          <w:szCs w:val="28"/>
        </w:rPr>
        <w:t>基本情况表</w:t>
      </w:r>
    </w:p>
    <w:p w14:paraId="7CD1BA7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cs="Times New Roman"/>
          <w:color w:val="auto"/>
        </w:rPr>
      </w:pPr>
      <w:r>
        <w:rPr>
          <w:rFonts w:hint="eastAsia" w:ascii="宋体" w:cs="Times New Roman"/>
          <w:color w:val="auto"/>
        </w:rPr>
        <w:t>盖</w:t>
      </w:r>
      <w:r>
        <w:rPr>
          <w:rFonts w:hint="eastAsia" w:ascii="宋体" w:cs="Times New Roman"/>
          <w:color w:val="auto"/>
          <w:lang w:eastAsia="zh-CN"/>
        </w:rPr>
        <w:t>供应商</w:t>
      </w:r>
      <w:r>
        <w:rPr>
          <w:rFonts w:hint="eastAsia" w:ascii="宋体" w:cs="Times New Roman"/>
          <w:color w:val="auto"/>
        </w:rPr>
        <w:t>单位章</w:t>
      </w:r>
    </w:p>
    <w:tbl>
      <w:tblPr>
        <w:tblStyle w:val="33"/>
        <w:tblW w:w="499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163"/>
        <w:gridCol w:w="278"/>
        <w:gridCol w:w="1596"/>
        <w:gridCol w:w="1251"/>
        <w:gridCol w:w="853"/>
        <w:gridCol w:w="37"/>
        <w:gridCol w:w="843"/>
        <w:gridCol w:w="394"/>
        <w:gridCol w:w="106"/>
        <w:gridCol w:w="3329"/>
      </w:tblGrid>
      <w:tr w14:paraId="6220B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731" w:type="pct"/>
            <w:gridSpan w:val="2"/>
            <w:tcBorders>
              <w:top w:val="double" w:color="auto" w:sz="4" w:space="0"/>
              <w:left w:val="double" w:color="auto" w:sz="4" w:space="0"/>
              <w:bottom w:val="single" w:color="auto" w:sz="6" w:space="0"/>
              <w:right w:val="single" w:color="auto" w:sz="6" w:space="0"/>
            </w:tcBorders>
            <w:vAlign w:val="center"/>
          </w:tcPr>
          <w:p w14:paraId="653B938C">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w:t>
            </w:r>
          </w:p>
        </w:tc>
        <w:tc>
          <w:tcPr>
            <w:tcW w:w="1897" w:type="pct"/>
            <w:gridSpan w:val="4"/>
            <w:tcBorders>
              <w:top w:val="double" w:color="auto" w:sz="4" w:space="0"/>
              <w:left w:val="single" w:color="auto" w:sz="6" w:space="0"/>
              <w:bottom w:val="single" w:color="auto" w:sz="6" w:space="0"/>
              <w:right w:val="single" w:color="auto" w:sz="6" w:space="0"/>
            </w:tcBorders>
            <w:vAlign w:val="center"/>
          </w:tcPr>
          <w:p w14:paraId="5CAD9874">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628" w:type="pct"/>
            <w:gridSpan w:val="2"/>
            <w:tcBorders>
              <w:top w:val="double" w:color="auto" w:sz="4" w:space="0"/>
              <w:left w:val="single" w:color="auto" w:sz="6" w:space="0"/>
              <w:bottom w:val="single" w:color="auto" w:sz="6" w:space="0"/>
              <w:right w:val="single" w:color="auto" w:sz="6" w:space="0"/>
            </w:tcBorders>
            <w:vAlign w:val="center"/>
          </w:tcPr>
          <w:p w14:paraId="107E4339">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1742" w:type="pct"/>
            <w:gridSpan w:val="2"/>
            <w:tcBorders>
              <w:top w:val="double" w:color="auto" w:sz="4" w:space="0"/>
              <w:left w:val="single" w:color="auto" w:sz="6" w:space="0"/>
              <w:bottom w:val="single" w:color="auto" w:sz="6" w:space="0"/>
              <w:right w:val="double" w:color="auto" w:sz="4" w:space="0"/>
            </w:tcBorders>
            <w:vAlign w:val="center"/>
          </w:tcPr>
          <w:p w14:paraId="20C520C6">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124D24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31" w:type="pct"/>
            <w:gridSpan w:val="2"/>
            <w:vMerge w:val="restart"/>
            <w:tcBorders>
              <w:top w:val="single" w:color="auto" w:sz="6" w:space="0"/>
              <w:left w:val="double" w:color="auto" w:sz="4" w:space="0"/>
              <w:bottom w:val="single" w:color="auto" w:sz="6" w:space="0"/>
              <w:right w:val="single" w:color="auto" w:sz="6" w:space="0"/>
            </w:tcBorders>
            <w:vAlign w:val="center"/>
          </w:tcPr>
          <w:p w14:paraId="58BFA339">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联系方式</w:t>
            </w:r>
          </w:p>
        </w:tc>
        <w:tc>
          <w:tcPr>
            <w:tcW w:w="809" w:type="pct"/>
            <w:tcBorders>
              <w:top w:val="single" w:color="auto" w:sz="6" w:space="0"/>
              <w:left w:val="single" w:color="auto" w:sz="6" w:space="0"/>
              <w:bottom w:val="single" w:color="auto" w:sz="6" w:space="0"/>
              <w:right w:val="single" w:color="auto" w:sz="6" w:space="0"/>
            </w:tcBorders>
            <w:vAlign w:val="center"/>
          </w:tcPr>
          <w:p w14:paraId="1AB5C146">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1087" w:type="pct"/>
            <w:gridSpan w:val="3"/>
            <w:tcBorders>
              <w:top w:val="single" w:color="auto" w:sz="6" w:space="0"/>
              <w:left w:val="single" w:color="auto" w:sz="6" w:space="0"/>
              <w:bottom w:val="single" w:color="auto" w:sz="6" w:space="0"/>
              <w:right w:val="single" w:color="auto" w:sz="6" w:space="0"/>
            </w:tcBorders>
            <w:vAlign w:val="center"/>
          </w:tcPr>
          <w:p w14:paraId="64F75CDA">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628" w:type="pct"/>
            <w:gridSpan w:val="2"/>
            <w:tcBorders>
              <w:top w:val="single" w:color="auto" w:sz="6" w:space="0"/>
              <w:left w:val="single" w:color="auto" w:sz="6" w:space="0"/>
              <w:bottom w:val="single" w:color="auto" w:sz="6" w:space="0"/>
              <w:right w:val="single" w:color="auto" w:sz="6" w:space="0"/>
            </w:tcBorders>
            <w:vAlign w:val="center"/>
          </w:tcPr>
          <w:p w14:paraId="5A0A36DD">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1742" w:type="pct"/>
            <w:gridSpan w:val="2"/>
            <w:tcBorders>
              <w:top w:val="single" w:color="auto" w:sz="6" w:space="0"/>
              <w:left w:val="single" w:color="auto" w:sz="6" w:space="0"/>
              <w:bottom w:val="single" w:color="auto" w:sz="6" w:space="0"/>
              <w:right w:val="double" w:color="auto" w:sz="4" w:space="0"/>
            </w:tcBorders>
            <w:vAlign w:val="center"/>
          </w:tcPr>
          <w:p w14:paraId="7798240B">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38D2D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31" w:type="pct"/>
            <w:gridSpan w:val="2"/>
            <w:vMerge w:val="continue"/>
            <w:tcBorders>
              <w:top w:val="single" w:color="auto" w:sz="6" w:space="0"/>
              <w:left w:val="double" w:color="auto" w:sz="4" w:space="0"/>
              <w:bottom w:val="single" w:color="auto" w:sz="6" w:space="0"/>
              <w:right w:val="single" w:color="auto" w:sz="6" w:space="0"/>
            </w:tcBorders>
            <w:vAlign w:val="center"/>
          </w:tcPr>
          <w:p w14:paraId="6F013958">
            <w:pPr>
              <w:keepNext w:val="0"/>
              <w:keepLines w:val="0"/>
              <w:pageBreakBefore w:val="0"/>
              <w:widowControl w:val="0"/>
              <w:kinsoku/>
              <w:wordWrap/>
              <w:overflowPunct/>
              <w:autoSpaceDE/>
              <w:autoSpaceDN/>
              <w:bidi w:val="0"/>
              <w:spacing w:line="240" w:lineRule="auto"/>
              <w:jc w:val="center"/>
              <w:textAlignment w:val="auto"/>
              <w:rPr>
                <w:rFonts w:hint="eastAsia" w:ascii="宋体" w:hAnsi="宋体" w:eastAsia="宋体" w:cs="宋体"/>
                <w:color w:val="auto"/>
                <w:sz w:val="24"/>
                <w:szCs w:val="24"/>
              </w:rPr>
            </w:pPr>
          </w:p>
        </w:tc>
        <w:tc>
          <w:tcPr>
            <w:tcW w:w="809" w:type="pct"/>
            <w:tcBorders>
              <w:top w:val="single" w:color="auto" w:sz="6" w:space="0"/>
              <w:left w:val="single" w:color="auto" w:sz="6" w:space="0"/>
              <w:bottom w:val="single" w:color="auto" w:sz="6" w:space="0"/>
              <w:right w:val="single" w:color="auto" w:sz="6" w:space="0"/>
            </w:tcBorders>
            <w:vAlign w:val="center"/>
          </w:tcPr>
          <w:p w14:paraId="48CAD237">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传真</w:t>
            </w:r>
          </w:p>
        </w:tc>
        <w:tc>
          <w:tcPr>
            <w:tcW w:w="1087" w:type="pct"/>
            <w:gridSpan w:val="3"/>
            <w:tcBorders>
              <w:top w:val="single" w:color="auto" w:sz="6" w:space="0"/>
              <w:left w:val="single" w:color="auto" w:sz="6" w:space="0"/>
              <w:bottom w:val="single" w:color="auto" w:sz="6" w:space="0"/>
              <w:right w:val="single" w:color="auto" w:sz="6" w:space="0"/>
            </w:tcBorders>
            <w:vAlign w:val="center"/>
          </w:tcPr>
          <w:p w14:paraId="0BEEADD0">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628" w:type="pct"/>
            <w:gridSpan w:val="2"/>
            <w:tcBorders>
              <w:top w:val="single" w:color="auto" w:sz="6" w:space="0"/>
              <w:left w:val="single" w:color="auto" w:sz="6" w:space="0"/>
              <w:bottom w:val="single" w:color="auto" w:sz="6" w:space="0"/>
              <w:right w:val="single" w:color="auto" w:sz="6" w:space="0"/>
            </w:tcBorders>
            <w:vAlign w:val="center"/>
          </w:tcPr>
          <w:p w14:paraId="2E7D3700">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电子邮箱</w:t>
            </w:r>
          </w:p>
        </w:tc>
        <w:tc>
          <w:tcPr>
            <w:tcW w:w="1742" w:type="pct"/>
            <w:gridSpan w:val="2"/>
            <w:tcBorders>
              <w:top w:val="single" w:color="auto" w:sz="6" w:space="0"/>
              <w:left w:val="single" w:color="auto" w:sz="6" w:space="0"/>
              <w:bottom w:val="single" w:color="auto" w:sz="6" w:space="0"/>
              <w:right w:val="double" w:color="auto" w:sz="4" w:space="0"/>
            </w:tcBorders>
            <w:vAlign w:val="center"/>
          </w:tcPr>
          <w:p w14:paraId="5971CC1B">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31DBF4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31" w:type="pct"/>
            <w:gridSpan w:val="2"/>
            <w:vMerge w:val="restart"/>
            <w:tcBorders>
              <w:top w:val="single" w:color="auto" w:sz="6" w:space="0"/>
              <w:left w:val="double" w:color="auto" w:sz="4" w:space="0"/>
              <w:bottom w:val="single" w:color="auto" w:sz="6" w:space="0"/>
              <w:right w:val="single" w:color="auto" w:sz="6" w:space="0"/>
            </w:tcBorders>
            <w:vAlign w:val="center"/>
          </w:tcPr>
          <w:p w14:paraId="13257580">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1897" w:type="pct"/>
            <w:gridSpan w:val="4"/>
            <w:tcBorders>
              <w:top w:val="single" w:color="auto" w:sz="6" w:space="0"/>
              <w:left w:val="single" w:color="auto" w:sz="6" w:space="0"/>
              <w:bottom w:val="single" w:color="auto" w:sz="6" w:space="0"/>
              <w:right w:val="single" w:color="auto" w:sz="6" w:space="0"/>
            </w:tcBorders>
            <w:vAlign w:val="center"/>
          </w:tcPr>
          <w:p w14:paraId="7E0D2031">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统一社会信用代码或注册号</w:t>
            </w:r>
          </w:p>
        </w:tc>
        <w:tc>
          <w:tcPr>
            <w:tcW w:w="2371" w:type="pct"/>
            <w:gridSpan w:val="4"/>
            <w:tcBorders>
              <w:top w:val="single" w:color="auto" w:sz="6" w:space="0"/>
              <w:left w:val="single" w:color="auto" w:sz="6" w:space="0"/>
              <w:bottom w:val="single" w:color="auto" w:sz="6" w:space="0"/>
              <w:right w:val="double" w:color="auto" w:sz="4" w:space="0"/>
            </w:tcBorders>
            <w:vAlign w:val="center"/>
          </w:tcPr>
          <w:p w14:paraId="669F9A7E">
            <w:pPr>
              <w:keepNext w:val="0"/>
              <w:keepLines w:val="0"/>
              <w:pageBreakBefore w:val="0"/>
              <w:widowControl w:val="0"/>
              <w:kinsoku/>
              <w:wordWrap/>
              <w:overflowPunct/>
              <w:topLinePunct/>
              <w:autoSpaceDE/>
              <w:autoSpaceDN/>
              <w:bidi w:val="0"/>
              <w:spacing w:line="240" w:lineRule="auto"/>
              <w:ind w:firstLine="120" w:firstLineChars="50"/>
              <w:jc w:val="center"/>
              <w:textAlignment w:val="auto"/>
              <w:rPr>
                <w:rFonts w:hint="eastAsia" w:ascii="宋体" w:hAnsi="宋体" w:eastAsia="宋体" w:cs="宋体"/>
                <w:color w:val="auto"/>
                <w:sz w:val="24"/>
                <w:szCs w:val="24"/>
              </w:rPr>
            </w:pPr>
          </w:p>
        </w:tc>
      </w:tr>
      <w:tr w14:paraId="1E09D2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31" w:type="pct"/>
            <w:gridSpan w:val="2"/>
            <w:vMerge w:val="continue"/>
            <w:tcBorders>
              <w:top w:val="single" w:color="auto" w:sz="6" w:space="0"/>
              <w:left w:val="double" w:color="auto" w:sz="4" w:space="0"/>
              <w:bottom w:val="single" w:color="auto" w:sz="6" w:space="0"/>
              <w:right w:val="single" w:color="auto" w:sz="6" w:space="0"/>
            </w:tcBorders>
            <w:vAlign w:val="center"/>
          </w:tcPr>
          <w:p w14:paraId="0693EEF9">
            <w:pPr>
              <w:keepNext w:val="0"/>
              <w:keepLines w:val="0"/>
              <w:pageBreakBefore w:val="0"/>
              <w:widowControl w:val="0"/>
              <w:kinsoku/>
              <w:wordWrap/>
              <w:overflowPunct/>
              <w:autoSpaceDE/>
              <w:autoSpaceDN/>
              <w:bidi w:val="0"/>
              <w:spacing w:line="240" w:lineRule="auto"/>
              <w:jc w:val="center"/>
              <w:textAlignment w:val="auto"/>
              <w:rPr>
                <w:rFonts w:hint="eastAsia" w:ascii="宋体" w:hAnsi="宋体" w:eastAsia="宋体" w:cs="宋体"/>
                <w:color w:val="auto"/>
                <w:sz w:val="24"/>
                <w:szCs w:val="24"/>
              </w:rPr>
            </w:pPr>
          </w:p>
        </w:tc>
        <w:tc>
          <w:tcPr>
            <w:tcW w:w="809" w:type="pct"/>
            <w:tcBorders>
              <w:top w:val="single" w:color="auto" w:sz="6" w:space="0"/>
              <w:left w:val="single" w:color="auto" w:sz="6" w:space="0"/>
              <w:bottom w:val="single" w:color="auto" w:sz="6" w:space="0"/>
              <w:right w:val="single" w:color="auto" w:sz="6" w:space="0"/>
            </w:tcBorders>
            <w:vAlign w:val="center"/>
          </w:tcPr>
          <w:p w14:paraId="167EBCCD">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住所</w:t>
            </w:r>
          </w:p>
        </w:tc>
        <w:tc>
          <w:tcPr>
            <w:tcW w:w="3458" w:type="pct"/>
            <w:gridSpan w:val="7"/>
            <w:tcBorders>
              <w:top w:val="single" w:color="auto" w:sz="6" w:space="0"/>
              <w:left w:val="single" w:color="auto" w:sz="6" w:space="0"/>
              <w:bottom w:val="single" w:color="auto" w:sz="6" w:space="0"/>
              <w:right w:val="double" w:color="auto" w:sz="4" w:space="0"/>
            </w:tcBorders>
            <w:vAlign w:val="center"/>
          </w:tcPr>
          <w:p w14:paraId="1B2D49C4">
            <w:pPr>
              <w:keepNext w:val="0"/>
              <w:keepLines w:val="0"/>
              <w:pageBreakBefore w:val="0"/>
              <w:widowControl w:val="0"/>
              <w:kinsoku/>
              <w:wordWrap/>
              <w:overflowPunct/>
              <w:topLinePunct/>
              <w:autoSpaceDE/>
              <w:autoSpaceDN/>
              <w:bidi w:val="0"/>
              <w:spacing w:line="240" w:lineRule="auto"/>
              <w:ind w:firstLine="120" w:firstLineChars="50"/>
              <w:jc w:val="center"/>
              <w:textAlignment w:val="auto"/>
              <w:rPr>
                <w:rFonts w:hint="eastAsia" w:ascii="宋体" w:hAnsi="宋体" w:eastAsia="宋体" w:cs="宋体"/>
                <w:color w:val="auto"/>
                <w:sz w:val="24"/>
                <w:szCs w:val="24"/>
              </w:rPr>
            </w:pPr>
          </w:p>
        </w:tc>
      </w:tr>
      <w:tr w14:paraId="5BF9C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31" w:type="pct"/>
            <w:gridSpan w:val="2"/>
            <w:vMerge w:val="continue"/>
            <w:tcBorders>
              <w:top w:val="single" w:color="auto" w:sz="6" w:space="0"/>
              <w:left w:val="double" w:color="auto" w:sz="4" w:space="0"/>
              <w:bottom w:val="single" w:color="auto" w:sz="6" w:space="0"/>
              <w:right w:val="single" w:color="auto" w:sz="6" w:space="0"/>
            </w:tcBorders>
            <w:vAlign w:val="center"/>
          </w:tcPr>
          <w:p w14:paraId="50F462FF">
            <w:pPr>
              <w:keepNext w:val="0"/>
              <w:keepLines w:val="0"/>
              <w:pageBreakBefore w:val="0"/>
              <w:widowControl w:val="0"/>
              <w:kinsoku/>
              <w:wordWrap/>
              <w:overflowPunct/>
              <w:autoSpaceDE/>
              <w:autoSpaceDN/>
              <w:bidi w:val="0"/>
              <w:spacing w:line="240" w:lineRule="auto"/>
              <w:jc w:val="center"/>
              <w:textAlignment w:val="auto"/>
              <w:rPr>
                <w:rFonts w:hint="eastAsia" w:ascii="宋体" w:hAnsi="宋体" w:eastAsia="宋体" w:cs="宋体"/>
                <w:color w:val="auto"/>
                <w:sz w:val="24"/>
                <w:szCs w:val="24"/>
              </w:rPr>
            </w:pPr>
          </w:p>
        </w:tc>
        <w:tc>
          <w:tcPr>
            <w:tcW w:w="809" w:type="pct"/>
            <w:tcBorders>
              <w:top w:val="single" w:color="auto" w:sz="6" w:space="0"/>
              <w:left w:val="single" w:color="auto" w:sz="6" w:space="0"/>
              <w:bottom w:val="single" w:color="auto" w:sz="6" w:space="0"/>
              <w:right w:val="single" w:color="auto" w:sz="6" w:space="0"/>
            </w:tcBorders>
            <w:vAlign w:val="center"/>
          </w:tcPr>
          <w:p w14:paraId="071085B9">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087" w:type="pct"/>
            <w:gridSpan w:val="3"/>
            <w:tcBorders>
              <w:top w:val="single" w:color="auto" w:sz="6" w:space="0"/>
              <w:left w:val="single" w:color="auto" w:sz="6" w:space="0"/>
              <w:bottom w:val="single" w:color="auto" w:sz="6" w:space="0"/>
              <w:right w:val="single" w:color="auto" w:sz="6" w:space="0"/>
            </w:tcBorders>
            <w:vAlign w:val="center"/>
          </w:tcPr>
          <w:p w14:paraId="0662E046">
            <w:pPr>
              <w:keepNext w:val="0"/>
              <w:keepLines w:val="0"/>
              <w:pageBreakBefore w:val="0"/>
              <w:widowControl w:val="0"/>
              <w:kinsoku/>
              <w:wordWrap/>
              <w:overflowPunct/>
              <w:topLinePunct/>
              <w:autoSpaceDE/>
              <w:autoSpaceDN/>
              <w:bidi w:val="0"/>
              <w:spacing w:line="240" w:lineRule="auto"/>
              <w:ind w:firstLine="120" w:firstLineChars="50"/>
              <w:jc w:val="center"/>
              <w:textAlignment w:val="auto"/>
              <w:rPr>
                <w:rFonts w:hint="eastAsia" w:ascii="宋体" w:hAnsi="宋体" w:eastAsia="宋体" w:cs="宋体"/>
                <w:color w:val="auto"/>
                <w:sz w:val="24"/>
                <w:szCs w:val="24"/>
              </w:rPr>
            </w:pPr>
          </w:p>
        </w:tc>
        <w:tc>
          <w:tcPr>
            <w:tcW w:w="628" w:type="pct"/>
            <w:gridSpan w:val="2"/>
            <w:tcBorders>
              <w:top w:val="single" w:color="auto" w:sz="6" w:space="0"/>
              <w:left w:val="single" w:color="auto" w:sz="6" w:space="0"/>
              <w:bottom w:val="single" w:color="auto" w:sz="6" w:space="0"/>
              <w:right w:val="single" w:color="auto" w:sz="6" w:space="0"/>
            </w:tcBorders>
            <w:vAlign w:val="center"/>
          </w:tcPr>
          <w:p w14:paraId="13256EBA">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注册资本</w:t>
            </w:r>
          </w:p>
        </w:tc>
        <w:tc>
          <w:tcPr>
            <w:tcW w:w="1742" w:type="pct"/>
            <w:gridSpan w:val="2"/>
            <w:tcBorders>
              <w:top w:val="single" w:color="auto" w:sz="6" w:space="0"/>
              <w:left w:val="single" w:color="auto" w:sz="6" w:space="0"/>
              <w:bottom w:val="single" w:color="auto" w:sz="6" w:space="0"/>
              <w:right w:val="double" w:color="auto" w:sz="4" w:space="0"/>
            </w:tcBorders>
            <w:vAlign w:val="center"/>
          </w:tcPr>
          <w:p w14:paraId="3B2B4B61">
            <w:pPr>
              <w:keepNext w:val="0"/>
              <w:keepLines w:val="0"/>
              <w:pageBreakBefore w:val="0"/>
              <w:widowControl w:val="0"/>
              <w:kinsoku/>
              <w:wordWrap/>
              <w:overflowPunct/>
              <w:topLinePunct/>
              <w:autoSpaceDE/>
              <w:autoSpaceDN/>
              <w:bidi w:val="0"/>
              <w:spacing w:line="240" w:lineRule="auto"/>
              <w:ind w:firstLine="120" w:firstLineChars="50"/>
              <w:jc w:val="center"/>
              <w:textAlignment w:val="auto"/>
              <w:rPr>
                <w:rFonts w:hint="eastAsia" w:ascii="宋体" w:hAnsi="宋体" w:eastAsia="宋体" w:cs="宋体"/>
                <w:color w:val="auto"/>
                <w:sz w:val="24"/>
                <w:szCs w:val="24"/>
              </w:rPr>
            </w:pPr>
          </w:p>
        </w:tc>
      </w:tr>
      <w:tr w14:paraId="3AF84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31" w:type="pct"/>
            <w:gridSpan w:val="2"/>
            <w:vMerge w:val="continue"/>
            <w:tcBorders>
              <w:top w:val="single" w:color="auto" w:sz="6" w:space="0"/>
              <w:left w:val="double" w:color="auto" w:sz="4" w:space="0"/>
              <w:bottom w:val="single" w:color="auto" w:sz="6" w:space="0"/>
              <w:right w:val="single" w:color="auto" w:sz="6" w:space="0"/>
            </w:tcBorders>
            <w:vAlign w:val="center"/>
          </w:tcPr>
          <w:p w14:paraId="415BA040">
            <w:pPr>
              <w:keepNext w:val="0"/>
              <w:keepLines w:val="0"/>
              <w:pageBreakBefore w:val="0"/>
              <w:widowControl w:val="0"/>
              <w:kinsoku/>
              <w:wordWrap/>
              <w:overflowPunct/>
              <w:autoSpaceDE/>
              <w:autoSpaceDN/>
              <w:bidi w:val="0"/>
              <w:spacing w:line="240" w:lineRule="auto"/>
              <w:jc w:val="center"/>
              <w:textAlignment w:val="auto"/>
              <w:rPr>
                <w:rFonts w:hint="eastAsia" w:ascii="宋体" w:hAnsi="宋体" w:eastAsia="宋体" w:cs="宋体"/>
                <w:color w:val="auto"/>
                <w:sz w:val="24"/>
                <w:szCs w:val="24"/>
              </w:rPr>
            </w:pPr>
          </w:p>
        </w:tc>
        <w:tc>
          <w:tcPr>
            <w:tcW w:w="809" w:type="pct"/>
            <w:tcBorders>
              <w:top w:val="single" w:color="auto" w:sz="6" w:space="0"/>
              <w:left w:val="single" w:color="auto" w:sz="6" w:space="0"/>
              <w:bottom w:val="single" w:color="auto" w:sz="6" w:space="0"/>
              <w:right w:val="single" w:color="auto" w:sz="6" w:space="0"/>
            </w:tcBorders>
            <w:vAlign w:val="center"/>
          </w:tcPr>
          <w:p w14:paraId="692A5FDD">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087" w:type="pct"/>
            <w:gridSpan w:val="3"/>
            <w:tcBorders>
              <w:top w:val="single" w:color="auto" w:sz="6" w:space="0"/>
              <w:left w:val="single" w:color="auto" w:sz="6" w:space="0"/>
              <w:bottom w:val="single" w:color="auto" w:sz="6" w:space="0"/>
              <w:right w:val="single" w:color="auto" w:sz="6" w:space="0"/>
            </w:tcBorders>
            <w:vAlign w:val="center"/>
          </w:tcPr>
          <w:p w14:paraId="06B7F730">
            <w:pPr>
              <w:keepNext w:val="0"/>
              <w:keepLines w:val="0"/>
              <w:pageBreakBefore w:val="0"/>
              <w:widowControl w:val="0"/>
              <w:kinsoku/>
              <w:wordWrap/>
              <w:overflowPunct/>
              <w:topLinePunct/>
              <w:autoSpaceDE/>
              <w:autoSpaceDN/>
              <w:bidi w:val="0"/>
              <w:spacing w:line="240" w:lineRule="auto"/>
              <w:ind w:firstLine="120" w:firstLineChars="50"/>
              <w:jc w:val="center"/>
              <w:textAlignment w:val="auto"/>
              <w:rPr>
                <w:rFonts w:hint="eastAsia" w:ascii="宋体" w:hAnsi="宋体" w:eastAsia="宋体" w:cs="宋体"/>
                <w:color w:val="auto"/>
                <w:sz w:val="24"/>
                <w:szCs w:val="24"/>
              </w:rPr>
            </w:pPr>
          </w:p>
        </w:tc>
        <w:tc>
          <w:tcPr>
            <w:tcW w:w="628" w:type="pct"/>
            <w:gridSpan w:val="2"/>
            <w:tcBorders>
              <w:top w:val="single" w:color="auto" w:sz="6" w:space="0"/>
              <w:left w:val="single" w:color="auto" w:sz="6" w:space="0"/>
              <w:bottom w:val="single" w:color="auto" w:sz="6" w:space="0"/>
              <w:right w:val="single" w:color="auto" w:sz="6" w:space="0"/>
            </w:tcBorders>
            <w:vAlign w:val="center"/>
          </w:tcPr>
          <w:p w14:paraId="36DE17C5">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成立时间</w:t>
            </w:r>
          </w:p>
        </w:tc>
        <w:tc>
          <w:tcPr>
            <w:tcW w:w="1742" w:type="pct"/>
            <w:gridSpan w:val="2"/>
            <w:tcBorders>
              <w:top w:val="single" w:color="auto" w:sz="6" w:space="0"/>
              <w:left w:val="single" w:color="auto" w:sz="6" w:space="0"/>
              <w:bottom w:val="single" w:color="auto" w:sz="6" w:space="0"/>
              <w:right w:val="double" w:color="auto" w:sz="4" w:space="0"/>
            </w:tcBorders>
            <w:vAlign w:val="center"/>
          </w:tcPr>
          <w:p w14:paraId="06D8799D">
            <w:pPr>
              <w:keepNext w:val="0"/>
              <w:keepLines w:val="0"/>
              <w:pageBreakBefore w:val="0"/>
              <w:widowControl w:val="0"/>
              <w:kinsoku/>
              <w:wordWrap/>
              <w:overflowPunct/>
              <w:topLinePunct/>
              <w:autoSpaceDE/>
              <w:autoSpaceDN/>
              <w:bidi w:val="0"/>
              <w:spacing w:line="240" w:lineRule="auto"/>
              <w:ind w:firstLine="120" w:firstLineChars="50"/>
              <w:jc w:val="center"/>
              <w:textAlignment w:val="auto"/>
              <w:rPr>
                <w:rFonts w:hint="eastAsia" w:ascii="宋体" w:hAnsi="宋体" w:eastAsia="宋体" w:cs="宋体"/>
                <w:color w:val="auto"/>
                <w:sz w:val="24"/>
                <w:szCs w:val="24"/>
              </w:rPr>
            </w:pPr>
          </w:p>
        </w:tc>
      </w:tr>
      <w:tr w14:paraId="66342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731" w:type="pct"/>
            <w:gridSpan w:val="2"/>
            <w:vMerge w:val="continue"/>
            <w:tcBorders>
              <w:top w:val="single" w:color="auto" w:sz="6" w:space="0"/>
              <w:left w:val="double" w:color="auto" w:sz="4" w:space="0"/>
              <w:bottom w:val="single" w:color="auto" w:sz="6" w:space="0"/>
              <w:right w:val="single" w:color="auto" w:sz="6" w:space="0"/>
            </w:tcBorders>
            <w:vAlign w:val="center"/>
          </w:tcPr>
          <w:p w14:paraId="09568047">
            <w:pPr>
              <w:keepNext w:val="0"/>
              <w:keepLines w:val="0"/>
              <w:pageBreakBefore w:val="0"/>
              <w:widowControl w:val="0"/>
              <w:kinsoku/>
              <w:wordWrap/>
              <w:overflowPunct/>
              <w:autoSpaceDE/>
              <w:autoSpaceDN/>
              <w:bidi w:val="0"/>
              <w:spacing w:line="240" w:lineRule="auto"/>
              <w:jc w:val="center"/>
              <w:textAlignment w:val="auto"/>
              <w:rPr>
                <w:rFonts w:hint="eastAsia" w:ascii="宋体" w:hAnsi="宋体" w:eastAsia="宋体" w:cs="宋体"/>
                <w:color w:val="auto"/>
                <w:sz w:val="24"/>
                <w:szCs w:val="24"/>
              </w:rPr>
            </w:pPr>
          </w:p>
        </w:tc>
        <w:tc>
          <w:tcPr>
            <w:tcW w:w="809" w:type="pct"/>
            <w:tcBorders>
              <w:top w:val="single" w:color="auto" w:sz="6" w:space="0"/>
              <w:left w:val="single" w:color="auto" w:sz="6" w:space="0"/>
              <w:bottom w:val="single" w:color="auto" w:sz="6" w:space="0"/>
              <w:right w:val="single" w:color="auto" w:sz="6" w:space="0"/>
            </w:tcBorders>
            <w:vAlign w:val="center"/>
          </w:tcPr>
          <w:p w14:paraId="7AFF84D5">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营业范围</w:t>
            </w:r>
          </w:p>
        </w:tc>
        <w:tc>
          <w:tcPr>
            <w:tcW w:w="3458" w:type="pct"/>
            <w:gridSpan w:val="7"/>
            <w:tcBorders>
              <w:top w:val="single" w:color="auto" w:sz="6" w:space="0"/>
              <w:left w:val="single" w:color="auto" w:sz="6" w:space="0"/>
              <w:bottom w:val="single" w:color="auto" w:sz="6" w:space="0"/>
              <w:right w:val="double" w:color="auto" w:sz="4" w:space="0"/>
            </w:tcBorders>
            <w:vAlign w:val="center"/>
          </w:tcPr>
          <w:p w14:paraId="05FD1C65">
            <w:pPr>
              <w:keepNext w:val="0"/>
              <w:keepLines w:val="0"/>
              <w:pageBreakBefore w:val="0"/>
              <w:widowControl w:val="0"/>
              <w:kinsoku/>
              <w:wordWrap/>
              <w:overflowPunct/>
              <w:topLinePunct/>
              <w:autoSpaceDE/>
              <w:autoSpaceDN/>
              <w:bidi w:val="0"/>
              <w:spacing w:line="240" w:lineRule="auto"/>
              <w:ind w:firstLine="120" w:firstLineChars="50"/>
              <w:jc w:val="center"/>
              <w:textAlignment w:val="auto"/>
              <w:rPr>
                <w:rFonts w:hint="eastAsia" w:ascii="宋体" w:hAnsi="宋体" w:eastAsia="宋体" w:cs="宋体"/>
                <w:color w:val="auto"/>
                <w:sz w:val="24"/>
                <w:szCs w:val="24"/>
              </w:rPr>
            </w:pPr>
          </w:p>
        </w:tc>
      </w:tr>
      <w:tr w14:paraId="27EB4B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1541" w:type="pct"/>
            <w:gridSpan w:val="3"/>
            <w:tcBorders>
              <w:top w:val="single" w:color="auto" w:sz="6" w:space="0"/>
              <w:left w:val="double" w:color="auto" w:sz="4" w:space="0"/>
              <w:bottom w:val="single" w:color="auto" w:sz="6" w:space="0"/>
              <w:right w:val="single" w:color="auto" w:sz="6" w:space="0"/>
            </w:tcBorders>
            <w:vAlign w:val="center"/>
          </w:tcPr>
          <w:p w14:paraId="000BFF2D">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w:t>
            </w:r>
          </w:p>
        </w:tc>
        <w:tc>
          <w:tcPr>
            <w:tcW w:w="1068" w:type="pct"/>
            <w:gridSpan w:val="2"/>
            <w:tcBorders>
              <w:top w:val="single" w:color="auto" w:sz="6" w:space="0"/>
              <w:left w:val="single" w:color="auto" w:sz="6" w:space="0"/>
              <w:bottom w:val="single" w:color="auto" w:sz="6" w:space="0"/>
              <w:right w:val="single" w:color="auto" w:sz="6" w:space="0"/>
            </w:tcBorders>
            <w:vAlign w:val="center"/>
          </w:tcPr>
          <w:p w14:paraId="4A8216BA">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701" w:type="pct"/>
            <w:gridSpan w:val="4"/>
            <w:tcBorders>
              <w:top w:val="single" w:color="auto" w:sz="6" w:space="0"/>
              <w:left w:val="single" w:color="auto" w:sz="6" w:space="0"/>
              <w:bottom w:val="single" w:color="auto" w:sz="6" w:space="0"/>
              <w:right w:val="single" w:color="auto" w:sz="6" w:space="0"/>
            </w:tcBorders>
            <w:vAlign w:val="center"/>
          </w:tcPr>
          <w:p w14:paraId="2A37DC92">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c>
          <w:tcPr>
            <w:tcW w:w="1687" w:type="pct"/>
            <w:tcBorders>
              <w:top w:val="single" w:color="auto" w:sz="6" w:space="0"/>
              <w:left w:val="single" w:color="auto" w:sz="6" w:space="0"/>
              <w:bottom w:val="single" w:color="auto" w:sz="6" w:space="0"/>
              <w:right w:val="double" w:color="auto" w:sz="4" w:space="0"/>
            </w:tcBorders>
            <w:vAlign w:val="center"/>
          </w:tcPr>
          <w:p w14:paraId="6F259CDE">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0F53B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1541" w:type="pct"/>
            <w:gridSpan w:val="3"/>
            <w:tcBorders>
              <w:top w:val="single" w:color="auto" w:sz="6" w:space="0"/>
              <w:left w:val="double" w:color="auto" w:sz="4" w:space="0"/>
              <w:bottom w:val="single" w:color="auto" w:sz="6" w:space="0"/>
              <w:right w:val="single" w:color="auto" w:sz="6" w:space="0"/>
            </w:tcBorders>
            <w:vAlign w:val="center"/>
          </w:tcPr>
          <w:p w14:paraId="233C74B7">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3458" w:type="pct"/>
            <w:gridSpan w:val="7"/>
            <w:tcBorders>
              <w:top w:val="single" w:color="auto" w:sz="6" w:space="0"/>
              <w:left w:val="single" w:color="auto" w:sz="6" w:space="0"/>
              <w:bottom w:val="single" w:color="auto" w:sz="6" w:space="0"/>
              <w:right w:val="double" w:color="auto" w:sz="4" w:space="0"/>
            </w:tcBorders>
            <w:vAlign w:val="center"/>
          </w:tcPr>
          <w:p w14:paraId="77E3962E">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51378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1541" w:type="pct"/>
            <w:gridSpan w:val="3"/>
            <w:tcBorders>
              <w:top w:val="single" w:color="auto" w:sz="6" w:space="0"/>
              <w:left w:val="double" w:color="auto" w:sz="4" w:space="0"/>
              <w:bottom w:val="single" w:color="auto" w:sz="4" w:space="0"/>
              <w:right w:val="single" w:color="auto" w:sz="6" w:space="0"/>
            </w:tcBorders>
            <w:vAlign w:val="center"/>
          </w:tcPr>
          <w:p w14:paraId="1AB6D32C">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635" w:type="pct"/>
            <w:tcBorders>
              <w:top w:val="single" w:color="auto" w:sz="6" w:space="0"/>
              <w:left w:val="single" w:color="auto" w:sz="6" w:space="0"/>
              <w:bottom w:val="single" w:color="auto" w:sz="4" w:space="0"/>
              <w:right w:val="single" w:color="auto" w:sz="4" w:space="0"/>
            </w:tcBorders>
            <w:vAlign w:val="center"/>
          </w:tcPr>
          <w:p w14:paraId="1E96932C">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880" w:type="pct"/>
            <w:gridSpan w:val="3"/>
            <w:tcBorders>
              <w:top w:val="single" w:color="auto" w:sz="6" w:space="0"/>
              <w:left w:val="single" w:color="auto" w:sz="4" w:space="0"/>
              <w:bottom w:val="single" w:color="auto" w:sz="6" w:space="0"/>
              <w:right w:val="single" w:color="auto" w:sz="4" w:space="0"/>
            </w:tcBorders>
            <w:vAlign w:val="center"/>
          </w:tcPr>
          <w:p w14:paraId="2A8BAC49">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证书号</w:t>
            </w:r>
          </w:p>
        </w:tc>
        <w:tc>
          <w:tcPr>
            <w:tcW w:w="1942" w:type="pct"/>
            <w:gridSpan w:val="3"/>
            <w:tcBorders>
              <w:top w:val="single" w:color="auto" w:sz="6" w:space="0"/>
              <w:left w:val="single" w:color="auto" w:sz="4" w:space="0"/>
              <w:bottom w:val="single" w:color="auto" w:sz="6" w:space="0"/>
              <w:right w:val="double" w:color="auto" w:sz="4" w:space="0"/>
            </w:tcBorders>
            <w:vAlign w:val="center"/>
          </w:tcPr>
          <w:p w14:paraId="3FBB4F8C">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r>
      <w:tr w14:paraId="310594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1541" w:type="pct"/>
            <w:gridSpan w:val="3"/>
            <w:tcBorders>
              <w:top w:val="single" w:color="auto" w:sz="4" w:space="0"/>
              <w:left w:val="double" w:color="auto" w:sz="4" w:space="0"/>
              <w:bottom w:val="single" w:color="auto" w:sz="4" w:space="0"/>
              <w:right w:val="single" w:color="auto" w:sz="6" w:space="0"/>
            </w:tcBorders>
            <w:vAlign w:val="center"/>
          </w:tcPr>
          <w:p w14:paraId="4DFB0EDC">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635" w:type="pct"/>
            <w:tcBorders>
              <w:top w:val="single" w:color="auto" w:sz="4" w:space="0"/>
              <w:left w:val="single" w:color="auto" w:sz="6" w:space="0"/>
              <w:bottom w:val="single" w:color="auto" w:sz="4" w:space="0"/>
              <w:right w:val="single" w:color="auto" w:sz="4" w:space="0"/>
            </w:tcBorders>
            <w:vAlign w:val="center"/>
          </w:tcPr>
          <w:p w14:paraId="74E2E93C">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880" w:type="pct"/>
            <w:gridSpan w:val="3"/>
            <w:tcBorders>
              <w:top w:val="single" w:color="auto" w:sz="6" w:space="0"/>
              <w:left w:val="single" w:color="auto" w:sz="4" w:space="0"/>
              <w:bottom w:val="single" w:color="auto" w:sz="6" w:space="0"/>
              <w:right w:val="single" w:color="auto" w:sz="4" w:space="0"/>
            </w:tcBorders>
            <w:vAlign w:val="center"/>
          </w:tcPr>
          <w:p w14:paraId="2D3F506B">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1942" w:type="pct"/>
            <w:gridSpan w:val="3"/>
            <w:tcBorders>
              <w:top w:val="single" w:color="auto" w:sz="6" w:space="0"/>
              <w:left w:val="single" w:color="auto" w:sz="4" w:space="0"/>
              <w:bottom w:val="single" w:color="auto" w:sz="6" w:space="0"/>
              <w:right w:val="double" w:color="auto" w:sz="4" w:space="0"/>
            </w:tcBorders>
            <w:vAlign w:val="center"/>
          </w:tcPr>
          <w:p w14:paraId="025289AF">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101276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1541" w:type="pct"/>
            <w:gridSpan w:val="3"/>
            <w:tcBorders>
              <w:top w:val="single" w:color="auto" w:sz="4" w:space="0"/>
              <w:left w:val="double" w:color="auto" w:sz="4" w:space="0"/>
              <w:bottom w:val="single" w:color="auto" w:sz="6" w:space="0"/>
              <w:right w:val="single" w:color="auto" w:sz="6" w:space="0"/>
            </w:tcBorders>
            <w:vAlign w:val="center"/>
          </w:tcPr>
          <w:p w14:paraId="51B133BA">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635" w:type="pct"/>
            <w:tcBorders>
              <w:top w:val="single" w:color="auto" w:sz="4" w:space="0"/>
              <w:left w:val="single" w:color="auto" w:sz="6" w:space="0"/>
              <w:bottom w:val="single" w:color="auto" w:sz="6" w:space="0"/>
              <w:right w:val="single" w:color="auto" w:sz="4" w:space="0"/>
            </w:tcBorders>
            <w:vAlign w:val="center"/>
          </w:tcPr>
          <w:p w14:paraId="1DCA13F6">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880" w:type="pct"/>
            <w:gridSpan w:val="3"/>
            <w:tcBorders>
              <w:top w:val="single" w:color="auto" w:sz="6" w:space="0"/>
              <w:left w:val="single" w:color="auto" w:sz="4" w:space="0"/>
              <w:bottom w:val="single" w:color="auto" w:sz="6" w:space="0"/>
              <w:right w:val="single" w:color="auto" w:sz="4" w:space="0"/>
            </w:tcBorders>
            <w:vAlign w:val="center"/>
          </w:tcPr>
          <w:p w14:paraId="614C1462">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1942" w:type="pct"/>
            <w:gridSpan w:val="3"/>
            <w:tcBorders>
              <w:top w:val="single" w:color="auto" w:sz="6" w:space="0"/>
              <w:left w:val="single" w:color="auto" w:sz="4" w:space="0"/>
              <w:bottom w:val="single" w:color="auto" w:sz="6" w:space="0"/>
              <w:right w:val="double" w:color="auto" w:sz="4" w:space="0"/>
            </w:tcBorders>
            <w:vAlign w:val="center"/>
          </w:tcPr>
          <w:p w14:paraId="025D15C6">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5DB6A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1541" w:type="pct"/>
            <w:gridSpan w:val="3"/>
            <w:tcBorders>
              <w:top w:val="single" w:color="auto" w:sz="6" w:space="0"/>
              <w:left w:val="double" w:color="auto" w:sz="4" w:space="0"/>
              <w:bottom w:val="single" w:color="auto" w:sz="6" w:space="0"/>
              <w:right w:val="single" w:color="auto" w:sz="6" w:space="0"/>
            </w:tcBorders>
            <w:vAlign w:val="center"/>
          </w:tcPr>
          <w:p w14:paraId="2BFF31B0">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635" w:type="pct"/>
            <w:tcBorders>
              <w:top w:val="single" w:color="auto" w:sz="6" w:space="0"/>
              <w:left w:val="single" w:color="auto" w:sz="6" w:space="0"/>
              <w:bottom w:val="nil"/>
              <w:right w:val="single" w:color="auto" w:sz="4" w:space="0"/>
            </w:tcBorders>
            <w:vAlign w:val="center"/>
          </w:tcPr>
          <w:p w14:paraId="3C1B82D5">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880" w:type="pct"/>
            <w:gridSpan w:val="3"/>
            <w:tcBorders>
              <w:top w:val="single" w:color="auto" w:sz="6" w:space="0"/>
              <w:left w:val="single" w:color="auto" w:sz="4" w:space="0"/>
              <w:bottom w:val="nil"/>
              <w:right w:val="single" w:color="auto" w:sz="4" w:space="0"/>
            </w:tcBorders>
            <w:vAlign w:val="center"/>
          </w:tcPr>
          <w:p w14:paraId="2CCBDCC6">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1942" w:type="pct"/>
            <w:gridSpan w:val="3"/>
            <w:tcBorders>
              <w:top w:val="single" w:color="auto" w:sz="6" w:space="0"/>
              <w:left w:val="single" w:color="auto" w:sz="4" w:space="0"/>
              <w:bottom w:val="nil"/>
              <w:right w:val="double" w:color="auto" w:sz="4" w:space="0"/>
            </w:tcBorders>
            <w:vAlign w:val="center"/>
          </w:tcPr>
          <w:p w14:paraId="1321BEAD">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744DB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trPr>
        <w:tc>
          <w:tcPr>
            <w:tcW w:w="1541" w:type="pct"/>
            <w:gridSpan w:val="3"/>
            <w:tcBorders>
              <w:top w:val="single" w:color="auto" w:sz="6" w:space="0"/>
              <w:left w:val="double" w:color="auto" w:sz="4" w:space="0"/>
              <w:bottom w:val="single" w:color="auto" w:sz="6" w:space="0"/>
              <w:right w:val="single" w:color="auto" w:sz="6" w:space="0"/>
            </w:tcBorders>
            <w:vAlign w:val="center"/>
          </w:tcPr>
          <w:p w14:paraId="42927A5B">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635" w:type="pct"/>
            <w:tcBorders>
              <w:top w:val="single" w:color="auto" w:sz="6" w:space="0"/>
              <w:left w:val="single" w:color="auto" w:sz="6" w:space="0"/>
              <w:bottom w:val="nil"/>
              <w:right w:val="single" w:color="auto" w:sz="4" w:space="0"/>
            </w:tcBorders>
            <w:vAlign w:val="center"/>
          </w:tcPr>
          <w:p w14:paraId="456BBF5D">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880" w:type="pct"/>
            <w:gridSpan w:val="3"/>
            <w:tcBorders>
              <w:top w:val="single" w:color="auto" w:sz="6" w:space="0"/>
              <w:left w:val="single" w:color="auto" w:sz="4" w:space="0"/>
              <w:bottom w:val="nil"/>
              <w:right w:val="single" w:color="auto" w:sz="4" w:space="0"/>
            </w:tcBorders>
            <w:vAlign w:val="center"/>
          </w:tcPr>
          <w:p w14:paraId="05A01CC9">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c>
          <w:tcPr>
            <w:tcW w:w="1942" w:type="pct"/>
            <w:gridSpan w:val="3"/>
            <w:tcBorders>
              <w:top w:val="single" w:color="auto" w:sz="6" w:space="0"/>
              <w:left w:val="single" w:color="auto" w:sz="4" w:space="0"/>
              <w:bottom w:val="nil"/>
              <w:right w:val="double" w:color="auto" w:sz="4" w:space="0"/>
            </w:tcBorders>
            <w:vAlign w:val="center"/>
          </w:tcPr>
          <w:p w14:paraId="771FE40A">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p>
        </w:tc>
      </w:tr>
      <w:tr w14:paraId="39EB0E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02" w:hRule="atLeast"/>
        </w:trPr>
        <w:tc>
          <w:tcPr>
            <w:tcW w:w="590" w:type="pct"/>
            <w:tcBorders>
              <w:top w:val="single" w:color="auto" w:sz="6" w:space="0"/>
              <w:left w:val="double" w:color="auto" w:sz="4" w:space="0"/>
              <w:bottom w:val="double" w:color="auto" w:sz="4" w:space="0"/>
              <w:right w:val="single" w:color="auto" w:sz="6" w:space="0"/>
            </w:tcBorders>
            <w:vAlign w:val="center"/>
          </w:tcPr>
          <w:p w14:paraId="25A6AF50">
            <w:pPr>
              <w:keepNext w:val="0"/>
              <w:keepLines w:val="0"/>
              <w:pageBreakBefore w:val="0"/>
              <w:widowControl w:val="0"/>
              <w:kinsoku/>
              <w:wordWrap/>
              <w:overflowPunct/>
              <w:topLinePunct/>
              <w:autoSpaceDE/>
              <w:autoSpaceDN/>
              <w:bidi w:val="0"/>
              <w:spacing w:line="240" w:lineRule="auto"/>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4409" w:type="pct"/>
            <w:gridSpan w:val="9"/>
            <w:tcBorders>
              <w:top w:val="single" w:color="auto" w:sz="6" w:space="0"/>
              <w:left w:val="single" w:color="auto" w:sz="6" w:space="0"/>
              <w:bottom w:val="double" w:color="auto" w:sz="4" w:space="0"/>
              <w:right w:val="double" w:color="auto" w:sz="4" w:space="0"/>
            </w:tcBorders>
            <w:vAlign w:val="center"/>
          </w:tcPr>
          <w:p w14:paraId="1078DFB2">
            <w:pPr>
              <w:keepNext w:val="0"/>
              <w:keepLines w:val="0"/>
              <w:pageBreakBefore w:val="0"/>
              <w:widowControl w:val="0"/>
              <w:kinsoku/>
              <w:wordWrap/>
              <w:overflowPunct/>
              <w:topLinePunct/>
              <w:autoSpaceDE/>
              <w:autoSpaceDN/>
              <w:bidi w:val="0"/>
              <w:adjustRightInd w:val="0"/>
              <w:snapToGrid w:val="0"/>
              <w:spacing w:line="240" w:lineRule="auto"/>
              <w:jc w:val="center"/>
              <w:textAlignment w:val="auto"/>
              <w:rPr>
                <w:rFonts w:hint="eastAsia" w:ascii="宋体" w:hAnsi="宋体" w:eastAsia="宋体" w:cs="宋体"/>
                <w:color w:val="auto"/>
                <w:sz w:val="24"/>
                <w:szCs w:val="24"/>
              </w:rPr>
            </w:pPr>
          </w:p>
        </w:tc>
      </w:tr>
    </w:tbl>
    <w:p w14:paraId="565055D5">
      <w:pPr>
        <w:rPr>
          <w:rFonts w:ascii="Times New Roman" w:hAnsi="Times New Roman" w:cs="Times New Roman"/>
          <w:b/>
          <w:color w:val="auto"/>
          <w:sz w:val="28"/>
        </w:rPr>
      </w:pPr>
      <w:r>
        <w:rPr>
          <w:rFonts w:hint="eastAsia" w:ascii="Times New Roman" w:hAnsi="Times New Roman" w:cs="Times New Roman"/>
          <w:b/>
          <w:color w:val="auto"/>
          <w:sz w:val="28"/>
        </w:rPr>
        <w:br w:type="page"/>
      </w:r>
    </w:p>
    <w:p w14:paraId="02F7A154">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附件3-2</w:t>
      </w:r>
      <w:r>
        <w:rPr>
          <w:rFonts w:hint="eastAsia" w:ascii="黑体" w:hAnsi="黑体" w:eastAsia="黑体" w:cs="黑体"/>
          <w:color w:val="auto"/>
          <w:lang w:val="en-US" w:eastAsia="zh-CN"/>
        </w:rPr>
        <w:t>谈判</w:t>
      </w:r>
      <w:r>
        <w:rPr>
          <w:rFonts w:hint="eastAsia" w:ascii="黑体" w:hAnsi="黑体" w:eastAsia="黑体" w:cs="黑体"/>
          <w:color w:val="auto"/>
        </w:rPr>
        <w:t>文件规定的基本资格条件证明资料</w:t>
      </w:r>
    </w:p>
    <w:p w14:paraId="2339719B"/>
    <w:p w14:paraId="302BE78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32"/>
          <w:szCs w:val="28"/>
        </w:rPr>
      </w:pPr>
      <w:r>
        <w:rPr>
          <w:rFonts w:hint="eastAsia" w:ascii="宋体" w:hAnsi="宋体" w:eastAsia="宋体" w:cs="宋体"/>
          <w:b/>
          <w:bCs/>
          <w:color w:val="auto"/>
          <w:sz w:val="32"/>
          <w:szCs w:val="28"/>
          <w:lang w:val="en-US" w:eastAsia="zh-CN"/>
        </w:rPr>
        <w:t>谈判</w:t>
      </w:r>
      <w:r>
        <w:rPr>
          <w:rFonts w:hint="eastAsia" w:ascii="宋体" w:hAnsi="宋体" w:eastAsia="宋体" w:cs="宋体"/>
          <w:b/>
          <w:bCs/>
          <w:color w:val="auto"/>
          <w:sz w:val="32"/>
          <w:szCs w:val="28"/>
        </w:rPr>
        <w:t>文件规定的基本资格条件证明资料</w:t>
      </w:r>
    </w:p>
    <w:p w14:paraId="05732416">
      <w:pPr>
        <w:pStyle w:val="44"/>
        <w:keepNext w:val="0"/>
        <w:keepLines w:val="0"/>
        <w:pageBreakBefore w:val="0"/>
        <w:widowControl w:val="0"/>
        <w:kinsoku/>
        <w:wordWrap/>
        <w:overflowPunct/>
        <w:topLinePunct w:val="0"/>
        <w:autoSpaceDE/>
        <w:autoSpaceDN/>
        <w:bidi w:val="0"/>
        <w:spacing w:before="0" w:beforeLines="0" w:line="360" w:lineRule="auto"/>
        <w:ind w:firstLine="0" w:firstLineChars="0"/>
        <w:textAlignment w:val="auto"/>
        <w:rPr>
          <w:rFonts w:hint="eastAsia" w:ascii="宋体" w:hAnsi="宋体" w:eastAsia="宋体" w:cs="宋体"/>
          <w:color w:val="auto"/>
        </w:rPr>
      </w:pPr>
      <w:r>
        <w:rPr>
          <w:rFonts w:hint="eastAsia" w:ascii="宋体" w:hAnsi="宋体" w:eastAsia="宋体" w:cs="宋体"/>
          <w:color w:val="auto"/>
        </w:rPr>
        <w:t>备注：</w:t>
      </w:r>
    </w:p>
    <w:p w14:paraId="07CD68BA">
      <w:pPr>
        <w:pStyle w:val="44"/>
        <w:keepNext w:val="0"/>
        <w:keepLines w:val="0"/>
        <w:pageBreakBefore w:val="0"/>
        <w:widowControl w:val="0"/>
        <w:kinsoku/>
        <w:wordWrap/>
        <w:overflowPunct/>
        <w:topLinePunct w:val="0"/>
        <w:autoSpaceDE/>
        <w:autoSpaceDN/>
        <w:bidi w:val="0"/>
        <w:spacing w:before="0" w:beforeLines="0" w:line="360" w:lineRule="auto"/>
        <w:ind w:firstLine="0" w:firstLineChars="0"/>
        <w:textAlignment w:val="auto"/>
        <w:rPr>
          <w:rFonts w:hint="eastAsia" w:ascii="宋体" w:hAnsi="宋体" w:eastAsia="宋体" w:cs="宋体"/>
          <w:color w:val="auto"/>
        </w:rPr>
      </w:pPr>
      <w:r>
        <w:rPr>
          <w:rFonts w:hint="eastAsia" w:ascii="宋体" w:hAnsi="宋体" w:eastAsia="宋体" w:cs="宋体"/>
          <w:color w:val="auto"/>
        </w:rPr>
        <w:t>1.提供</w:t>
      </w:r>
      <w:r>
        <w:rPr>
          <w:rFonts w:hint="eastAsia" w:ascii="宋体" w:hAnsi="宋体" w:eastAsia="宋体" w:cs="宋体"/>
          <w:color w:val="auto"/>
          <w:lang w:eastAsia="zh-CN"/>
        </w:rPr>
        <w:t>供应商</w:t>
      </w:r>
      <w:r>
        <w:rPr>
          <w:rFonts w:hint="eastAsia" w:ascii="宋体" w:hAnsi="宋体" w:eastAsia="宋体" w:cs="宋体"/>
          <w:color w:val="auto"/>
        </w:rPr>
        <w:t xml:space="preserve">主体资格证明文件复印件（法人提交营业执照副本或者法人登记证书）； </w:t>
      </w:r>
    </w:p>
    <w:p w14:paraId="2E1DE4E7">
      <w:pPr>
        <w:keepNext w:val="0"/>
        <w:keepLines w:val="0"/>
        <w:pageBreakBefore w:val="0"/>
        <w:widowControl w:val="0"/>
        <w:kinsoku/>
        <w:wordWrap/>
        <w:overflowPunct/>
        <w:topLinePunct w:val="0"/>
        <w:autoSpaceDE/>
        <w:autoSpaceDN/>
        <w:bidi w:val="0"/>
        <w:spacing w:line="360" w:lineRule="auto"/>
        <w:ind w:firstLine="0" w:firstLineChars="0"/>
        <w:textAlignment w:val="auto"/>
        <w:rPr>
          <w:rFonts w:hint="eastAsia" w:ascii="宋体" w:hAnsi="宋体" w:eastAsia="宋体" w:cs="宋体"/>
          <w:color w:val="auto"/>
        </w:rPr>
      </w:pPr>
      <w:r>
        <w:rPr>
          <w:rFonts w:hint="eastAsia" w:ascii="宋体" w:hAnsi="宋体" w:eastAsia="宋体" w:cs="宋体"/>
          <w:color w:val="auto"/>
        </w:rPr>
        <w:br w:type="page"/>
      </w:r>
    </w:p>
    <w:p w14:paraId="4478E7AB">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附件3-3</w:t>
      </w:r>
      <w:r>
        <w:rPr>
          <w:rFonts w:hint="eastAsia" w:ascii="黑体" w:hAnsi="黑体" w:eastAsia="黑体" w:cs="黑体"/>
          <w:color w:val="auto"/>
          <w:lang w:eastAsia="zh-CN"/>
        </w:rPr>
        <w:t>供应商</w:t>
      </w:r>
      <w:r>
        <w:rPr>
          <w:rFonts w:hint="eastAsia" w:ascii="黑体" w:hAnsi="黑体" w:eastAsia="黑体" w:cs="黑体"/>
          <w:color w:val="auto"/>
        </w:rPr>
        <w:t>资格声明</w:t>
      </w:r>
    </w:p>
    <w:p w14:paraId="4C75C4A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32"/>
          <w:szCs w:val="28"/>
        </w:rPr>
      </w:pPr>
      <w:r>
        <w:rPr>
          <w:rFonts w:hint="eastAsia" w:ascii="宋体" w:hAnsi="宋体" w:eastAsia="宋体" w:cs="宋体"/>
          <w:b/>
          <w:bCs/>
          <w:color w:val="auto"/>
          <w:sz w:val="32"/>
          <w:szCs w:val="28"/>
          <w:lang w:eastAsia="zh-CN"/>
        </w:rPr>
        <w:t>供应商</w:t>
      </w:r>
      <w:r>
        <w:rPr>
          <w:rFonts w:hint="eastAsia" w:ascii="宋体" w:hAnsi="宋体" w:eastAsia="宋体" w:cs="宋体"/>
          <w:b/>
          <w:bCs/>
          <w:color w:val="auto"/>
          <w:sz w:val="32"/>
          <w:szCs w:val="28"/>
        </w:rPr>
        <w:t>资格声明</w:t>
      </w:r>
    </w:p>
    <w:p w14:paraId="205B540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pPr>
      <w:r>
        <w:rPr>
          <w:rFonts w:hint="eastAsia"/>
        </w:rPr>
        <w:t>致</w:t>
      </w:r>
      <w:r>
        <w:rPr>
          <w:rFonts w:hint="eastAsia"/>
          <w:u w:val="single"/>
        </w:rPr>
        <w:t xml:space="preserve">                          </w:t>
      </w:r>
      <w:r>
        <w:rPr>
          <w:rFonts w:hint="eastAsia"/>
          <w:lang w:eastAsia="zh-CN"/>
        </w:rPr>
        <w:t>（</w:t>
      </w:r>
      <w:r>
        <w:rPr>
          <w:rFonts w:hint="eastAsia"/>
        </w:rPr>
        <w:t>采购人、采购代理机构）：</w:t>
      </w:r>
    </w:p>
    <w:p w14:paraId="7282050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按照《中华人民共和国政府采购法》及实施条例和</w:t>
      </w:r>
      <w:r>
        <w:rPr>
          <w:rFonts w:hint="eastAsia" w:ascii="宋体" w:hAnsi="宋体" w:eastAsia="宋体" w:cs="宋体"/>
          <w:u w:val="single"/>
          <w:lang w:val="en-US" w:eastAsia="zh-CN"/>
        </w:rPr>
        <w:t xml:space="preserve">                       </w:t>
      </w:r>
      <w:r>
        <w:rPr>
          <w:rFonts w:hint="eastAsia" w:ascii="宋体" w:hAnsi="宋体" w:eastAsia="宋体" w:cs="宋体"/>
        </w:rPr>
        <w:t xml:space="preserve"> </w:t>
      </w:r>
      <w:r>
        <w:rPr>
          <w:rFonts w:hint="eastAsia" w:ascii="宋体" w:hAnsi="宋体" w:eastAsia="宋体" w:cs="宋体"/>
          <w:lang w:eastAsia="zh-CN"/>
        </w:rPr>
        <w:t>（</w:t>
      </w:r>
      <w:r>
        <w:rPr>
          <w:rFonts w:hint="eastAsia" w:ascii="宋体" w:hAnsi="宋体" w:eastAsia="宋体" w:cs="宋体"/>
        </w:rPr>
        <w:t>项目名称）邀请公告的规定，我单位郑重声明如下：</w:t>
      </w:r>
    </w:p>
    <w:p w14:paraId="4A522C3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一、我单位是按照中华人民共和国法律规定登记注册的，注册地点为</w:t>
      </w:r>
      <w:r>
        <w:rPr>
          <w:rFonts w:hint="eastAsia" w:ascii="宋体" w:hAnsi="宋体" w:eastAsia="宋体" w:cs="宋体"/>
          <w:u w:val="single"/>
        </w:rPr>
        <w:t xml:space="preserve">               </w:t>
      </w:r>
      <w:r>
        <w:rPr>
          <w:rFonts w:hint="eastAsia" w:ascii="宋体" w:hAnsi="宋体" w:eastAsia="宋体" w:cs="宋体"/>
        </w:rPr>
        <w:t>，全称为</w:t>
      </w:r>
      <w:r>
        <w:rPr>
          <w:rFonts w:hint="eastAsia" w:ascii="宋体" w:hAnsi="宋体" w:eastAsia="宋体" w:cs="宋体"/>
          <w:u w:val="single"/>
        </w:rPr>
        <w:t xml:space="preserve">                </w:t>
      </w:r>
      <w:r>
        <w:rPr>
          <w:rFonts w:hint="eastAsia" w:ascii="宋体" w:hAnsi="宋体" w:eastAsia="宋体" w:cs="宋体"/>
        </w:rPr>
        <w:t>，统一社会信用代码为</w:t>
      </w:r>
      <w:r>
        <w:rPr>
          <w:rFonts w:hint="eastAsia" w:ascii="宋体" w:hAnsi="宋体" w:eastAsia="宋体" w:cs="宋体"/>
          <w:u w:val="single"/>
        </w:rPr>
        <w:t xml:space="preserve">                         </w:t>
      </w:r>
      <w:r>
        <w:rPr>
          <w:rFonts w:hint="eastAsia" w:ascii="宋体" w:hAnsi="宋体" w:eastAsia="宋体" w:cs="宋体"/>
        </w:rPr>
        <w:t xml:space="preserve">，法定代表人（单位负责人）为 </w:t>
      </w:r>
      <w:r>
        <w:rPr>
          <w:rFonts w:hint="eastAsia" w:ascii="宋体" w:hAnsi="宋体" w:eastAsia="宋体" w:cs="宋体"/>
          <w:u w:val="single"/>
        </w:rPr>
        <w:t xml:space="preserve">                 </w:t>
      </w:r>
      <w:r>
        <w:rPr>
          <w:rFonts w:hint="eastAsia" w:ascii="宋体" w:hAnsi="宋体" w:eastAsia="宋体" w:cs="宋体"/>
        </w:rPr>
        <w:t>，具有独立承担民事责任的能力。</w:t>
      </w:r>
    </w:p>
    <w:p w14:paraId="317FF2D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二、我单位具有良好的商业信誉和健全的财务会计制度。</w:t>
      </w:r>
    </w:p>
    <w:p w14:paraId="3F24AF0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三、我单位依法进行纳税和社会保险申报并实际履行了义务。</w:t>
      </w:r>
    </w:p>
    <w:p w14:paraId="67774AA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四、我单位具有履行本项目采购合同所必需的设备和专业技术能力，并具有履行合同的良好记录。</w:t>
      </w:r>
    </w:p>
    <w:p w14:paraId="5490177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五、我单位在参加采购项目政府采购活动前三年内，在经营活动中，未因违法经营受到刑事处罚或者责令停产停业、吊销许可证或者执照、较大数额罚款等行政处罚。其中较大数额罚款是指：达到处罚的行政处罚听证范围中“较大数额罚款”金额标准的；法律、法规、规章、国务院有关行政主管部门对“较大数额罚款”金额标准另有规定的，从其规定。</w:t>
      </w:r>
    </w:p>
    <w:p w14:paraId="1995ABB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供应商在参加政府采购活动前3年内因违法经营被禁止在一定期限内参加政府采购活动，期限届满的，可以参加政府采购活动。</w:t>
      </w:r>
    </w:p>
    <w:p w14:paraId="7984EB3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六、我单位具备法律、行政法规规定的其他条件。</w:t>
      </w:r>
    </w:p>
    <w:p w14:paraId="2C7309E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七、与我单位存在“单位负责人为同一人或者存在直接控股、管理关系”的其他单位信息如下（如无，填写“无”）：</w:t>
      </w:r>
    </w:p>
    <w:p w14:paraId="1ED002D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1、与我单位的法定代表人（单位负责人）为同一人的其他单位如下：</w:t>
      </w:r>
    </w:p>
    <w:p w14:paraId="266384E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2、我单位直接控股的其他单位如下：</w:t>
      </w:r>
    </w:p>
    <w:p w14:paraId="219BD5C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3、与我单位存在管理关系的其他单位如下：</w:t>
      </w:r>
    </w:p>
    <w:p w14:paraId="6C929FE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八、我单位不属于为本项目提供整体设计、规范编制或者项目管理、监理、检测等服务的供应商。</w:t>
      </w:r>
    </w:p>
    <w:p w14:paraId="0D3D82B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九、我单位无以下不良信用记录情形：</w:t>
      </w:r>
    </w:p>
    <w:p w14:paraId="3919C61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1、在“信用中国”网站被列入失信被执行人和重大税收违法案件当事人名单；</w:t>
      </w:r>
    </w:p>
    <w:p w14:paraId="2CDE56A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2、在“中国政府采购网”网站被列入政府采购严重违法失信行为记录名单；</w:t>
      </w:r>
    </w:p>
    <w:p w14:paraId="0368D02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3、不符合《政府采购法》第二十二条规定的条件。</w:t>
      </w:r>
    </w:p>
    <w:p w14:paraId="60C36FE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我单位保证上述声明的事项都是真实的，如有虚假，我单位愿意承担相应的法律责任，并承担因此所造成的一切损失。</w:t>
      </w:r>
    </w:p>
    <w:p w14:paraId="79318D9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rPr>
      </w:pPr>
      <w:r>
        <w:rPr>
          <w:rFonts w:hint="eastAsia" w:ascii="宋体" w:hAnsi="宋体" w:eastAsia="宋体" w:cs="宋体"/>
        </w:rPr>
        <w:t>注：第三条“良好的商业信誉”是指供应商经营状况良好，无本承诺函第九条情形</w:t>
      </w:r>
      <w:r>
        <w:rPr>
          <w:rFonts w:hint="eastAsia" w:ascii="宋体" w:hAnsi="宋体" w:eastAsia="宋体" w:cs="宋体"/>
          <w:color w:val="auto"/>
        </w:rPr>
        <w:t>。</w:t>
      </w:r>
    </w:p>
    <w:tbl>
      <w:tblPr>
        <w:tblStyle w:val="34"/>
        <w:tblpPr w:leftFromText="180" w:rightFromText="180" w:vertAnchor="text" w:horzAnchor="page" w:tblpX="1397" w:tblpY="1398"/>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8"/>
        <w:gridCol w:w="2039"/>
        <w:gridCol w:w="1185"/>
        <w:gridCol w:w="2602"/>
      </w:tblGrid>
      <w:tr w14:paraId="693C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698" w:type="dxa"/>
            <w:tcBorders>
              <w:top w:val="nil"/>
              <w:left w:val="nil"/>
              <w:bottom w:val="nil"/>
              <w:right w:val="nil"/>
            </w:tcBorders>
            <w:vAlign w:val="center"/>
          </w:tcPr>
          <w:p w14:paraId="0B07CDB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lang w:eastAsia="zh-CN"/>
              </w:rPr>
              <w:t>供应商</w:t>
            </w:r>
            <w:r>
              <w:rPr>
                <w:rFonts w:hint="eastAsia"/>
                <w:color w:val="auto"/>
              </w:rPr>
              <w:t>名称（加盖公章）：</w:t>
            </w:r>
          </w:p>
        </w:tc>
        <w:tc>
          <w:tcPr>
            <w:tcW w:w="5826" w:type="dxa"/>
            <w:gridSpan w:val="3"/>
            <w:tcBorders>
              <w:top w:val="nil"/>
              <w:left w:val="nil"/>
              <w:bottom w:val="nil"/>
              <w:right w:val="nil"/>
            </w:tcBorders>
            <w:vAlign w:val="center"/>
          </w:tcPr>
          <w:p w14:paraId="3EDB857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color w:val="auto"/>
              </w:rPr>
            </w:pPr>
          </w:p>
        </w:tc>
      </w:tr>
      <w:tr w14:paraId="40C6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98" w:type="dxa"/>
            <w:tcBorders>
              <w:top w:val="nil"/>
              <w:left w:val="nil"/>
              <w:bottom w:val="nil"/>
              <w:right w:val="nil"/>
            </w:tcBorders>
            <w:vAlign w:val="center"/>
          </w:tcPr>
          <w:p w14:paraId="5B1117F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2039" w:type="dxa"/>
            <w:tcBorders>
              <w:top w:val="nil"/>
              <w:left w:val="nil"/>
              <w:bottom w:val="nil"/>
              <w:right w:val="nil"/>
            </w:tcBorders>
            <w:vAlign w:val="center"/>
          </w:tcPr>
          <w:p w14:paraId="476660A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1185" w:type="dxa"/>
            <w:tcBorders>
              <w:top w:val="nil"/>
              <w:left w:val="nil"/>
              <w:bottom w:val="nil"/>
              <w:right w:val="nil"/>
            </w:tcBorders>
            <w:vAlign w:val="center"/>
          </w:tcPr>
          <w:p w14:paraId="0B5F5FB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rPr>
              <w:t>日期：</w:t>
            </w:r>
          </w:p>
        </w:tc>
        <w:tc>
          <w:tcPr>
            <w:tcW w:w="2602" w:type="dxa"/>
            <w:tcBorders>
              <w:top w:val="nil"/>
              <w:left w:val="nil"/>
              <w:bottom w:val="nil"/>
              <w:right w:val="nil"/>
            </w:tcBorders>
            <w:vAlign w:val="center"/>
          </w:tcPr>
          <w:p w14:paraId="293069E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rPr>
              <w:t>年   月   日</w:t>
            </w:r>
          </w:p>
        </w:tc>
      </w:tr>
    </w:tbl>
    <w:p w14:paraId="7331277E">
      <w:pPr>
        <w:pStyle w:val="44"/>
        <w:spacing w:before="156"/>
        <w:ind w:firstLine="0" w:firstLineChars="0"/>
        <w:rPr>
          <w:color w:val="auto"/>
        </w:rPr>
      </w:pPr>
    </w:p>
    <w:p w14:paraId="7F1AD0E8">
      <w:pPr>
        <w:pStyle w:val="44"/>
        <w:spacing w:before="156"/>
        <w:ind w:firstLine="480"/>
        <w:rPr>
          <w:color w:val="auto"/>
        </w:rPr>
      </w:pPr>
    </w:p>
    <w:p w14:paraId="05AC25FA">
      <w:pPr>
        <w:rPr>
          <w:rFonts w:ascii="方正小标宋_GBK" w:eastAsia="方正小标宋_GBK" w:cs="方正小标宋_GBK"/>
          <w:color w:val="auto"/>
          <w:sz w:val="32"/>
          <w:szCs w:val="28"/>
        </w:rPr>
      </w:pPr>
      <w:r>
        <w:rPr>
          <w:rFonts w:hint="eastAsia" w:ascii="方正小标宋_GBK" w:eastAsia="方正小标宋_GBK" w:cs="方正小标宋_GBK"/>
          <w:color w:val="auto"/>
          <w:sz w:val="32"/>
          <w:szCs w:val="28"/>
        </w:rPr>
        <w:br w:type="page"/>
      </w:r>
    </w:p>
    <w:p w14:paraId="4894205A">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附件3-4无重大违法记录声明函、无不良信用记录声明函</w:t>
      </w:r>
    </w:p>
    <w:p w14:paraId="0523D9DF">
      <w:pPr>
        <w:rPr>
          <w:rFonts w:hint="eastAsia"/>
        </w:rPr>
      </w:pPr>
    </w:p>
    <w:p w14:paraId="245ED97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color w:val="auto"/>
          <w:sz w:val="32"/>
          <w:szCs w:val="28"/>
        </w:rPr>
      </w:pPr>
      <w:r>
        <w:rPr>
          <w:rFonts w:hint="eastAsia" w:ascii="宋体" w:hAnsi="宋体" w:eastAsia="宋体" w:cs="宋体"/>
          <w:b/>
          <w:bCs/>
          <w:color w:val="auto"/>
          <w:sz w:val="32"/>
          <w:szCs w:val="28"/>
        </w:rPr>
        <w:t>无重大违法记录声明函、无不良信用记录声明函</w:t>
      </w:r>
    </w:p>
    <w:p w14:paraId="16CBCC0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i/>
          <w:iCs/>
          <w:color w:val="auto"/>
          <w:szCs w:val="28"/>
        </w:rPr>
      </w:pPr>
      <w:r>
        <w:rPr>
          <w:rFonts w:hint="eastAsia" w:ascii="宋体" w:hAnsi="宋体" w:eastAsia="宋体" w:cs="宋体"/>
          <w:i/>
          <w:iCs/>
          <w:color w:val="auto"/>
          <w:lang w:eastAsia="zh-CN"/>
        </w:rPr>
        <w:t>（</w:t>
      </w:r>
      <w:r>
        <w:rPr>
          <w:rFonts w:hint="eastAsia" w:ascii="宋体" w:hAnsi="宋体" w:eastAsia="宋体" w:cs="宋体"/>
          <w:i/>
          <w:iCs/>
          <w:color w:val="auto"/>
        </w:rPr>
        <w:t>联合体参加</w:t>
      </w:r>
      <w:r>
        <w:rPr>
          <w:rFonts w:hint="eastAsia" w:ascii="宋体" w:hAnsi="宋体" w:eastAsia="宋体" w:cs="宋体"/>
          <w:i/>
          <w:iCs/>
          <w:color w:val="auto"/>
          <w:lang w:val="en-US" w:eastAsia="zh-CN"/>
        </w:rPr>
        <w:t>谈判</w:t>
      </w:r>
      <w:r>
        <w:rPr>
          <w:rFonts w:hint="eastAsia" w:ascii="宋体" w:hAnsi="宋体" w:eastAsia="宋体" w:cs="宋体"/>
          <w:i/>
          <w:iCs/>
          <w:color w:val="auto"/>
        </w:rPr>
        <w:t>的，联合体双方均须提供）</w:t>
      </w:r>
    </w:p>
    <w:p w14:paraId="726FFD5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19AD733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2.本单位郑重声明，我单位无以下不良信用记录情形：</w:t>
      </w:r>
    </w:p>
    <w:p w14:paraId="3A28B63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（1）被人民法院列入失信被执行人；</w:t>
      </w:r>
    </w:p>
    <w:p w14:paraId="74519C2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（2）单位、法定代表人或拟派项目经理（项目负责人）被人民检察院列入行贿犯罪档案；</w:t>
      </w:r>
    </w:p>
    <w:p w14:paraId="1E890A4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（3）被</w:t>
      </w:r>
      <w:r>
        <w:rPr>
          <w:rFonts w:hint="eastAsia" w:ascii="宋体" w:hAnsi="宋体" w:cs="宋体"/>
          <w:lang w:eastAsia="zh-CN"/>
        </w:rPr>
        <w:t>市场监督管理部门</w:t>
      </w:r>
      <w:r>
        <w:rPr>
          <w:rFonts w:hint="eastAsia" w:ascii="宋体" w:hAnsi="宋体" w:eastAsia="宋体" w:cs="宋体"/>
        </w:rPr>
        <w:t>列入企业经营异常名录；</w:t>
      </w:r>
    </w:p>
    <w:p w14:paraId="0CA2A71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（4）被税务部门列入重大税收违法案件当事人名单；</w:t>
      </w:r>
    </w:p>
    <w:p w14:paraId="2481C62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（5）被政府采购监管部门列入政府采购严重违法失信行为记录名单。</w:t>
      </w:r>
    </w:p>
    <w:p w14:paraId="3A6FEB8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rPr>
      </w:pPr>
      <w:r>
        <w:rPr>
          <w:rFonts w:hint="eastAsia" w:ascii="宋体" w:hAnsi="宋体" w:eastAsia="宋体" w:cs="宋体"/>
        </w:rPr>
        <w:t>3.</w:t>
      </w:r>
      <w:r>
        <w:rPr>
          <w:rFonts w:hint="eastAsia" w:ascii="宋体" w:hAnsi="宋体" w:eastAsia="宋体" w:cs="宋体"/>
          <w:u w:val="single"/>
        </w:rPr>
        <w:t xml:space="preserve">                               </w:t>
      </w:r>
    </w:p>
    <w:p w14:paraId="04B2844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textAlignment w:val="auto"/>
        <w:rPr>
          <w:rFonts w:hint="eastAsia" w:ascii="宋体" w:hAnsi="宋体" w:eastAsia="宋体" w:cs="宋体"/>
          <w:color w:val="auto"/>
        </w:rPr>
      </w:pPr>
      <w:r>
        <w:rPr>
          <w:rFonts w:hint="eastAsia" w:ascii="宋体" w:hAnsi="宋体" w:eastAsia="宋体" w:cs="宋体"/>
        </w:rPr>
        <w:t>本单位对上述声明的真实性负责。如有虚假，将依法承担相应责任</w:t>
      </w:r>
      <w:r>
        <w:rPr>
          <w:rFonts w:hint="eastAsia" w:ascii="宋体" w:hAnsi="宋体" w:eastAsia="宋体" w:cs="宋体"/>
          <w:color w:val="auto"/>
        </w:rPr>
        <w:t>。</w:t>
      </w:r>
    </w:p>
    <w:tbl>
      <w:tblPr>
        <w:tblStyle w:val="34"/>
        <w:tblpPr w:leftFromText="180" w:rightFromText="180" w:vertAnchor="text" w:horzAnchor="page" w:tblpX="1397" w:tblpY="1398"/>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2"/>
        <w:gridCol w:w="1795"/>
        <w:gridCol w:w="1185"/>
        <w:gridCol w:w="2602"/>
      </w:tblGrid>
      <w:tr w14:paraId="34BB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942" w:type="dxa"/>
            <w:tcBorders>
              <w:top w:val="nil"/>
              <w:left w:val="nil"/>
              <w:bottom w:val="nil"/>
              <w:right w:val="nil"/>
            </w:tcBorders>
            <w:vAlign w:val="center"/>
          </w:tcPr>
          <w:p w14:paraId="7773A3A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lang w:eastAsia="zh-CN"/>
              </w:rPr>
              <w:t>供应商</w:t>
            </w:r>
            <w:r>
              <w:rPr>
                <w:rFonts w:hint="eastAsia"/>
                <w:color w:val="auto"/>
              </w:rPr>
              <w:t>名称（加盖公章）：</w:t>
            </w:r>
          </w:p>
        </w:tc>
        <w:tc>
          <w:tcPr>
            <w:tcW w:w="5582" w:type="dxa"/>
            <w:gridSpan w:val="3"/>
            <w:tcBorders>
              <w:top w:val="nil"/>
              <w:left w:val="nil"/>
              <w:bottom w:val="nil"/>
              <w:right w:val="nil"/>
            </w:tcBorders>
            <w:vAlign w:val="center"/>
          </w:tcPr>
          <w:p w14:paraId="6921AF7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color w:val="auto"/>
              </w:rPr>
            </w:pPr>
          </w:p>
        </w:tc>
      </w:tr>
      <w:tr w14:paraId="43ED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2" w:type="dxa"/>
            <w:tcBorders>
              <w:top w:val="nil"/>
              <w:left w:val="nil"/>
              <w:bottom w:val="nil"/>
              <w:right w:val="nil"/>
            </w:tcBorders>
            <w:vAlign w:val="center"/>
          </w:tcPr>
          <w:p w14:paraId="222FB01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1795" w:type="dxa"/>
            <w:tcBorders>
              <w:top w:val="nil"/>
              <w:left w:val="nil"/>
              <w:bottom w:val="nil"/>
              <w:right w:val="nil"/>
            </w:tcBorders>
            <w:vAlign w:val="center"/>
          </w:tcPr>
          <w:p w14:paraId="1A68849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1185" w:type="dxa"/>
            <w:tcBorders>
              <w:top w:val="nil"/>
              <w:left w:val="nil"/>
              <w:bottom w:val="nil"/>
              <w:right w:val="nil"/>
            </w:tcBorders>
            <w:vAlign w:val="center"/>
          </w:tcPr>
          <w:p w14:paraId="783F570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rPr>
              <w:t>日期：</w:t>
            </w:r>
          </w:p>
        </w:tc>
        <w:tc>
          <w:tcPr>
            <w:tcW w:w="2602" w:type="dxa"/>
            <w:tcBorders>
              <w:top w:val="nil"/>
              <w:left w:val="nil"/>
              <w:bottom w:val="nil"/>
              <w:right w:val="nil"/>
            </w:tcBorders>
            <w:vAlign w:val="center"/>
          </w:tcPr>
          <w:p w14:paraId="05CE1EE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rPr>
              <w:t>年   月   日</w:t>
            </w:r>
          </w:p>
        </w:tc>
      </w:tr>
    </w:tbl>
    <w:p w14:paraId="01EF15E5">
      <w:pPr>
        <w:pStyle w:val="44"/>
        <w:spacing w:before="156"/>
        <w:ind w:firstLine="480"/>
        <w:rPr>
          <w:color w:val="auto"/>
        </w:rPr>
      </w:pPr>
    </w:p>
    <w:p w14:paraId="39F48A26">
      <w:pPr>
        <w:rPr>
          <w:rFonts w:ascii="宋体" w:cs="Times New Roman"/>
          <w:color w:val="auto"/>
        </w:rPr>
      </w:pPr>
      <w:r>
        <w:rPr>
          <w:rFonts w:ascii="宋体" w:cs="Times New Roman"/>
          <w:color w:val="auto"/>
        </w:rPr>
        <w:br w:type="page"/>
      </w:r>
    </w:p>
    <w:p w14:paraId="4321FABE">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附件3-5存在关联关系的</w:t>
      </w:r>
      <w:r>
        <w:rPr>
          <w:rFonts w:hint="eastAsia" w:ascii="黑体" w:hAnsi="黑体" w:eastAsia="黑体" w:cs="黑体"/>
          <w:color w:val="auto"/>
          <w:lang w:eastAsia="zh-CN"/>
        </w:rPr>
        <w:t>供应商</w:t>
      </w:r>
      <w:r>
        <w:rPr>
          <w:rFonts w:hint="eastAsia" w:ascii="黑体" w:hAnsi="黑体" w:eastAsia="黑体" w:cs="黑体"/>
          <w:color w:val="auto"/>
        </w:rPr>
        <w:t>不参与</w:t>
      </w:r>
      <w:r>
        <w:rPr>
          <w:rFonts w:hint="eastAsia" w:ascii="黑体" w:hAnsi="黑体" w:eastAsia="黑体" w:cs="黑体"/>
          <w:color w:val="auto"/>
          <w:lang w:val="en-US" w:eastAsia="zh-CN"/>
        </w:rPr>
        <w:t>谈判</w:t>
      </w:r>
      <w:r>
        <w:rPr>
          <w:rFonts w:hint="eastAsia" w:ascii="黑体" w:hAnsi="黑体" w:eastAsia="黑体" w:cs="黑体"/>
          <w:color w:val="auto"/>
        </w:rPr>
        <w:t>项目竞争的承诺书</w:t>
      </w:r>
    </w:p>
    <w:p w14:paraId="074ED2C8">
      <w:pPr>
        <w:pStyle w:val="44"/>
        <w:spacing w:before="156"/>
        <w:ind w:firstLine="0" w:firstLineChars="0"/>
        <w:jc w:val="center"/>
        <w:rPr>
          <w:rFonts w:ascii="方正小标宋_GBK" w:hAnsi="方正小标宋_GBK" w:eastAsia="方正小标宋_GBK" w:cs="方正小标宋_GBK"/>
          <w:color w:val="auto"/>
          <w:sz w:val="32"/>
          <w:szCs w:val="28"/>
        </w:rPr>
      </w:pPr>
    </w:p>
    <w:p w14:paraId="7E4171A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color w:val="auto"/>
        </w:rPr>
      </w:pPr>
      <w:r>
        <w:rPr>
          <w:rFonts w:hint="eastAsia" w:ascii="宋体" w:hAnsi="宋体" w:eastAsia="宋体" w:cs="宋体"/>
          <w:b/>
          <w:bCs/>
          <w:i w:val="0"/>
          <w:iCs w:val="0"/>
          <w:color w:val="auto"/>
          <w:sz w:val="32"/>
          <w:szCs w:val="28"/>
        </w:rPr>
        <w:t>存在关联关系的</w:t>
      </w:r>
      <w:r>
        <w:rPr>
          <w:rFonts w:hint="eastAsia" w:ascii="宋体" w:hAnsi="宋体" w:eastAsia="宋体" w:cs="宋体"/>
          <w:b/>
          <w:bCs/>
          <w:i w:val="0"/>
          <w:iCs w:val="0"/>
          <w:color w:val="auto"/>
          <w:sz w:val="32"/>
          <w:szCs w:val="28"/>
          <w:lang w:eastAsia="zh-CN"/>
        </w:rPr>
        <w:t>供应商</w:t>
      </w:r>
      <w:r>
        <w:rPr>
          <w:rFonts w:hint="eastAsia" w:ascii="宋体" w:hAnsi="宋体" w:eastAsia="宋体" w:cs="宋体"/>
          <w:b/>
          <w:bCs/>
          <w:i w:val="0"/>
          <w:iCs w:val="0"/>
          <w:color w:val="auto"/>
          <w:sz w:val="32"/>
          <w:szCs w:val="28"/>
        </w:rPr>
        <w:t>不参与</w:t>
      </w:r>
      <w:r>
        <w:rPr>
          <w:rFonts w:hint="eastAsia" w:ascii="宋体" w:hAnsi="宋体" w:eastAsia="宋体" w:cs="宋体"/>
          <w:b/>
          <w:bCs/>
          <w:i w:val="0"/>
          <w:iCs w:val="0"/>
          <w:color w:val="auto"/>
          <w:sz w:val="32"/>
          <w:szCs w:val="28"/>
          <w:lang w:val="en-US" w:eastAsia="zh-CN"/>
        </w:rPr>
        <w:t>谈判</w:t>
      </w:r>
      <w:r>
        <w:rPr>
          <w:rFonts w:hint="eastAsia" w:ascii="宋体" w:hAnsi="宋体" w:eastAsia="宋体" w:cs="宋体"/>
          <w:b/>
          <w:bCs/>
          <w:i w:val="0"/>
          <w:iCs w:val="0"/>
          <w:color w:val="auto"/>
          <w:sz w:val="32"/>
          <w:szCs w:val="28"/>
        </w:rPr>
        <w:t>项目竞争的承诺书</w:t>
      </w:r>
    </w:p>
    <w:p w14:paraId="3C38A14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根据《政府采购法实施条例》第十八条的规定，本公司郑重承诺：</w:t>
      </w:r>
    </w:p>
    <w:p w14:paraId="096197B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1、本公司与参与该项目的其他供应商不存在单位负责人为同一人或者存在直接控股、管理关系。</w:t>
      </w:r>
    </w:p>
    <w:p w14:paraId="0936BA0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2、为本项目提供整体设计、规范编制或者项目管理、监理、检测等服务的供应商，不参加该采购项目的其他采购活动。</w:t>
      </w:r>
    </w:p>
    <w:p w14:paraId="20A087F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sz w:val="24"/>
          <w:szCs w:val="24"/>
        </w:rPr>
        <w:t>本公司对上述承诺的真实性负责。如有虚假，依法承担相应的法律责任</w:t>
      </w:r>
      <w:r>
        <w:rPr>
          <w:rFonts w:hint="eastAsia" w:ascii="宋体" w:hAnsi="宋体" w:eastAsia="宋体" w:cs="宋体"/>
          <w:color w:val="auto"/>
          <w:sz w:val="24"/>
          <w:szCs w:val="24"/>
        </w:rPr>
        <w:t>。</w:t>
      </w:r>
    </w:p>
    <w:tbl>
      <w:tblPr>
        <w:tblStyle w:val="34"/>
        <w:tblpPr w:leftFromText="180" w:rightFromText="180" w:vertAnchor="text" w:horzAnchor="page" w:tblpX="1307" w:tblpY="298"/>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8"/>
        <w:gridCol w:w="1719"/>
        <w:gridCol w:w="1185"/>
        <w:gridCol w:w="2602"/>
      </w:tblGrid>
      <w:tr w14:paraId="1CFF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4018" w:type="dxa"/>
            <w:tcBorders>
              <w:top w:val="nil"/>
              <w:left w:val="nil"/>
              <w:bottom w:val="nil"/>
              <w:right w:val="nil"/>
            </w:tcBorders>
            <w:vAlign w:val="center"/>
          </w:tcPr>
          <w:p w14:paraId="40E4407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0" w:firstLineChars="0"/>
              <w:jc w:val="both"/>
              <w:textAlignment w:val="auto"/>
              <w:rPr>
                <w:rFonts w:hint="eastAsia" w:ascii="宋体" w:hAnsi="宋体" w:eastAsia="宋体" w:cs="宋体"/>
                <w:color w:val="auto"/>
                <w:sz w:val="24"/>
                <w:szCs w:val="24"/>
              </w:rPr>
            </w:pP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名称（加盖公章）</w:t>
            </w:r>
            <w:r>
              <w:rPr>
                <w:rFonts w:hint="eastAsia" w:ascii="宋体" w:hAnsi="宋体" w:eastAsia="宋体" w:cs="宋体"/>
                <w:color w:val="auto"/>
                <w:sz w:val="24"/>
                <w:szCs w:val="24"/>
              </w:rPr>
              <w:t>：</w:t>
            </w:r>
          </w:p>
        </w:tc>
        <w:tc>
          <w:tcPr>
            <w:tcW w:w="5506" w:type="dxa"/>
            <w:gridSpan w:val="3"/>
            <w:tcBorders>
              <w:top w:val="nil"/>
              <w:left w:val="nil"/>
              <w:bottom w:val="nil"/>
              <w:right w:val="nil"/>
            </w:tcBorders>
            <w:vAlign w:val="center"/>
          </w:tcPr>
          <w:p w14:paraId="7D3BCBD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color w:val="auto"/>
                <w:sz w:val="24"/>
                <w:szCs w:val="24"/>
              </w:rPr>
            </w:pPr>
          </w:p>
        </w:tc>
      </w:tr>
      <w:tr w14:paraId="4363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8" w:type="dxa"/>
            <w:tcBorders>
              <w:top w:val="nil"/>
              <w:left w:val="nil"/>
              <w:bottom w:val="nil"/>
              <w:right w:val="nil"/>
            </w:tcBorders>
            <w:vAlign w:val="center"/>
          </w:tcPr>
          <w:p w14:paraId="1394134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color w:val="auto"/>
                <w:sz w:val="24"/>
                <w:szCs w:val="24"/>
              </w:rPr>
            </w:pPr>
          </w:p>
        </w:tc>
        <w:tc>
          <w:tcPr>
            <w:tcW w:w="1719" w:type="dxa"/>
            <w:tcBorders>
              <w:top w:val="nil"/>
              <w:left w:val="nil"/>
              <w:bottom w:val="nil"/>
              <w:right w:val="nil"/>
            </w:tcBorders>
            <w:vAlign w:val="center"/>
          </w:tcPr>
          <w:p w14:paraId="73FC1CC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color w:val="auto"/>
                <w:sz w:val="24"/>
                <w:szCs w:val="24"/>
              </w:rPr>
            </w:pPr>
          </w:p>
        </w:tc>
        <w:tc>
          <w:tcPr>
            <w:tcW w:w="1185" w:type="dxa"/>
            <w:tcBorders>
              <w:top w:val="nil"/>
              <w:left w:val="nil"/>
              <w:bottom w:val="nil"/>
              <w:right w:val="nil"/>
            </w:tcBorders>
            <w:vAlign w:val="center"/>
          </w:tcPr>
          <w:p w14:paraId="6B50E85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0" w:firstLineChars="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p>
        </w:tc>
        <w:tc>
          <w:tcPr>
            <w:tcW w:w="2602" w:type="dxa"/>
            <w:tcBorders>
              <w:top w:val="nil"/>
              <w:left w:val="nil"/>
              <w:bottom w:val="nil"/>
              <w:right w:val="nil"/>
            </w:tcBorders>
            <w:vAlign w:val="center"/>
          </w:tcPr>
          <w:p w14:paraId="15BD9C6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tc>
      </w:tr>
    </w:tbl>
    <w:p w14:paraId="6609E801">
      <w:pPr>
        <w:rPr>
          <w:color w:val="auto"/>
        </w:rPr>
      </w:pPr>
      <w:r>
        <w:rPr>
          <w:rFonts w:hint="eastAsia"/>
          <w:color w:val="auto"/>
        </w:rPr>
        <w:br w:type="page"/>
      </w:r>
    </w:p>
    <w:p w14:paraId="62C1A787">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lang w:val="en-US" w:eastAsia="zh-CN"/>
        </w:rPr>
      </w:pPr>
      <w:r>
        <w:rPr>
          <w:rFonts w:hint="eastAsia" w:ascii="黑体" w:hAnsi="黑体" w:eastAsia="黑体" w:cs="黑体"/>
          <w:color w:val="auto"/>
        </w:rPr>
        <w:t>附件3-6</w:t>
      </w:r>
      <w:r>
        <w:rPr>
          <w:rFonts w:hint="eastAsia" w:ascii="黑体" w:hAnsi="黑体" w:eastAsia="黑体" w:cs="黑体"/>
          <w:color w:val="auto"/>
          <w:lang w:val="en-US" w:eastAsia="zh-CN"/>
        </w:rPr>
        <w:t>湖南省政府采购供应商资格承诺函</w:t>
      </w:r>
    </w:p>
    <w:p w14:paraId="6D010722">
      <w:pPr>
        <w:rPr>
          <w:rFonts w:hint="eastAsia"/>
        </w:rPr>
      </w:pPr>
    </w:p>
    <w:p w14:paraId="2279492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i w:val="0"/>
          <w:iCs w:val="0"/>
          <w:color w:val="auto"/>
          <w:sz w:val="32"/>
          <w:szCs w:val="28"/>
        </w:rPr>
      </w:pPr>
      <w:r>
        <w:rPr>
          <w:rFonts w:hint="eastAsia" w:ascii="宋体" w:hAnsi="宋体" w:eastAsia="宋体" w:cs="宋体"/>
          <w:b/>
          <w:bCs/>
          <w:i w:val="0"/>
          <w:iCs w:val="0"/>
          <w:color w:val="auto"/>
          <w:sz w:val="32"/>
          <w:szCs w:val="28"/>
        </w:rPr>
        <w:t>湖南省政府采购供应商资格承诺函</w:t>
      </w:r>
    </w:p>
    <w:p w14:paraId="3B06B3A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重大违法记录系指单位或者其法定代表人、董事、监事、高级管理人员因经营活动中的违法行为受到刑事处罚或受到责令停产停业、吊销许可证或者执照、较大数额罚款等行政处罚，但警告和罚款额在贰佰万元以下的行政处罚除外），未列入严重失信行为名单（严重失信行为名单系指失信被执行人、重大税收违法案件当事人名单、政府采购严重违法失信行为记录名单），符合政府采购供应商的基本资格要求。</w:t>
      </w:r>
    </w:p>
    <w:p w14:paraId="6F67E21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textAlignment w:val="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w:t>
      </w:r>
      <w:r>
        <w:rPr>
          <w:rFonts w:hint="eastAsia" w:ascii="宋体" w:hAnsi="宋体" w:eastAsia="宋体" w:cs="宋体"/>
          <w:color w:val="000000"/>
          <w:sz w:val="24"/>
          <w:szCs w:val="24"/>
          <w:shd w:val="clear" w:color="auto" w:fill="FFFFFF"/>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中型</w:t>
      </w:r>
      <w:r>
        <w:rPr>
          <w:rFonts w:hint="eastAsia" w:ascii="宋体" w:hAnsi="宋体" w:eastAsia="宋体" w:cs="宋体"/>
          <w:color w:val="000000"/>
          <w:sz w:val="24"/>
          <w:szCs w:val="24"/>
          <w:shd w:val="clear" w:color="auto" w:fill="FFFFFF"/>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小型</w:t>
      </w:r>
      <w:r>
        <w:rPr>
          <w:rFonts w:hint="eastAsia" w:ascii="宋体" w:hAnsi="宋体" w:eastAsia="宋体" w:cs="宋体"/>
          <w:color w:val="000000"/>
          <w:sz w:val="24"/>
          <w:szCs w:val="24"/>
          <w:shd w:val="clear" w:color="auto" w:fill="FFFFFF"/>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微型</w:t>
      </w:r>
      <w:r>
        <w:rPr>
          <w:rFonts w:hint="eastAsia" w:ascii="宋体" w:hAnsi="宋体" w:eastAsia="宋体" w:cs="宋体"/>
          <w:color w:val="000000"/>
          <w:sz w:val="24"/>
          <w:szCs w:val="24"/>
          <w:shd w:val="clear" w:color="auto" w:fill="FFFFFF"/>
        </w:rPr>
        <w:sym w:font="Wingdings" w:char="00A8"/>
      </w:r>
    </w:p>
    <w:p w14:paraId="278E13A4">
      <w:pPr>
        <w:pStyle w:val="44"/>
        <w:bidi w:val="0"/>
        <w:ind w:firstLine="6000" w:firstLineChars="2500"/>
        <w:rPr>
          <w:rFonts w:hint="eastAsia" w:ascii="宋体" w:hAnsi="宋体" w:eastAsia="宋体" w:cs="宋体"/>
          <w:sz w:val="24"/>
          <w:szCs w:val="24"/>
        </w:rPr>
      </w:pPr>
      <w:r>
        <w:rPr>
          <w:rFonts w:hint="eastAsia" w:ascii="宋体" w:hAnsi="宋体" w:eastAsia="宋体" w:cs="宋体"/>
          <w:sz w:val="24"/>
          <w:szCs w:val="24"/>
        </w:rPr>
        <w:t>公司（单位）名称（盖章）</w:t>
      </w:r>
    </w:p>
    <w:p w14:paraId="3C98D266">
      <w:pPr>
        <w:pStyle w:val="44"/>
        <w:bidi w:val="0"/>
        <w:ind w:left="0" w:leftChars="0" w:firstLine="6000" w:firstLineChars="2500"/>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日</w:t>
      </w:r>
    </w:p>
    <w:p w14:paraId="49969B7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p>
    <w:p w14:paraId="23F390A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机构代码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注册登记机构</w:t>
      </w:r>
      <w:r>
        <w:rPr>
          <w:rFonts w:hint="eastAsia" w:ascii="宋体" w:hAnsi="宋体" w:eastAsia="宋体" w:cs="宋体"/>
          <w:color w:val="auto"/>
          <w:sz w:val="24"/>
          <w:szCs w:val="24"/>
          <w:u w:val="single"/>
          <w:lang w:val="en-US" w:eastAsia="zh-CN"/>
        </w:rPr>
        <w:t xml:space="preserve">                         </w:t>
      </w:r>
    </w:p>
    <w:p w14:paraId="00F7D6C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期</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有效期</w:t>
      </w:r>
      <w:r>
        <w:rPr>
          <w:rFonts w:hint="eastAsia" w:ascii="宋体" w:hAnsi="宋体" w:eastAsia="宋体" w:cs="宋体"/>
          <w:color w:val="auto"/>
          <w:sz w:val="24"/>
          <w:szCs w:val="24"/>
          <w:u w:val="single"/>
          <w:lang w:val="en-US" w:eastAsia="zh-CN"/>
        </w:rPr>
        <w:t xml:space="preserve">                               </w:t>
      </w:r>
    </w:p>
    <w:p w14:paraId="4877B8F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注册资本</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地</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址</w:t>
      </w:r>
      <w:r>
        <w:rPr>
          <w:rFonts w:hint="eastAsia" w:ascii="宋体" w:hAnsi="宋体" w:eastAsia="宋体" w:cs="宋体"/>
          <w:color w:val="auto"/>
          <w:sz w:val="24"/>
          <w:szCs w:val="24"/>
          <w:u w:val="single"/>
          <w:lang w:val="en-US" w:eastAsia="zh-CN"/>
        </w:rPr>
        <w:t xml:space="preserve">                               </w:t>
      </w:r>
    </w:p>
    <w:p w14:paraId="3875E6B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480" w:firstLineChars="200"/>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经济行业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rPr>
        <w:t>经济性质</w:t>
      </w:r>
      <w:r>
        <w:rPr>
          <w:rFonts w:hint="eastAsia" w:ascii="宋体" w:hAnsi="宋体" w:eastAsia="宋体" w:cs="宋体"/>
          <w:color w:val="auto"/>
          <w:sz w:val="24"/>
          <w:szCs w:val="24"/>
          <w:u w:val="single"/>
          <w:lang w:val="en-US" w:eastAsia="zh-CN"/>
        </w:rPr>
        <w:t xml:space="preserve">                             </w:t>
      </w:r>
    </w:p>
    <w:p w14:paraId="08473AC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法定代表人（负责人）姓名（签字）</w:t>
      </w:r>
      <w:r>
        <w:rPr>
          <w:rFonts w:hint="eastAsia" w:ascii="宋体" w:hAnsi="宋体" w:eastAsia="宋体" w:cs="宋体"/>
          <w:color w:val="auto"/>
          <w:sz w:val="24"/>
          <w:szCs w:val="24"/>
          <w:lang w:eastAsia="zh-CN"/>
        </w:rPr>
        <w:t>：</w:t>
      </w:r>
    </w:p>
    <w:p w14:paraId="4D397D7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lang w:eastAsia="zh-CN"/>
        </w:rPr>
        <w:t>：</w:t>
      </w:r>
    </w:p>
    <w:p w14:paraId="5CF60FA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手机号：</w:t>
      </w:r>
    </w:p>
    <w:p w14:paraId="2E1F708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授权代表人姓名（签字）</w:t>
      </w:r>
      <w:r>
        <w:rPr>
          <w:rFonts w:hint="eastAsia" w:ascii="宋体" w:hAnsi="宋体" w:eastAsia="宋体" w:cs="宋体"/>
          <w:color w:val="auto"/>
          <w:sz w:val="24"/>
          <w:szCs w:val="24"/>
          <w:lang w:eastAsia="zh-CN"/>
        </w:rPr>
        <w:t>：</w:t>
      </w:r>
    </w:p>
    <w:p w14:paraId="7E5CA1A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lang w:eastAsia="zh-CN"/>
        </w:rPr>
        <w:t>：</w:t>
      </w:r>
    </w:p>
    <w:p w14:paraId="451AC9D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手机号：</w:t>
      </w:r>
    </w:p>
    <w:p w14:paraId="754D3685">
      <w:pPr>
        <w:pStyle w:val="14"/>
        <w:bidi w:val="0"/>
        <w:ind w:firstLine="400" w:firstLineChars="200"/>
        <w:rPr>
          <w:rFonts w:hint="eastAsia"/>
        </w:rPr>
      </w:pPr>
    </w:p>
    <w:p w14:paraId="5A6E9C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为方便广大中小企业识别企业规模类型，工业和信息化部组织开发了中小企业规模类型自测小程序，在国务院客户端和工业和信息化部网站上（http://202.106.120.146/baosong/appweb/orgScale.html）均有链接，</w:t>
      </w:r>
      <w:r>
        <w:rPr>
          <w:rFonts w:hint="eastAsia" w:ascii="宋体" w:hAnsi="宋体" w:eastAsia="宋体" w:cs="宋体"/>
          <w:sz w:val="21"/>
          <w:szCs w:val="21"/>
          <w:lang w:val="en-US" w:eastAsia="zh-CN"/>
        </w:rPr>
        <w:t>供应商</w:t>
      </w:r>
      <w:r>
        <w:rPr>
          <w:rFonts w:hint="eastAsia" w:ascii="宋体" w:hAnsi="宋体" w:eastAsia="宋体" w:cs="宋体"/>
          <w:sz w:val="21"/>
          <w:szCs w:val="21"/>
        </w:rPr>
        <w:t>填写所属的行业和指标数据可自动生成企业规模类型测试结果。</w:t>
      </w:r>
    </w:p>
    <w:p w14:paraId="5E28D0C2">
      <w:pPr>
        <w:rPr>
          <w:rFonts w:hint="eastAsia" w:ascii="宋体" w:cs="Times New Roman"/>
          <w:color w:val="auto"/>
        </w:rPr>
      </w:pPr>
      <w:r>
        <w:rPr>
          <w:rFonts w:hint="eastAsia" w:ascii="宋体" w:cs="Times New Roman"/>
          <w:color w:val="auto"/>
        </w:rPr>
        <w:br w:type="page"/>
      </w:r>
    </w:p>
    <w:p w14:paraId="41B269FD">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附件3-</w:t>
      </w:r>
      <w:r>
        <w:rPr>
          <w:rFonts w:hint="eastAsia" w:ascii="黑体" w:hAnsi="黑体" w:eastAsia="黑体" w:cs="黑体"/>
          <w:color w:val="auto"/>
          <w:lang w:val="en-US" w:eastAsia="zh-CN"/>
        </w:rPr>
        <w:t>7谈判</w:t>
      </w:r>
      <w:r>
        <w:rPr>
          <w:rFonts w:hint="eastAsia" w:ascii="黑体" w:hAnsi="黑体" w:eastAsia="黑体" w:cs="黑体"/>
          <w:color w:val="auto"/>
        </w:rPr>
        <w:t>文件规定的特定资格条件证明资料</w:t>
      </w:r>
    </w:p>
    <w:p w14:paraId="49FBEA06">
      <w:pPr>
        <w:rPr>
          <w:rFonts w:hint="eastAsia"/>
        </w:rPr>
      </w:pPr>
    </w:p>
    <w:p w14:paraId="33E522A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ascii="宋体" w:hAnsi="宋体" w:eastAsia="宋体" w:cs="宋体"/>
          <w:b/>
          <w:bCs/>
          <w:i w:val="0"/>
          <w:iCs w:val="0"/>
          <w:color w:val="auto"/>
          <w:sz w:val="32"/>
          <w:szCs w:val="28"/>
        </w:rPr>
      </w:pPr>
      <w:r>
        <w:rPr>
          <w:rFonts w:hint="eastAsia" w:ascii="宋体" w:hAnsi="宋体" w:eastAsia="宋体" w:cs="宋体"/>
          <w:b/>
          <w:bCs/>
          <w:i w:val="0"/>
          <w:iCs w:val="0"/>
          <w:color w:val="auto"/>
          <w:sz w:val="32"/>
          <w:szCs w:val="28"/>
          <w:lang w:val="en-US" w:eastAsia="zh-CN"/>
        </w:rPr>
        <w:t>谈判</w:t>
      </w:r>
      <w:r>
        <w:rPr>
          <w:rFonts w:hint="eastAsia" w:ascii="宋体" w:hAnsi="宋体" w:eastAsia="宋体" w:cs="宋体"/>
          <w:b/>
          <w:bCs/>
          <w:i w:val="0"/>
          <w:iCs w:val="0"/>
          <w:color w:val="auto"/>
          <w:sz w:val="32"/>
          <w:szCs w:val="28"/>
        </w:rPr>
        <w:t>文件规定的特定资格条件证明资料</w:t>
      </w:r>
    </w:p>
    <w:p w14:paraId="3543D8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cs="Times New Roman"/>
          <w:color w:val="auto"/>
        </w:rPr>
      </w:pPr>
      <w:r>
        <w:rPr>
          <w:rFonts w:hint="eastAsia" w:ascii="宋体" w:cs="Times New Roman"/>
          <w:color w:val="auto"/>
        </w:rPr>
        <w:t>备注：提供第一章</w:t>
      </w:r>
      <w:r>
        <w:rPr>
          <w:rFonts w:hint="eastAsia" w:ascii="宋体" w:cs="Times New Roman"/>
          <w:b/>
          <w:bCs/>
          <w:color w:val="auto"/>
          <w:lang w:val="en-US" w:eastAsia="zh-CN"/>
        </w:rPr>
        <w:t>竞争性谈判</w:t>
      </w:r>
      <w:r>
        <w:rPr>
          <w:rFonts w:hint="eastAsia" w:ascii="宋体" w:cs="Times New Roman"/>
          <w:b/>
          <w:color w:val="auto"/>
        </w:rPr>
        <w:t>公告</w:t>
      </w:r>
      <w:r>
        <w:rPr>
          <w:rFonts w:hint="eastAsia" w:ascii="宋体" w:cs="Times New Roman"/>
          <w:color w:val="auto"/>
        </w:rPr>
        <w:t>第</w:t>
      </w:r>
      <w:r>
        <w:rPr>
          <w:rFonts w:hint="eastAsia" w:ascii="宋体" w:cs="Times New Roman"/>
          <w:color w:val="auto"/>
          <w:lang w:val="en-US" w:eastAsia="zh-CN"/>
        </w:rPr>
        <w:t>五</w:t>
      </w:r>
      <w:r>
        <w:rPr>
          <w:rFonts w:hint="eastAsia" w:ascii="宋体" w:cs="Times New Roman"/>
          <w:color w:val="auto"/>
        </w:rPr>
        <w:t>条</w:t>
      </w:r>
      <w:r>
        <w:rPr>
          <w:rFonts w:hint="eastAsia" w:ascii="宋体" w:cs="Times New Roman"/>
          <w:color w:val="auto"/>
          <w:lang w:eastAsia="zh-CN"/>
        </w:rPr>
        <w:t>供应商</w:t>
      </w:r>
      <w:r>
        <w:rPr>
          <w:rFonts w:hint="eastAsia" w:ascii="宋体" w:cs="Times New Roman"/>
          <w:color w:val="auto"/>
        </w:rPr>
        <w:t>特定资格条件证明资料的复印件。</w:t>
      </w:r>
    </w:p>
    <w:p w14:paraId="18E8A2F2">
      <w:pPr>
        <w:rPr>
          <w:rFonts w:ascii="宋体" w:cs="Times New Roman"/>
          <w:color w:val="auto"/>
        </w:rPr>
      </w:pPr>
      <w:r>
        <w:rPr>
          <w:rFonts w:hint="eastAsia" w:ascii="宋体" w:cs="Times New Roman"/>
          <w:color w:val="auto"/>
        </w:rPr>
        <w:br w:type="page"/>
      </w:r>
    </w:p>
    <w:p w14:paraId="015FC21B">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360" w:lineRule="auto"/>
        <w:ind w:left="0" w:leftChars="0" w:firstLine="0" w:firstLineChars="0"/>
        <w:jc w:val="center"/>
        <w:textAlignment w:val="auto"/>
        <w:rPr>
          <w:rFonts w:hint="eastAsia" w:ascii="宋体" w:hAnsi="宋体" w:eastAsia="宋体" w:cs="宋体"/>
          <w:b/>
          <w:bCs/>
          <w:color w:val="auto"/>
          <w:lang w:val="en-US" w:eastAsia="zh-CN"/>
        </w:rPr>
      </w:pPr>
      <w:bookmarkStart w:id="117" w:name="_Toc15899"/>
      <w:bookmarkStart w:id="118" w:name="_Toc12190"/>
      <w:bookmarkStart w:id="119" w:name="_Toc1372"/>
      <w:bookmarkStart w:id="120" w:name="_Toc9889"/>
      <w:bookmarkStart w:id="121" w:name="_Toc24394"/>
      <w:r>
        <w:rPr>
          <w:rFonts w:hint="eastAsia" w:ascii="宋体" w:hAnsi="宋体" w:eastAsia="宋体" w:cs="宋体"/>
          <w:b/>
          <w:bCs/>
          <w:color w:val="auto"/>
          <w:kern w:val="2"/>
          <w:sz w:val="30"/>
          <w:szCs w:val="24"/>
          <w:lang w:val="en-US" w:eastAsia="zh-CN" w:bidi="ar-SA"/>
        </w:rPr>
        <w:t>四、</w:t>
      </w:r>
      <w:r>
        <w:rPr>
          <w:rFonts w:hint="eastAsia" w:ascii="宋体" w:hAnsi="宋体" w:eastAsia="宋体" w:cs="宋体"/>
          <w:b/>
          <w:bCs/>
          <w:color w:val="auto"/>
          <w:lang w:val="en-US" w:eastAsia="zh-CN"/>
        </w:rPr>
        <w:t>谈判</w:t>
      </w:r>
      <w:r>
        <w:rPr>
          <w:rFonts w:hint="eastAsia" w:ascii="宋体" w:hAnsi="宋体" w:eastAsia="宋体" w:cs="宋体"/>
          <w:b/>
          <w:bCs/>
          <w:color w:val="auto"/>
        </w:rPr>
        <w:t>响应</w:t>
      </w:r>
      <w:bookmarkEnd w:id="117"/>
      <w:bookmarkEnd w:id="118"/>
      <w:bookmarkEnd w:id="119"/>
      <w:bookmarkEnd w:id="120"/>
      <w:r>
        <w:rPr>
          <w:rFonts w:hint="eastAsia" w:ascii="宋体" w:hAnsi="宋体" w:eastAsia="宋体" w:cs="宋体"/>
          <w:b/>
          <w:bCs/>
          <w:color w:val="auto"/>
          <w:lang w:val="en-US" w:eastAsia="zh-CN"/>
        </w:rPr>
        <w:t>表</w:t>
      </w:r>
      <w:bookmarkEnd w:id="121"/>
    </w:p>
    <w:p w14:paraId="66E5DD24">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附件4-1商务响应表</w:t>
      </w:r>
    </w:p>
    <w:p w14:paraId="5643984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ascii="方正小标宋_GBK" w:hAnsi="方正小标宋_GBK" w:eastAsia="方正小标宋_GBK" w:cs="方正小标宋_GBK"/>
          <w:color w:val="auto"/>
          <w:sz w:val="32"/>
          <w:szCs w:val="32"/>
        </w:rPr>
      </w:pPr>
      <w:r>
        <w:rPr>
          <w:rFonts w:hint="eastAsia" w:ascii="宋体" w:hAnsi="宋体" w:eastAsia="宋体" w:cs="宋体"/>
          <w:b/>
          <w:bCs/>
          <w:color w:val="auto"/>
          <w:sz w:val="32"/>
          <w:szCs w:val="32"/>
        </w:rPr>
        <w:t>商务响应表</w:t>
      </w:r>
    </w:p>
    <w:tbl>
      <w:tblPr>
        <w:tblStyle w:val="33"/>
        <w:tblW w:w="4998"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00"/>
        <w:gridCol w:w="1853"/>
        <w:gridCol w:w="3195"/>
        <w:gridCol w:w="2715"/>
        <w:gridCol w:w="1201"/>
      </w:tblGrid>
      <w:tr w14:paraId="7E91F30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62" w:type="pct"/>
            <w:tcBorders>
              <w:tl2br w:val="nil"/>
              <w:tr2bl w:val="nil"/>
            </w:tcBorders>
            <w:vAlign w:val="center"/>
          </w:tcPr>
          <w:p w14:paraId="48D6F540">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958" w:type="pct"/>
            <w:tcBorders>
              <w:tl2br w:val="nil"/>
              <w:tr2bl w:val="nil"/>
            </w:tcBorders>
            <w:vAlign w:val="center"/>
          </w:tcPr>
          <w:p w14:paraId="29726C52">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rPr>
              <w:t>商务条款</w:t>
            </w:r>
          </w:p>
        </w:tc>
        <w:tc>
          <w:tcPr>
            <w:tcW w:w="1652" w:type="pct"/>
            <w:tcBorders>
              <w:tl2br w:val="nil"/>
              <w:tr2bl w:val="nil"/>
            </w:tcBorders>
            <w:vAlign w:val="center"/>
          </w:tcPr>
          <w:p w14:paraId="18A19065">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谈判</w:t>
            </w:r>
            <w:r>
              <w:rPr>
                <w:rFonts w:hint="eastAsia" w:ascii="宋体" w:hAnsi="宋体" w:eastAsia="宋体" w:cs="宋体"/>
                <w:bCs/>
                <w:color w:val="auto"/>
                <w:sz w:val="21"/>
                <w:szCs w:val="21"/>
              </w:rPr>
              <w:t>文件要求</w:t>
            </w:r>
          </w:p>
        </w:tc>
        <w:tc>
          <w:tcPr>
            <w:tcW w:w="1404" w:type="pct"/>
            <w:tcBorders>
              <w:tl2br w:val="nil"/>
              <w:tr2bl w:val="nil"/>
            </w:tcBorders>
            <w:vAlign w:val="center"/>
          </w:tcPr>
          <w:p w14:paraId="1A1E8E2E">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供应商</w:t>
            </w:r>
            <w:r>
              <w:rPr>
                <w:rFonts w:hint="eastAsia" w:ascii="宋体" w:hAnsi="宋体" w:eastAsia="宋体" w:cs="宋体"/>
                <w:bCs/>
                <w:color w:val="auto"/>
                <w:sz w:val="21"/>
                <w:szCs w:val="21"/>
              </w:rPr>
              <w:t>承诺</w:t>
            </w:r>
          </w:p>
        </w:tc>
        <w:tc>
          <w:tcPr>
            <w:tcW w:w="621" w:type="pct"/>
            <w:tcBorders>
              <w:tl2br w:val="nil"/>
              <w:tr2bl w:val="nil"/>
            </w:tcBorders>
            <w:vAlign w:val="center"/>
          </w:tcPr>
          <w:p w14:paraId="1708BA74">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rPr>
              <w:t>响应/偏离</w:t>
            </w:r>
          </w:p>
          <w:p w14:paraId="343E86E0">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rPr>
              <w:t>说明</w:t>
            </w:r>
          </w:p>
        </w:tc>
      </w:tr>
      <w:tr w14:paraId="278C4FB0">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62" w:type="pct"/>
            <w:tcBorders>
              <w:tl2br w:val="nil"/>
              <w:tr2bl w:val="nil"/>
            </w:tcBorders>
            <w:vAlign w:val="center"/>
          </w:tcPr>
          <w:p w14:paraId="58CA32EE">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958" w:type="pct"/>
            <w:tcBorders>
              <w:tl2br w:val="nil"/>
              <w:tr2bl w:val="nil"/>
            </w:tcBorders>
            <w:vAlign w:val="center"/>
          </w:tcPr>
          <w:p w14:paraId="70787283">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42532C55">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789B5D81">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2307FE58">
            <w:pPr>
              <w:pStyle w:val="47"/>
              <w:rPr>
                <w:rFonts w:hint="eastAsia" w:ascii="宋体" w:hAnsi="宋体" w:eastAsia="宋体" w:cs="宋体"/>
                <w:b w:val="0"/>
                <w:bCs/>
                <w:color w:val="auto"/>
                <w:sz w:val="21"/>
                <w:szCs w:val="21"/>
              </w:rPr>
            </w:pPr>
          </w:p>
        </w:tc>
      </w:tr>
      <w:tr w14:paraId="1416749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362" w:type="pct"/>
            <w:tcBorders>
              <w:tl2br w:val="nil"/>
              <w:tr2bl w:val="nil"/>
            </w:tcBorders>
            <w:vAlign w:val="center"/>
          </w:tcPr>
          <w:p w14:paraId="794B4E5E">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958" w:type="pct"/>
            <w:tcBorders>
              <w:tl2br w:val="nil"/>
              <w:tr2bl w:val="nil"/>
            </w:tcBorders>
            <w:vAlign w:val="center"/>
          </w:tcPr>
          <w:p w14:paraId="3250D1C5">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584B59BA">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30B3066C">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4B3DBAB9">
            <w:pPr>
              <w:pStyle w:val="47"/>
              <w:rPr>
                <w:rFonts w:hint="eastAsia" w:ascii="宋体" w:hAnsi="宋体" w:eastAsia="宋体" w:cs="宋体"/>
                <w:b w:val="0"/>
                <w:bCs/>
                <w:color w:val="auto"/>
                <w:sz w:val="21"/>
                <w:szCs w:val="21"/>
              </w:rPr>
            </w:pPr>
          </w:p>
        </w:tc>
      </w:tr>
      <w:tr w14:paraId="5BCA924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62" w:type="pct"/>
            <w:tcBorders>
              <w:tl2br w:val="nil"/>
              <w:tr2bl w:val="nil"/>
            </w:tcBorders>
            <w:vAlign w:val="center"/>
          </w:tcPr>
          <w:p w14:paraId="2E36DFC2">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958" w:type="pct"/>
            <w:tcBorders>
              <w:tl2br w:val="nil"/>
              <w:tr2bl w:val="nil"/>
            </w:tcBorders>
            <w:vAlign w:val="center"/>
          </w:tcPr>
          <w:p w14:paraId="35B258B4">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1FD73901">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09B7C040">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253BFB90">
            <w:pPr>
              <w:pStyle w:val="47"/>
              <w:rPr>
                <w:rFonts w:hint="eastAsia" w:ascii="宋体" w:hAnsi="宋体" w:eastAsia="宋体" w:cs="宋体"/>
                <w:b w:val="0"/>
                <w:bCs/>
                <w:color w:val="auto"/>
                <w:sz w:val="21"/>
                <w:szCs w:val="21"/>
              </w:rPr>
            </w:pPr>
          </w:p>
        </w:tc>
      </w:tr>
      <w:tr w14:paraId="6D1CC49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362" w:type="pct"/>
            <w:tcBorders>
              <w:tl2br w:val="nil"/>
              <w:tr2bl w:val="nil"/>
            </w:tcBorders>
            <w:vAlign w:val="center"/>
          </w:tcPr>
          <w:p w14:paraId="01AAF936">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958" w:type="pct"/>
            <w:tcBorders>
              <w:tl2br w:val="nil"/>
              <w:tr2bl w:val="nil"/>
            </w:tcBorders>
            <w:vAlign w:val="center"/>
          </w:tcPr>
          <w:p w14:paraId="76450553">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187CD5CC">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5BE8EF2D">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1F5BC344">
            <w:pPr>
              <w:pStyle w:val="47"/>
              <w:rPr>
                <w:rFonts w:hint="eastAsia" w:ascii="宋体" w:hAnsi="宋体" w:eastAsia="宋体" w:cs="宋体"/>
                <w:b w:val="0"/>
                <w:bCs/>
                <w:color w:val="auto"/>
                <w:sz w:val="21"/>
                <w:szCs w:val="21"/>
              </w:rPr>
            </w:pPr>
          </w:p>
        </w:tc>
      </w:tr>
    </w:tbl>
    <w:p w14:paraId="3AB48DC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4AC52767">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应把</w:t>
      </w:r>
      <w:r>
        <w:rPr>
          <w:rFonts w:hint="eastAsia" w:ascii="宋体" w:hAnsi="宋体" w:eastAsia="宋体" w:cs="宋体"/>
          <w:color w:val="auto"/>
          <w:sz w:val="24"/>
          <w:szCs w:val="24"/>
          <w:lang w:val="en-US" w:eastAsia="zh-CN"/>
        </w:rPr>
        <w:t>谈判</w:t>
      </w:r>
      <w:r>
        <w:rPr>
          <w:rFonts w:hint="eastAsia" w:ascii="宋体" w:hAnsi="宋体" w:eastAsia="宋体" w:cs="宋体"/>
          <w:color w:val="auto"/>
          <w:sz w:val="24"/>
          <w:szCs w:val="24"/>
        </w:rPr>
        <w:t>文件第三章</w:t>
      </w:r>
      <w:r>
        <w:rPr>
          <w:rFonts w:hint="eastAsia" w:ascii="宋体" w:hAnsi="宋体" w:cs="宋体"/>
          <w:color w:val="auto"/>
          <w:sz w:val="24"/>
          <w:szCs w:val="24"/>
          <w:lang w:eastAsia="zh-CN"/>
        </w:rPr>
        <w:t>采购需求中</w:t>
      </w:r>
      <w:r>
        <w:rPr>
          <w:rFonts w:hint="eastAsia" w:ascii="宋体" w:hAnsi="宋体" w:eastAsia="宋体" w:cs="宋体"/>
          <w:color w:val="auto"/>
          <w:sz w:val="24"/>
          <w:szCs w:val="24"/>
        </w:rPr>
        <w:t>商务要求列入此表，按顺序逐项对照填写。</w:t>
      </w:r>
    </w:p>
    <w:p w14:paraId="1AC9B147">
      <w:pPr>
        <w:pStyle w:val="44"/>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360" w:lineRule="auto"/>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必须据实填写，不得虚假填写，否则将取消其报价或成交资格。</w:t>
      </w:r>
    </w:p>
    <w:p w14:paraId="32D19CF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2"/>
        <w:jc w:val="both"/>
        <w:textAlignment w:val="auto"/>
        <w:rPr>
          <w:rFonts w:hint="eastAsia" w:ascii="宋体" w:hAnsi="宋体" w:eastAsia="宋体" w:cs="宋体"/>
          <w:b/>
          <w:bCs/>
          <w:color w:val="auto"/>
          <w:sz w:val="24"/>
          <w:szCs w:val="24"/>
        </w:rPr>
      </w:pPr>
    </w:p>
    <w:tbl>
      <w:tblPr>
        <w:tblStyle w:val="34"/>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6A0D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5E1FAAF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供应商</w:t>
            </w:r>
            <w:r>
              <w:rPr>
                <w:rFonts w:hint="eastAsia" w:ascii="宋体" w:hAnsi="宋体" w:eastAsia="宋体" w:cs="宋体"/>
                <w:bCs/>
                <w:color w:val="auto"/>
                <w:sz w:val="24"/>
                <w:szCs w:val="24"/>
              </w:rPr>
              <w:t>名称（加盖公章）：</w:t>
            </w:r>
          </w:p>
        </w:tc>
        <w:tc>
          <w:tcPr>
            <w:tcW w:w="5309" w:type="dxa"/>
            <w:gridSpan w:val="3"/>
            <w:tcBorders>
              <w:top w:val="nil"/>
              <w:left w:val="nil"/>
              <w:bottom w:val="nil"/>
              <w:right w:val="nil"/>
            </w:tcBorders>
            <w:vAlign w:val="center"/>
          </w:tcPr>
          <w:p w14:paraId="29EE9DB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color w:val="auto"/>
                <w:sz w:val="24"/>
                <w:szCs w:val="24"/>
              </w:rPr>
            </w:pPr>
          </w:p>
        </w:tc>
      </w:tr>
      <w:tr w14:paraId="25A1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768DC53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sz w:val="24"/>
                <w:szCs w:val="24"/>
              </w:rPr>
            </w:pPr>
          </w:p>
        </w:tc>
        <w:tc>
          <w:tcPr>
            <w:tcW w:w="1672" w:type="dxa"/>
            <w:tcBorders>
              <w:top w:val="nil"/>
              <w:left w:val="nil"/>
              <w:bottom w:val="nil"/>
              <w:right w:val="nil"/>
            </w:tcBorders>
            <w:vAlign w:val="center"/>
          </w:tcPr>
          <w:p w14:paraId="72371AD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sz w:val="24"/>
                <w:szCs w:val="24"/>
              </w:rPr>
            </w:pPr>
          </w:p>
        </w:tc>
        <w:tc>
          <w:tcPr>
            <w:tcW w:w="1157" w:type="dxa"/>
            <w:tcBorders>
              <w:top w:val="nil"/>
              <w:left w:val="nil"/>
              <w:bottom w:val="nil"/>
              <w:right w:val="nil"/>
            </w:tcBorders>
            <w:vAlign w:val="center"/>
          </w:tcPr>
          <w:p w14:paraId="042C854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w:t>
            </w:r>
          </w:p>
        </w:tc>
        <w:tc>
          <w:tcPr>
            <w:tcW w:w="2480" w:type="dxa"/>
            <w:tcBorders>
              <w:top w:val="nil"/>
              <w:left w:val="nil"/>
              <w:bottom w:val="nil"/>
              <w:right w:val="nil"/>
            </w:tcBorders>
            <w:vAlign w:val="center"/>
          </w:tcPr>
          <w:p w14:paraId="3C7BB18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年   月   日</w:t>
            </w:r>
          </w:p>
        </w:tc>
      </w:tr>
    </w:tbl>
    <w:p w14:paraId="5FCAA6C6">
      <w:pPr>
        <w:rPr>
          <w:rFonts w:ascii="Times New Roman" w:hAnsi="Times New Roman" w:cs="Times New Roman"/>
          <w:color w:val="auto"/>
        </w:rPr>
      </w:pPr>
    </w:p>
    <w:p w14:paraId="0FE8EAE2">
      <w:pPr>
        <w:rPr>
          <w:rFonts w:ascii="Times New Roman" w:hAnsi="Times New Roman" w:cs="Times New Roman"/>
          <w:color w:val="auto"/>
        </w:rPr>
      </w:pPr>
      <w:r>
        <w:rPr>
          <w:rFonts w:ascii="Times New Roman" w:hAnsi="Times New Roman" w:cs="Times New Roman"/>
          <w:color w:val="auto"/>
        </w:rPr>
        <w:br w:type="page"/>
      </w:r>
    </w:p>
    <w:p w14:paraId="6D4496BD">
      <w:pPr>
        <w:pStyle w:val="5"/>
        <w:keepNext/>
        <w:keepLines/>
        <w:pageBreakBefore w:val="0"/>
        <w:widowControl w:val="0"/>
        <w:numPr>
          <w:ilvl w:val="4"/>
          <w:numId w:val="0"/>
        </w:numPr>
        <w:tabs>
          <w:tab w:val="left" w:pos="0"/>
        </w:tabs>
        <w:kinsoku/>
        <w:wordWrap/>
        <w:overflowPunct/>
        <w:topLinePunct w:val="0"/>
        <w:autoSpaceDE/>
        <w:autoSpaceDN/>
        <w:bidi w:val="0"/>
        <w:adjustRightInd/>
        <w:snapToGrid/>
        <w:spacing w:before="0" w:after="0" w:line="360" w:lineRule="auto"/>
        <w:textAlignment w:val="auto"/>
        <w:outlineLvl w:val="3"/>
        <w:rPr>
          <w:rFonts w:hint="eastAsia" w:ascii="黑体" w:hAnsi="黑体" w:eastAsia="黑体" w:cs="黑体"/>
          <w:color w:val="auto"/>
        </w:rPr>
      </w:pPr>
      <w:r>
        <w:rPr>
          <w:rFonts w:hint="eastAsia" w:ascii="黑体" w:hAnsi="黑体" w:eastAsia="黑体" w:cs="黑体"/>
          <w:color w:val="auto"/>
        </w:rPr>
        <w:t>附件4-2 技术响应表</w:t>
      </w:r>
    </w:p>
    <w:p w14:paraId="460B9A0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ascii="方正小标宋_GBK" w:hAnsi="方正小标宋_GBK" w:eastAsia="方正小标宋_GBK" w:cs="方正小标宋_GBK"/>
          <w:color w:val="auto"/>
          <w:sz w:val="32"/>
          <w:szCs w:val="32"/>
        </w:rPr>
      </w:pPr>
      <w:r>
        <w:rPr>
          <w:rFonts w:hint="eastAsia" w:ascii="宋体" w:hAnsi="宋体" w:eastAsia="宋体" w:cs="宋体"/>
          <w:b/>
          <w:bCs/>
          <w:color w:val="auto"/>
          <w:sz w:val="32"/>
          <w:szCs w:val="32"/>
        </w:rPr>
        <w:t>技术响应表</w:t>
      </w:r>
    </w:p>
    <w:tbl>
      <w:tblPr>
        <w:tblStyle w:val="33"/>
        <w:tblW w:w="4998"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00"/>
        <w:gridCol w:w="1853"/>
        <w:gridCol w:w="3195"/>
        <w:gridCol w:w="2715"/>
        <w:gridCol w:w="1201"/>
      </w:tblGrid>
      <w:tr w14:paraId="46827BB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62" w:type="pct"/>
            <w:tcBorders>
              <w:tl2br w:val="nil"/>
              <w:tr2bl w:val="nil"/>
            </w:tcBorders>
            <w:vAlign w:val="center"/>
          </w:tcPr>
          <w:p w14:paraId="4FA65067">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958" w:type="pct"/>
            <w:tcBorders>
              <w:tl2br w:val="nil"/>
              <w:tr2bl w:val="nil"/>
            </w:tcBorders>
            <w:vAlign w:val="center"/>
          </w:tcPr>
          <w:p w14:paraId="36CB4C75">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项目</w:t>
            </w:r>
            <w:r>
              <w:rPr>
                <w:rFonts w:hint="eastAsia" w:ascii="宋体" w:hAnsi="宋体" w:eastAsia="宋体" w:cs="宋体"/>
                <w:bCs/>
                <w:color w:val="auto"/>
                <w:sz w:val="21"/>
                <w:szCs w:val="21"/>
              </w:rPr>
              <w:t>名称</w:t>
            </w:r>
          </w:p>
        </w:tc>
        <w:tc>
          <w:tcPr>
            <w:tcW w:w="1652" w:type="pct"/>
            <w:tcBorders>
              <w:tl2br w:val="nil"/>
              <w:tr2bl w:val="nil"/>
            </w:tcBorders>
            <w:vAlign w:val="center"/>
          </w:tcPr>
          <w:p w14:paraId="038A240F">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谈判</w:t>
            </w:r>
            <w:r>
              <w:rPr>
                <w:rFonts w:hint="eastAsia" w:ascii="宋体" w:hAnsi="宋体" w:eastAsia="宋体" w:cs="宋体"/>
                <w:bCs/>
                <w:color w:val="auto"/>
                <w:sz w:val="21"/>
                <w:szCs w:val="21"/>
              </w:rPr>
              <w:t>文件要求</w:t>
            </w:r>
          </w:p>
        </w:tc>
        <w:tc>
          <w:tcPr>
            <w:tcW w:w="1404" w:type="pct"/>
            <w:tcBorders>
              <w:tl2br w:val="nil"/>
              <w:tr2bl w:val="nil"/>
            </w:tcBorders>
            <w:vAlign w:val="center"/>
          </w:tcPr>
          <w:p w14:paraId="49E71FC8">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供应商</w:t>
            </w:r>
            <w:r>
              <w:rPr>
                <w:rFonts w:hint="eastAsia" w:ascii="宋体" w:hAnsi="宋体" w:eastAsia="宋体" w:cs="宋体"/>
                <w:bCs/>
                <w:color w:val="auto"/>
                <w:sz w:val="21"/>
                <w:szCs w:val="21"/>
              </w:rPr>
              <w:t>承诺</w:t>
            </w:r>
          </w:p>
        </w:tc>
        <w:tc>
          <w:tcPr>
            <w:tcW w:w="621" w:type="pct"/>
            <w:tcBorders>
              <w:tl2br w:val="nil"/>
              <w:tr2bl w:val="nil"/>
            </w:tcBorders>
            <w:vAlign w:val="center"/>
          </w:tcPr>
          <w:p w14:paraId="53A0424F">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rPr>
              <w:t>响应/偏离</w:t>
            </w:r>
          </w:p>
          <w:p w14:paraId="7C9BE08E">
            <w:pPr>
              <w:pStyle w:val="43"/>
              <w:rPr>
                <w:rFonts w:hint="eastAsia" w:ascii="宋体" w:hAnsi="宋体" w:eastAsia="宋体" w:cs="宋体"/>
                <w:bCs/>
                <w:color w:val="auto"/>
                <w:sz w:val="21"/>
                <w:szCs w:val="21"/>
              </w:rPr>
            </w:pPr>
            <w:r>
              <w:rPr>
                <w:rFonts w:hint="eastAsia" w:ascii="宋体" w:hAnsi="宋体" w:eastAsia="宋体" w:cs="宋体"/>
                <w:bCs/>
                <w:color w:val="auto"/>
                <w:sz w:val="21"/>
                <w:szCs w:val="21"/>
              </w:rPr>
              <w:t>说明</w:t>
            </w:r>
          </w:p>
        </w:tc>
      </w:tr>
      <w:tr w14:paraId="5C22D9FA">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62" w:type="pct"/>
            <w:tcBorders>
              <w:tl2br w:val="nil"/>
              <w:tr2bl w:val="nil"/>
            </w:tcBorders>
            <w:vAlign w:val="center"/>
          </w:tcPr>
          <w:p w14:paraId="2EB7080F">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958" w:type="pct"/>
            <w:tcBorders>
              <w:tl2br w:val="nil"/>
              <w:tr2bl w:val="nil"/>
            </w:tcBorders>
            <w:vAlign w:val="center"/>
          </w:tcPr>
          <w:p w14:paraId="4D1EEA94">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1B453D96">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5CE3E9B2">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33E95207">
            <w:pPr>
              <w:pStyle w:val="47"/>
              <w:rPr>
                <w:rFonts w:hint="eastAsia" w:ascii="宋体" w:hAnsi="宋体" w:eastAsia="宋体" w:cs="宋体"/>
                <w:b w:val="0"/>
                <w:bCs/>
                <w:color w:val="auto"/>
                <w:sz w:val="21"/>
                <w:szCs w:val="21"/>
              </w:rPr>
            </w:pPr>
          </w:p>
        </w:tc>
      </w:tr>
      <w:tr w14:paraId="1456DBC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362" w:type="pct"/>
            <w:tcBorders>
              <w:tl2br w:val="nil"/>
              <w:tr2bl w:val="nil"/>
            </w:tcBorders>
            <w:vAlign w:val="center"/>
          </w:tcPr>
          <w:p w14:paraId="7F7D991D">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958" w:type="pct"/>
            <w:tcBorders>
              <w:tl2br w:val="nil"/>
              <w:tr2bl w:val="nil"/>
            </w:tcBorders>
            <w:vAlign w:val="center"/>
          </w:tcPr>
          <w:p w14:paraId="191106AD">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24462C24">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41BCAADB">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19A0B15D">
            <w:pPr>
              <w:pStyle w:val="47"/>
              <w:rPr>
                <w:rFonts w:hint="eastAsia" w:ascii="宋体" w:hAnsi="宋体" w:eastAsia="宋体" w:cs="宋体"/>
                <w:b w:val="0"/>
                <w:bCs/>
                <w:color w:val="auto"/>
                <w:sz w:val="21"/>
                <w:szCs w:val="21"/>
              </w:rPr>
            </w:pPr>
          </w:p>
        </w:tc>
      </w:tr>
      <w:tr w14:paraId="4C2DFC94">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62" w:type="pct"/>
            <w:tcBorders>
              <w:tl2br w:val="nil"/>
              <w:tr2bl w:val="nil"/>
            </w:tcBorders>
            <w:vAlign w:val="center"/>
          </w:tcPr>
          <w:p w14:paraId="20D57414">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958" w:type="pct"/>
            <w:tcBorders>
              <w:tl2br w:val="nil"/>
              <w:tr2bl w:val="nil"/>
            </w:tcBorders>
            <w:vAlign w:val="center"/>
          </w:tcPr>
          <w:p w14:paraId="41786071">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7A3A445D">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1C5806B7">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2EF285BC">
            <w:pPr>
              <w:pStyle w:val="47"/>
              <w:rPr>
                <w:rFonts w:hint="eastAsia" w:ascii="宋体" w:hAnsi="宋体" w:eastAsia="宋体" w:cs="宋体"/>
                <w:b w:val="0"/>
                <w:bCs/>
                <w:color w:val="auto"/>
                <w:sz w:val="21"/>
                <w:szCs w:val="21"/>
              </w:rPr>
            </w:pPr>
          </w:p>
        </w:tc>
      </w:tr>
      <w:tr w14:paraId="5AD3CFE2">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362" w:type="pct"/>
            <w:tcBorders>
              <w:tl2br w:val="nil"/>
              <w:tr2bl w:val="nil"/>
            </w:tcBorders>
            <w:vAlign w:val="center"/>
          </w:tcPr>
          <w:p w14:paraId="529ADEFB">
            <w:pPr>
              <w:pStyle w:val="47"/>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958" w:type="pct"/>
            <w:tcBorders>
              <w:tl2br w:val="nil"/>
              <w:tr2bl w:val="nil"/>
            </w:tcBorders>
            <w:vAlign w:val="center"/>
          </w:tcPr>
          <w:p w14:paraId="58246DF8">
            <w:pPr>
              <w:pStyle w:val="47"/>
              <w:rPr>
                <w:rFonts w:hint="eastAsia" w:ascii="宋体" w:hAnsi="宋体" w:eastAsia="宋体" w:cs="宋体"/>
                <w:b w:val="0"/>
                <w:bCs/>
                <w:color w:val="auto"/>
                <w:sz w:val="21"/>
                <w:szCs w:val="21"/>
              </w:rPr>
            </w:pPr>
          </w:p>
        </w:tc>
        <w:tc>
          <w:tcPr>
            <w:tcW w:w="1652" w:type="pct"/>
            <w:tcBorders>
              <w:tl2br w:val="nil"/>
              <w:tr2bl w:val="nil"/>
            </w:tcBorders>
            <w:vAlign w:val="center"/>
          </w:tcPr>
          <w:p w14:paraId="12EA7AA5">
            <w:pPr>
              <w:pStyle w:val="47"/>
              <w:rPr>
                <w:rFonts w:hint="eastAsia" w:ascii="宋体" w:hAnsi="宋体" w:eastAsia="宋体" w:cs="宋体"/>
                <w:b w:val="0"/>
                <w:bCs/>
                <w:color w:val="auto"/>
                <w:sz w:val="21"/>
                <w:szCs w:val="21"/>
              </w:rPr>
            </w:pPr>
          </w:p>
        </w:tc>
        <w:tc>
          <w:tcPr>
            <w:tcW w:w="1404" w:type="pct"/>
            <w:tcBorders>
              <w:tl2br w:val="nil"/>
              <w:tr2bl w:val="nil"/>
            </w:tcBorders>
            <w:vAlign w:val="center"/>
          </w:tcPr>
          <w:p w14:paraId="20F1B85D">
            <w:pPr>
              <w:pStyle w:val="47"/>
              <w:rPr>
                <w:rFonts w:hint="eastAsia" w:ascii="宋体" w:hAnsi="宋体" w:eastAsia="宋体" w:cs="宋体"/>
                <w:b w:val="0"/>
                <w:bCs/>
                <w:color w:val="auto"/>
                <w:sz w:val="21"/>
                <w:szCs w:val="21"/>
              </w:rPr>
            </w:pPr>
          </w:p>
        </w:tc>
        <w:tc>
          <w:tcPr>
            <w:tcW w:w="621" w:type="pct"/>
            <w:tcBorders>
              <w:tl2br w:val="nil"/>
              <w:tr2bl w:val="nil"/>
            </w:tcBorders>
            <w:vAlign w:val="center"/>
          </w:tcPr>
          <w:p w14:paraId="249808FA">
            <w:pPr>
              <w:pStyle w:val="47"/>
              <w:rPr>
                <w:rFonts w:hint="eastAsia" w:ascii="宋体" w:hAnsi="宋体" w:eastAsia="宋体" w:cs="宋体"/>
                <w:b w:val="0"/>
                <w:bCs/>
                <w:color w:val="auto"/>
                <w:sz w:val="21"/>
                <w:szCs w:val="21"/>
              </w:rPr>
            </w:pPr>
          </w:p>
        </w:tc>
      </w:tr>
    </w:tbl>
    <w:p w14:paraId="5F2BCDB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rPr>
      </w:pPr>
      <w:r>
        <w:rPr>
          <w:rFonts w:hint="eastAsia" w:ascii="宋体" w:hAnsi="宋体" w:eastAsia="宋体" w:cs="宋体"/>
          <w:color w:val="auto"/>
        </w:rPr>
        <w:t>注：</w:t>
      </w:r>
    </w:p>
    <w:p w14:paraId="00E4986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eastAsia="zh-CN"/>
        </w:rPr>
        <w:t>供应商</w:t>
      </w:r>
      <w:r>
        <w:rPr>
          <w:rFonts w:hint="eastAsia" w:ascii="宋体" w:hAnsi="宋体" w:eastAsia="宋体" w:cs="宋体"/>
          <w:color w:val="auto"/>
        </w:rPr>
        <w:t>应把</w:t>
      </w:r>
      <w:r>
        <w:rPr>
          <w:rFonts w:hint="eastAsia" w:ascii="宋体" w:hAnsi="宋体" w:eastAsia="宋体" w:cs="宋体"/>
          <w:color w:val="auto"/>
          <w:lang w:val="en-US" w:eastAsia="zh-CN"/>
        </w:rPr>
        <w:t>谈判</w:t>
      </w:r>
      <w:r>
        <w:rPr>
          <w:rFonts w:hint="eastAsia" w:ascii="宋体" w:hAnsi="宋体" w:eastAsia="宋体" w:cs="宋体"/>
          <w:color w:val="auto"/>
        </w:rPr>
        <w:t>文件第三章</w:t>
      </w:r>
      <w:r>
        <w:rPr>
          <w:rFonts w:hint="eastAsia" w:ascii="宋体" w:hAnsi="宋体" w:cs="宋体"/>
          <w:color w:val="auto"/>
          <w:lang w:eastAsia="zh-CN"/>
        </w:rPr>
        <w:t>采购需求中</w:t>
      </w:r>
      <w:r>
        <w:rPr>
          <w:rFonts w:hint="eastAsia" w:ascii="宋体" w:hAnsi="宋体" w:eastAsia="宋体" w:cs="宋体"/>
          <w:color w:val="auto"/>
        </w:rPr>
        <w:t>技术要求列入此表，按顺序逐项对照填写。</w:t>
      </w:r>
    </w:p>
    <w:p w14:paraId="36F1D5A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eastAsia="zh-CN"/>
        </w:rPr>
        <w:t>供应商</w:t>
      </w:r>
      <w:r>
        <w:rPr>
          <w:rFonts w:hint="eastAsia" w:ascii="宋体" w:hAnsi="宋体" w:eastAsia="宋体" w:cs="宋体"/>
          <w:color w:val="auto"/>
        </w:rPr>
        <w:t>必须据实填写，不得虚假填写，否则将取消其报价或成交资格。</w:t>
      </w:r>
    </w:p>
    <w:p w14:paraId="268882E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default" w:ascii="宋体" w:hAnsi="宋体" w:eastAsia="宋体" w:cs="宋体"/>
          <w:color w:val="auto"/>
          <w:lang w:val="en-US" w:eastAsia="zh-CN"/>
        </w:rPr>
      </w:pPr>
      <w:r>
        <w:rPr>
          <w:rFonts w:hint="eastAsia" w:ascii="宋体" w:hAnsi="宋体" w:cs="宋体"/>
          <w:color w:val="auto"/>
          <w:lang w:val="en-US" w:eastAsia="zh-CN"/>
        </w:rPr>
        <w:t>3. 技术要求中要求提供证明材料的应按要求提供。</w:t>
      </w:r>
    </w:p>
    <w:p w14:paraId="2D98CD44">
      <w:pPr>
        <w:pStyle w:val="44"/>
        <w:spacing w:before="156"/>
        <w:ind w:firstLine="482"/>
        <w:rPr>
          <w:b/>
          <w:bCs/>
          <w:color w:val="auto"/>
        </w:rPr>
      </w:pPr>
    </w:p>
    <w:tbl>
      <w:tblPr>
        <w:tblStyle w:val="34"/>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532C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31B8FC2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bCs/>
                <w:color w:val="auto"/>
              </w:rPr>
            </w:pPr>
            <w:r>
              <w:rPr>
                <w:rFonts w:hint="eastAsia"/>
                <w:bCs/>
                <w:color w:val="auto"/>
                <w:lang w:eastAsia="zh-CN"/>
              </w:rPr>
              <w:t>供应商</w:t>
            </w:r>
            <w:r>
              <w:rPr>
                <w:rFonts w:hint="eastAsia"/>
                <w:bCs/>
                <w:color w:val="auto"/>
              </w:rPr>
              <w:t>名称（加盖公章）：</w:t>
            </w:r>
          </w:p>
        </w:tc>
        <w:tc>
          <w:tcPr>
            <w:tcW w:w="5309" w:type="dxa"/>
            <w:gridSpan w:val="3"/>
            <w:tcBorders>
              <w:top w:val="nil"/>
              <w:left w:val="nil"/>
              <w:bottom w:val="nil"/>
              <w:right w:val="nil"/>
            </w:tcBorders>
            <w:vAlign w:val="center"/>
          </w:tcPr>
          <w:p w14:paraId="15CF7E8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color w:val="auto"/>
              </w:rPr>
            </w:pPr>
          </w:p>
        </w:tc>
      </w:tr>
      <w:tr w14:paraId="6E19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06DA6AB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1672" w:type="dxa"/>
            <w:tcBorders>
              <w:top w:val="nil"/>
              <w:left w:val="nil"/>
              <w:bottom w:val="nil"/>
              <w:right w:val="nil"/>
            </w:tcBorders>
            <w:vAlign w:val="center"/>
          </w:tcPr>
          <w:p w14:paraId="3D7D5E1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1157" w:type="dxa"/>
            <w:tcBorders>
              <w:top w:val="nil"/>
              <w:left w:val="nil"/>
              <w:bottom w:val="nil"/>
              <w:right w:val="nil"/>
            </w:tcBorders>
            <w:vAlign w:val="center"/>
          </w:tcPr>
          <w:p w14:paraId="3922442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rPr>
              <w:t>日期：</w:t>
            </w:r>
          </w:p>
        </w:tc>
        <w:tc>
          <w:tcPr>
            <w:tcW w:w="2480" w:type="dxa"/>
            <w:tcBorders>
              <w:top w:val="nil"/>
              <w:left w:val="nil"/>
              <w:bottom w:val="nil"/>
              <w:right w:val="nil"/>
            </w:tcBorders>
            <w:vAlign w:val="center"/>
          </w:tcPr>
          <w:p w14:paraId="0D34925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0" w:firstLineChars="0"/>
              <w:jc w:val="both"/>
              <w:textAlignment w:val="auto"/>
              <w:rPr>
                <w:color w:val="auto"/>
              </w:rPr>
            </w:pPr>
            <w:r>
              <w:rPr>
                <w:rFonts w:hint="eastAsia"/>
                <w:color w:val="auto"/>
              </w:rPr>
              <w:t>年   月   日</w:t>
            </w:r>
          </w:p>
        </w:tc>
      </w:tr>
    </w:tbl>
    <w:p w14:paraId="174D20D8">
      <w:pPr>
        <w:adjustRightInd w:val="0"/>
        <w:snapToGrid w:val="0"/>
        <w:spacing w:line="360" w:lineRule="auto"/>
        <w:rPr>
          <w:rFonts w:ascii="宋体" w:cs="Times New Roman"/>
          <w:color w:val="auto"/>
          <w:szCs w:val="21"/>
        </w:rPr>
      </w:pPr>
    </w:p>
    <w:p w14:paraId="75A1DBA1">
      <w:pPr>
        <w:spacing w:after="120"/>
        <w:rPr>
          <w:rFonts w:ascii="宋体" w:cs="Times New Roman"/>
          <w:color w:val="auto"/>
          <w:kern w:val="0"/>
          <w:sz w:val="20"/>
          <w:szCs w:val="21"/>
        </w:rPr>
      </w:pPr>
    </w:p>
    <w:p w14:paraId="7033EE6C">
      <w:pPr>
        <w:rPr>
          <w:color w:val="auto"/>
        </w:rPr>
      </w:pPr>
      <w:r>
        <w:rPr>
          <w:rFonts w:hint="eastAsia"/>
          <w:color w:val="auto"/>
        </w:rPr>
        <w:br w:type="page"/>
      </w:r>
    </w:p>
    <w:p w14:paraId="4D3A9C7E">
      <w:pPr>
        <w:pStyle w:val="3"/>
        <w:keepNext/>
        <w:keepLines/>
        <w:pageBreakBefore w:val="0"/>
        <w:widowControl w:val="0"/>
        <w:numPr>
          <w:ilvl w:val="0"/>
          <w:numId w:val="0"/>
        </w:numPr>
        <w:kinsoku/>
        <w:wordWrap/>
        <w:overflowPunct/>
        <w:topLinePunct w:val="0"/>
        <w:autoSpaceDE/>
        <w:autoSpaceDN/>
        <w:bidi w:val="0"/>
        <w:adjustRightInd/>
        <w:snapToGrid/>
        <w:spacing w:before="0" w:beforeLines="0" w:after="0" w:line="360" w:lineRule="auto"/>
        <w:ind w:left="0" w:leftChars="0" w:firstLine="0" w:firstLineChars="0"/>
        <w:jc w:val="center"/>
        <w:textAlignment w:val="auto"/>
        <w:rPr>
          <w:rFonts w:hint="eastAsia" w:ascii="宋体" w:hAnsi="宋体" w:eastAsia="宋体" w:cs="宋体"/>
          <w:b/>
          <w:bCs/>
          <w:color w:val="auto"/>
          <w:kern w:val="2"/>
          <w:sz w:val="30"/>
          <w:szCs w:val="24"/>
          <w:lang w:val="en-US" w:eastAsia="zh-CN" w:bidi="ar-SA"/>
        </w:rPr>
      </w:pPr>
      <w:bookmarkStart w:id="122" w:name="_Toc20267"/>
      <w:bookmarkStart w:id="123" w:name="_Toc8117"/>
      <w:r>
        <w:rPr>
          <w:rFonts w:hint="eastAsia" w:ascii="宋体" w:hAnsi="宋体" w:eastAsia="宋体" w:cs="宋体"/>
          <w:b/>
          <w:bCs/>
          <w:color w:val="auto"/>
          <w:kern w:val="2"/>
          <w:sz w:val="30"/>
          <w:szCs w:val="24"/>
          <w:lang w:val="en-US" w:eastAsia="zh-CN" w:bidi="ar-SA"/>
        </w:rPr>
        <w:t>五、采购需求响应表</w:t>
      </w:r>
      <w:bookmarkEnd w:id="122"/>
    </w:p>
    <w:p w14:paraId="4D3F774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color w:val="auto"/>
        </w:rPr>
      </w:pPr>
    </w:p>
    <w:tbl>
      <w:tblPr>
        <w:tblStyle w:val="3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C42A2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185DAB8B">
            <w:pPr>
              <w:adjustRightInd w:val="0"/>
              <w:snapToGrid w:val="0"/>
              <w:spacing w:before="50" w:line="360" w:lineRule="auto"/>
              <w:ind w:left="-101"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26F5CA7B">
            <w:pPr>
              <w:adjustRightInd w:val="0"/>
              <w:snapToGrid w:val="0"/>
              <w:spacing w:before="50" w:line="360" w:lineRule="auto"/>
              <w:ind w:left="-101" w:leftChars="-42"/>
              <w:jc w:val="center"/>
              <w:rPr>
                <w:rFonts w:ascii="宋体" w:hAnsi="宋体"/>
                <w:color w:val="auto"/>
                <w:szCs w:val="21"/>
              </w:rPr>
            </w:pPr>
            <w:r>
              <w:rPr>
                <w:rFonts w:hint="eastAsia" w:ascii="宋体" w:hAnsi="宋体"/>
                <w:color w:val="auto"/>
                <w:szCs w:val="21"/>
              </w:rPr>
              <w:t>谈判文件章节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noWrap w:val="0"/>
            <w:vAlign w:val="top"/>
          </w:tcPr>
          <w:p w14:paraId="5DB8DF80">
            <w:pPr>
              <w:adjustRightInd w:val="0"/>
              <w:snapToGrid w:val="0"/>
              <w:spacing w:before="50" w:line="360" w:lineRule="auto"/>
              <w:jc w:val="center"/>
              <w:rPr>
                <w:color w:val="auto"/>
              </w:rPr>
            </w:pPr>
            <w:r>
              <w:rPr>
                <w:rFonts w:hint="eastAsia" w:ascii="宋体" w:hAnsi="宋体"/>
                <w:color w:val="auto"/>
                <w:szCs w:val="21"/>
              </w:rPr>
              <w:t>谈判</w:t>
            </w:r>
            <w:r>
              <w:rPr>
                <w:rFonts w:hint="eastAsia"/>
                <w:color w:val="auto"/>
              </w:rPr>
              <w:t>文件要求</w:t>
            </w:r>
          </w:p>
        </w:tc>
        <w:tc>
          <w:tcPr>
            <w:tcW w:w="2126" w:type="dxa"/>
            <w:tcBorders>
              <w:left w:val="single" w:color="auto" w:sz="4" w:space="0"/>
            </w:tcBorders>
            <w:noWrap w:val="0"/>
            <w:vAlign w:val="top"/>
          </w:tcPr>
          <w:p w14:paraId="1A2218B3">
            <w:pPr>
              <w:adjustRightInd w:val="0"/>
              <w:snapToGrid w:val="0"/>
              <w:spacing w:before="50" w:line="360" w:lineRule="auto"/>
              <w:jc w:val="center"/>
              <w:rPr>
                <w:color w:val="auto"/>
              </w:rPr>
            </w:pPr>
            <w:r>
              <w:rPr>
                <w:rFonts w:hint="eastAsia" w:ascii="宋体" w:hAnsi="宋体"/>
                <w:color w:val="auto"/>
                <w:szCs w:val="21"/>
              </w:rPr>
              <w:t>响应</w:t>
            </w:r>
            <w:r>
              <w:rPr>
                <w:rFonts w:hint="eastAsia"/>
                <w:color w:val="auto"/>
              </w:rPr>
              <w:t>文件应答</w:t>
            </w:r>
          </w:p>
        </w:tc>
        <w:tc>
          <w:tcPr>
            <w:tcW w:w="1756" w:type="dxa"/>
            <w:noWrap w:val="0"/>
            <w:vAlign w:val="center"/>
          </w:tcPr>
          <w:p w14:paraId="5A10E7EB">
            <w:pPr>
              <w:adjustRightInd w:val="0"/>
              <w:snapToGrid w:val="0"/>
              <w:spacing w:before="50" w:line="360" w:lineRule="auto"/>
              <w:ind w:left="-101" w:leftChars="-42"/>
              <w:jc w:val="center"/>
              <w:rPr>
                <w:rFonts w:ascii="宋体" w:hAnsi="宋体"/>
                <w:color w:val="auto"/>
                <w:szCs w:val="21"/>
              </w:rPr>
            </w:pPr>
            <w:r>
              <w:rPr>
                <w:rFonts w:hint="eastAsia" w:ascii="宋体" w:hAnsi="宋体"/>
                <w:color w:val="auto"/>
                <w:szCs w:val="21"/>
              </w:rPr>
              <w:t>偏离说明</w:t>
            </w:r>
          </w:p>
        </w:tc>
      </w:tr>
      <w:tr w14:paraId="48E186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7DB6F85">
            <w:pPr>
              <w:adjustRightInd w:val="0"/>
              <w:snapToGrid w:val="0"/>
              <w:spacing w:before="50" w:line="360" w:lineRule="auto"/>
              <w:ind w:left="-101" w:leftChars="-42"/>
              <w:jc w:val="center"/>
              <w:rPr>
                <w:rFonts w:ascii="宋体" w:hAnsi="宋体"/>
                <w:color w:val="auto"/>
                <w:szCs w:val="21"/>
              </w:rPr>
            </w:pPr>
          </w:p>
        </w:tc>
        <w:tc>
          <w:tcPr>
            <w:tcW w:w="2410" w:type="dxa"/>
            <w:noWrap w:val="0"/>
            <w:vAlign w:val="center"/>
          </w:tcPr>
          <w:p w14:paraId="028EF919">
            <w:pPr>
              <w:adjustRightInd w:val="0"/>
              <w:snapToGrid w:val="0"/>
              <w:spacing w:before="50" w:line="360" w:lineRule="auto"/>
              <w:ind w:left="-101" w:leftChars="-42"/>
              <w:jc w:val="center"/>
              <w:rPr>
                <w:rFonts w:ascii="宋体" w:hAnsi="宋体"/>
                <w:color w:val="auto"/>
                <w:szCs w:val="21"/>
              </w:rPr>
            </w:pPr>
          </w:p>
        </w:tc>
        <w:tc>
          <w:tcPr>
            <w:tcW w:w="1985" w:type="dxa"/>
            <w:tcBorders>
              <w:right w:val="single" w:color="auto" w:sz="4" w:space="0"/>
            </w:tcBorders>
            <w:noWrap w:val="0"/>
            <w:vAlign w:val="center"/>
          </w:tcPr>
          <w:p w14:paraId="79007DF0">
            <w:pPr>
              <w:adjustRightInd w:val="0"/>
              <w:snapToGrid w:val="0"/>
              <w:spacing w:before="50" w:line="360" w:lineRule="auto"/>
              <w:ind w:left="-101" w:leftChars="-42"/>
              <w:jc w:val="center"/>
              <w:rPr>
                <w:rFonts w:ascii="宋体" w:hAnsi="宋体"/>
                <w:color w:val="auto"/>
                <w:szCs w:val="21"/>
              </w:rPr>
            </w:pPr>
          </w:p>
        </w:tc>
        <w:tc>
          <w:tcPr>
            <w:tcW w:w="2126" w:type="dxa"/>
            <w:tcBorders>
              <w:left w:val="single" w:color="auto" w:sz="4" w:space="0"/>
            </w:tcBorders>
            <w:noWrap w:val="0"/>
            <w:vAlign w:val="center"/>
          </w:tcPr>
          <w:p w14:paraId="226333B5">
            <w:pPr>
              <w:adjustRightInd w:val="0"/>
              <w:snapToGrid w:val="0"/>
              <w:spacing w:before="50" w:line="360" w:lineRule="auto"/>
              <w:ind w:left="-101" w:leftChars="-42"/>
              <w:jc w:val="center"/>
              <w:rPr>
                <w:rFonts w:ascii="宋体" w:hAnsi="宋体"/>
                <w:color w:val="auto"/>
                <w:szCs w:val="21"/>
              </w:rPr>
            </w:pPr>
          </w:p>
        </w:tc>
        <w:tc>
          <w:tcPr>
            <w:tcW w:w="1756" w:type="dxa"/>
            <w:noWrap w:val="0"/>
            <w:vAlign w:val="center"/>
          </w:tcPr>
          <w:p w14:paraId="0A0B697A">
            <w:pPr>
              <w:adjustRightInd w:val="0"/>
              <w:snapToGrid w:val="0"/>
              <w:spacing w:before="50" w:line="360" w:lineRule="auto"/>
              <w:ind w:left="-101" w:leftChars="-42"/>
              <w:jc w:val="center"/>
              <w:rPr>
                <w:rFonts w:ascii="宋体" w:hAnsi="宋体"/>
                <w:color w:val="auto"/>
                <w:szCs w:val="21"/>
              </w:rPr>
            </w:pPr>
          </w:p>
        </w:tc>
      </w:tr>
      <w:tr w14:paraId="41C2E3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FF5142E">
            <w:pPr>
              <w:adjustRightInd w:val="0"/>
              <w:snapToGrid w:val="0"/>
              <w:spacing w:before="50" w:line="360" w:lineRule="auto"/>
              <w:ind w:left="-101" w:leftChars="-42"/>
              <w:jc w:val="center"/>
              <w:rPr>
                <w:rFonts w:ascii="宋体" w:hAnsi="宋体"/>
                <w:color w:val="auto"/>
                <w:szCs w:val="21"/>
              </w:rPr>
            </w:pPr>
          </w:p>
        </w:tc>
        <w:tc>
          <w:tcPr>
            <w:tcW w:w="2410" w:type="dxa"/>
            <w:noWrap w:val="0"/>
            <w:vAlign w:val="center"/>
          </w:tcPr>
          <w:p w14:paraId="67E4A0C2">
            <w:pPr>
              <w:adjustRightInd w:val="0"/>
              <w:snapToGrid w:val="0"/>
              <w:spacing w:before="50" w:line="360" w:lineRule="auto"/>
              <w:ind w:left="-101" w:leftChars="-42"/>
              <w:jc w:val="center"/>
              <w:rPr>
                <w:rFonts w:ascii="宋体" w:hAnsi="宋体"/>
                <w:color w:val="auto"/>
                <w:szCs w:val="21"/>
              </w:rPr>
            </w:pPr>
          </w:p>
        </w:tc>
        <w:tc>
          <w:tcPr>
            <w:tcW w:w="1985" w:type="dxa"/>
            <w:tcBorders>
              <w:right w:val="single" w:color="auto" w:sz="4" w:space="0"/>
            </w:tcBorders>
            <w:noWrap w:val="0"/>
            <w:vAlign w:val="center"/>
          </w:tcPr>
          <w:p w14:paraId="5ED377AD">
            <w:pPr>
              <w:adjustRightInd w:val="0"/>
              <w:snapToGrid w:val="0"/>
              <w:spacing w:before="50" w:line="360" w:lineRule="auto"/>
              <w:ind w:left="-101" w:leftChars="-42"/>
              <w:jc w:val="center"/>
              <w:rPr>
                <w:rFonts w:ascii="宋体" w:hAnsi="宋体"/>
                <w:color w:val="auto"/>
                <w:szCs w:val="21"/>
              </w:rPr>
            </w:pPr>
          </w:p>
        </w:tc>
        <w:tc>
          <w:tcPr>
            <w:tcW w:w="2126" w:type="dxa"/>
            <w:tcBorders>
              <w:left w:val="single" w:color="auto" w:sz="4" w:space="0"/>
            </w:tcBorders>
            <w:noWrap w:val="0"/>
            <w:vAlign w:val="center"/>
          </w:tcPr>
          <w:p w14:paraId="12F6B7E7">
            <w:pPr>
              <w:adjustRightInd w:val="0"/>
              <w:snapToGrid w:val="0"/>
              <w:spacing w:before="50" w:line="360" w:lineRule="auto"/>
              <w:ind w:left="-101" w:leftChars="-42"/>
              <w:jc w:val="center"/>
              <w:rPr>
                <w:rFonts w:ascii="宋体" w:hAnsi="宋体"/>
                <w:color w:val="auto"/>
                <w:szCs w:val="21"/>
              </w:rPr>
            </w:pPr>
          </w:p>
        </w:tc>
        <w:tc>
          <w:tcPr>
            <w:tcW w:w="1756" w:type="dxa"/>
            <w:noWrap w:val="0"/>
            <w:vAlign w:val="center"/>
          </w:tcPr>
          <w:p w14:paraId="2A31B747">
            <w:pPr>
              <w:adjustRightInd w:val="0"/>
              <w:snapToGrid w:val="0"/>
              <w:spacing w:before="50" w:line="360" w:lineRule="auto"/>
              <w:ind w:left="-101" w:leftChars="-42"/>
              <w:jc w:val="center"/>
              <w:rPr>
                <w:rFonts w:ascii="宋体" w:hAnsi="宋体"/>
                <w:color w:val="auto"/>
                <w:szCs w:val="21"/>
              </w:rPr>
            </w:pPr>
          </w:p>
        </w:tc>
      </w:tr>
      <w:tr w14:paraId="54A1AF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C18C98A">
            <w:pPr>
              <w:adjustRightInd w:val="0"/>
              <w:snapToGrid w:val="0"/>
              <w:spacing w:before="50" w:line="360" w:lineRule="auto"/>
              <w:ind w:left="-101" w:leftChars="-42"/>
              <w:jc w:val="center"/>
              <w:rPr>
                <w:rFonts w:ascii="宋体" w:hAnsi="宋体"/>
                <w:color w:val="auto"/>
                <w:szCs w:val="21"/>
              </w:rPr>
            </w:pPr>
          </w:p>
        </w:tc>
        <w:tc>
          <w:tcPr>
            <w:tcW w:w="2410" w:type="dxa"/>
            <w:noWrap w:val="0"/>
            <w:vAlign w:val="center"/>
          </w:tcPr>
          <w:p w14:paraId="3572C6DF">
            <w:pPr>
              <w:adjustRightInd w:val="0"/>
              <w:snapToGrid w:val="0"/>
              <w:spacing w:before="50" w:line="360" w:lineRule="auto"/>
              <w:ind w:left="-101" w:leftChars="-42"/>
              <w:jc w:val="center"/>
              <w:rPr>
                <w:rFonts w:ascii="宋体" w:hAnsi="宋体"/>
                <w:color w:val="auto"/>
                <w:szCs w:val="21"/>
              </w:rPr>
            </w:pPr>
          </w:p>
        </w:tc>
        <w:tc>
          <w:tcPr>
            <w:tcW w:w="1985" w:type="dxa"/>
            <w:tcBorders>
              <w:right w:val="single" w:color="auto" w:sz="4" w:space="0"/>
            </w:tcBorders>
            <w:noWrap w:val="0"/>
            <w:vAlign w:val="center"/>
          </w:tcPr>
          <w:p w14:paraId="4A23D4FB">
            <w:pPr>
              <w:adjustRightInd w:val="0"/>
              <w:snapToGrid w:val="0"/>
              <w:spacing w:before="50" w:line="360" w:lineRule="auto"/>
              <w:ind w:left="-101" w:leftChars="-42"/>
              <w:jc w:val="center"/>
              <w:rPr>
                <w:rFonts w:ascii="宋体" w:hAnsi="宋体"/>
                <w:color w:val="auto"/>
                <w:szCs w:val="21"/>
              </w:rPr>
            </w:pPr>
          </w:p>
        </w:tc>
        <w:tc>
          <w:tcPr>
            <w:tcW w:w="2126" w:type="dxa"/>
            <w:tcBorders>
              <w:left w:val="single" w:color="auto" w:sz="4" w:space="0"/>
            </w:tcBorders>
            <w:noWrap w:val="0"/>
            <w:vAlign w:val="center"/>
          </w:tcPr>
          <w:p w14:paraId="687484F6">
            <w:pPr>
              <w:adjustRightInd w:val="0"/>
              <w:snapToGrid w:val="0"/>
              <w:spacing w:before="50" w:line="360" w:lineRule="auto"/>
              <w:ind w:left="-101" w:leftChars="-42"/>
              <w:jc w:val="center"/>
              <w:rPr>
                <w:rFonts w:ascii="宋体" w:hAnsi="宋体"/>
                <w:color w:val="auto"/>
                <w:szCs w:val="21"/>
              </w:rPr>
            </w:pPr>
          </w:p>
        </w:tc>
        <w:tc>
          <w:tcPr>
            <w:tcW w:w="1756" w:type="dxa"/>
            <w:noWrap w:val="0"/>
            <w:vAlign w:val="center"/>
          </w:tcPr>
          <w:p w14:paraId="492A2941">
            <w:pPr>
              <w:adjustRightInd w:val="0"/>
              <w:snapToGrid w:val="0"/>
              <w:spacing w:before="50" w:line="360" w:lineRule="auto"/>
              <w:ind w:left="-101" w:leftChars="-42"/>
              <w:jc w:val="center"/>
              <w:rPr>
                <w:rFonts w:ascii="宋体" w:hAnsi="宋体"/>
                <w:color w:val="auto"/>
                <w:szCs w:val="21"/>
              </w:rPr>
            </w:pPr>
          </w:p>
        </w:tc>
      </w:tr>
      <w:tr w14:paraId="0C627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B260F9F">
            <w:pPr>
              <w:adjustRightInd w:val="0"/>
              <w:snapToGrid w:val="0"/>
              <w:spacing w:before="50" w:line="360" w:lineRule="auto"/>
              <w:ind w:left="-101" w:leftChars="-42"/>
              <w:jc w:val="center"/>
              <w:rPr>
                <w:rFonts w:ascii="宋体" w:hAnsi="宋体"/>
                <w:color w:val="auto"/>
                <w:szCs w:val="21"/>
              </w:rPr>
            </w:pPr>
          </w:p>
        </w:tc>
        <w:tc>
          <w:tcPr>
            <w:tcW w:w="2410" w:type="dxa"/>
            <w:noWrap w:val="0"/>
            <w:vAlign w:val="center"/>
          </w:tcPr>
          <w:p w14:paraId="11F29B9C">
            <w:pPr>
              <w:adjustRightInd w:val="0"/>
              <w:snapToGrid w:val="0"/>
              <w:spacing w:before="50" w:line="360" w:lineRule="auto"/>
              <w:ind w:left="-101" w:leftChars="-42"/>
              <w:jc w:val="center"/>
              <w:rPr>
                <w:rFonts w:ascii="宋体" w:hAnsi="宋体"/>
                <w:color w:val="auto"/>
                <w:szCs w:val="21"/>
              </w:rPr>
            </w:pPr>
          </w:p>
        </w:tc>
        <w:tc>
          <w:tcPr>
            <w:tcW w:w="1985" w:type="dxa"/>
            <w:tcBorders>
              <w:right w:val="single" w:color="auto" w:sz="4" w:space="0"/>
            </w:tcBorders>
            <w:noWrap w:val="0"/>
            <w:vAlign w:val="center"/>
          </w:tcPr>
          <w:p w14:paraId="1012A05A">
            <w:pPr>
              <w:adjustRightInd w:val="0"/>
              <w:snapToGrid w:val="0"/>
              <w:spacing w:before="50" w:line="360" w:lineRule="auto"/>
              <w:ind w:left="-101" w:leftChars="-42"/>
              <w:jc w:val="center"/>
              <w:rPr>
                <w:rFonts w:ascii="宋体" w:hAnsi="宋体"/>
                <w:color w:val="auto"/>
                <w:szCs w:val="21"/>
              </w:rPr>
            </w:pPr>
          </w:p>
        </w:tc>
        <w:tc>
          <w:tcPr>
            <w:tcW w:w="2126" w:type="dxa"/>
            <w:tcBorders>
              <w:left w:val="single" w:color="auto" w:sz="4" w:space="0"/>
            </w:tcBorders>
            <w:noWrap w:val="0"/>
            <w:vAlign w:val="center"/>
          </w:tcPr>
          <w:p w14:paraId="512A85D2">
            <w:pPr>
              <w:adjustRightInd w:val="0"/>
              <w:snapToGrid w:val="0"/>
              <w:spacing w:before="50" w:line="360" w:lineRule="auto"/>
              <w:ind w:left="-101" w:leftChars="-42"/>
              <w:jc w:val="center"/>
              <w:rPr>
                <w:rFonts w:ascii="宋体" w:hAnsi="宋体"/>
                <w:color w:val="auto"/>
                <w:szCs w:val="21"/>
              </w:rPr>
            </w:pPr>
          </w:p>
        </w:tc>
        <w:tc>
          <w:tcPr>
            <w:tcW w:w="1756" w:type="dxa"/>
            <w:noWrap w:val="0"/>
            <w:vAlign w:val="center"/>
          </w:tcPr>
          <w:p w14:paraId="5FEB7527">
            <w:pPr>
              <w:adjustRightInd w:val="0"/>
              <w:snapToGrid w:val="0"/>
              <w:spacing w:before="50" w:line="360" w:lineRule="auto"/>
              <w:ind w:left="-101" w:leftChars="-42"/>
              <w:jc w:val="center"/>
              <w:rPr>
                <w:rFonts w:ascii="宋体" w:hAnsi="宋体"/>
                <w:color w:val="auto"/>
                <w:szCs w:val="21"/>
              </w:rPr>
            </w:pPr>
          </w:p>
        </w:tc>
      </w:tr>
      <w:tr w14:paraId="654AF9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7DA6B5D">
            <w:pPr>
              <w:adjustRightInd w:val="0"/>
              <w:snapToGrid w:val="0"/>
              <w:spacing w:before="50" w:line="360" w:lineRule="auto"/>
              <w:ind w:left="-101" w:leftChars="-42"/>
              <w:jc w:val="center"/>
              <w:rPr>
                <w:rFonts w:ascii="宋体" w:hAnsi="宋体"/>
                <w:color w:val="auto"/>
                <w:szCs w:val="21"/>
              </w:rPr>
            </w:pPr>
          </w:p>
        </w:tc>
        <w:tc>
          <w:tcPr>
            <w:tcW w:w="2410" w:type="dxa"/>
            <w:noWrap w:val="0"/>
            <w:vAlign w:val="center"/>
          </w:tcPr>
          <w:p w14:paraId="3EE94D24">
            <w:pPr>
              <w:adjustRightInd w:val="0"/>
              <w:snapToGrid w:val="0"/>
              <w:spacing w:before="50" w:line="360" w:lineRule="auto"/>
              <w:ind w:left="-101" w:leftChars="-42"/>
              <w:jc w:val="center"/>
              <w:rPr>
                <w:rFonts w:ascii="宋体" w:hAnsi="宋体"/>
                <w:color w:val="auto"/>
                <w:szCs w:val="21"/>
              </w:rPr>
            </w:pPr>
          </w:p>
        </w:tc>
        <w:tc>
          <w:tcPr>
            <w:tcW w:w="1985" w:type="dxa"/>
            <w:tcBorders>
              <w:right w:val="single" w:color="auto" w:sz="4" w:space="0"/>
            </w:tcBorders>
            <w:noWrap w:val="0"/>
            <w:vAlign w:val="center"/>
          </w:tcPr>
          <w:p w14:paraId="3FD4A2D4">
            <w:pPr>
              <w:adjustRightInd w:val="0"/>
              <w:snapToGrid w:val="0"/>
              <w:spacing w:before="50" w:line="360" w:lineRule="auto"/>
              <w:ind w:left="-101" w:leftChars="-42"/>
              <w:jc w:val="center"/>
              <w:rPr>
                <w:rFonts w:ascii="宋体" w:hAnsi="宋体"/>
                <w:color w:val="auto"/>
                <w:szCs w:val="21"/>
              </w:rPr>
            </w:pPr>
          </w:p>
        </w:tc>
        <w:tc>
          <w:tcPr>
            <w:tcW w:w="2126" w:type="dxa"/>
            <w:tcBorders>
              <w:left w:val="single" w:color="auto" w:sz="4" w:space="0"/>
            </w:tcBorders>
            <w:noWrap w:val="0"/>
            <w:vAlign w:val="center"/>
          </w:tcPr>
          <w:p w14:paraId="5C94C483">
            <w:pPr>
              <w:adjustRightInd w:val="0"/>
              <w:snapToGrid w:val="0"/>
              <w:spacing w:before="50" w:line="360" w:lineRule="auto"/>
              <w:ind w:left="-101" w:leftChars="-42"/>
              <w:jc w:val="center"/>
              <w:rPr>
                <w:rFonts w:ascii="宋体" w:hAnsi="宋体"/>
                <w:color w:val="auto"/>
                <w:szCs w:val="21"/>
              </w:rPr>
            </w:pPr>
          </w:p>
        </w:tc>
        <w:tc>
          <w:tcPr>
            <w:tcW w:w="1756" w:type="dxa"/>
            <w:noWrap w:val="0"/>
            <w:vAlign w:val="center"/>
          </w:tcPr>
          <w:p w14:paraId="08A64414">
            <w:pPr>
              <w:adjustRightInd w:val="0"/>
              <w:snapToGrid w:val="0"/>
              <w:spacing w:before="50" w:line="360" w:lineRule="auto"/>
              <w:ind w:left="-101" w:leftChars="-42"/>
              <w:jc w:val="center"/>
              <w:rPr>
                <w:rFonts w:ascii="宋体" w:hAnsi="宋体"/>
                <w:color w:val="auto"/>
                <w:szCs w:val="21"/>
              </w:rPr>
            </w:pPr>
          </w:p>
        </w:tc>
      </w:tr>
      <w:tr w14:paraId="1487A1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DE574F0">
            <w:pPr>
              <w:adjustRightInd w:val="0"/>
              <w:snapToGrid w:val="0"/>
              <w:spacing w:before="50" w:line="360" w:lineRule="auto"/>
              <w:ind w:left="-101" w:leftChars="-42"/>
              <w:jc w:val="center"/>
              <w:rPr>
                <w:rFonts w:ascii="宋体" w:hAnsi="宋体"/>
                <w:color w:val="auto"/>
                <w:szCs w:val="21"/>
              </w:rPr>
            </w:pPr>
          </w:p>
        </w:tc>
        <w:tc>
          <w:tcPr>
            <w:tcW w:w="2410" w:type="dxa"/>
            <w:noWrap w:val="0"/>
            <w:vAlign w:val="center"/>
          </w:tcPr>
          <w:p w14:paraId="4F3EAD84">
            <w:pPr>
              <w:adjustRightInd w:val="0"/>
              <w:snapToGrid w:val="0"/>
              <w:spacing w:before="50" w:line="360" w:lineRule="auto"/>
              <w:ind w:left="-101" w:leftChars="-42"/>
              <w:jc w:val="center"/>
              <w:rPr>
                <w:rFonts w:ascii="宋体" w:hAnsi="宋体"/>
                <w:color w:val="auto"/>
                <w:szCs w:val="21"/>
              </w:rPr>
            </w:pPr>
          </w:p>
        </w:tc>
        <w:tc>
          <w:tcPr>
            <w:tcW w:w="1985" w:type="dxa"/>
            <w:tcBorders>
              <w:right w:val="single" w:color="auto" w:sz="4" w:space="0"/>
            </w:tcBorders>
            <w:noWrap w:val="0"/>
            <w:vAlign w:val="center"/>
          </w:tcPr>
          <w:p w14:paraId="0C8199CA">
            <w:pPr>
              <w:adjustRightInd w:val="0"/>
              <w:snapToGrid w:val="0"/>
              <w:spacing w:before="50" w:line="360" w:lineRule="auto"/>
              <w:ind w:left="-101" w:leftChars="-42"/>
              <w:jc w:val="center"/>
              <w:rPr>
                <w:rFonts w:ascii="宋体" w:hAnsi="宋体"/>
                <w:color w:val="auto"/>
                <w:szCs w:val="21"/>
              </w:rPr>
            </w:pPr>
          </w:p>
        </w:tc>
        <w:tc>
          <w:tcPr>
            <w:tcW w:w="3882" w:type="dxa"/>
            <w:gridSpan w:val="2"/>
            <w:tcBorders>
              <w:left w:val="single" w:color="auto" w:sz="4" w:space="0"/>
            </w:tcBorders>
            <w:noWrap w:val="0"/>
            <w:vAlign w:val="center"/>
          </w:tcPr>
          <w:p w14:paraId="040EA037">
            <w:pPr>
              <w:adjustRightInd w:val="0"/>
              <w:snapToGrid w:val="0"/>
              <w:spacing w:before="50" w:line="360" w:lineRule="auto"/>
              <w:ind w:firstLine="482" w:firstLineChars="200"/>
              <w:rPr>
                <w:rFonts w:ascii="宋体" w:hAnsi="宋体"/>
                <w:color w:val="auto"/>
                <w:szCs w:val="21"/>
              </w:rPr>
            </w:pPr>
            <w:r>
              <w:rPr>
                <w:rFonts w:hint="eastAsia" w:ascii="宋体" w:hAnsi="宋体"/>
                <w:b/>
                <w:color w:val="auto"/>
                <w:szCs w:val="21"/>
              </w:rPr>
              <w:t>供应商保证：除本采购需求偏离表列出的偏离外，我单位对谈判文件的其他采购需求条款完全响应，无偏离。</w:t>
            </w:r>
          </w:p>
        </w:tc>
      </w:tr>
    </w:tbl>
    <w:p w14:paraId="5F712715">
      <w:pPr>
        <w:adjustRightInd w:val="0"/>
        <w:snapToGrid w:val="0"/>
        <w:spacing w:before="50" w:line="360" w:lineRule="auto"/>
        <w:ind w:left="-101" w:leftChars="-42" w:firstLine="480" w:firstLineChars="200"/>
        <w:rPr>
          <w:rFonts w:ascii="宋体" w:hAnsi="宋体"/>
          <w:color w:val="auto"/>
          <w:szCs w:val="21"/>
        </w:rPr>
      </w:pPr>
      <w:r>
        <w:rPr>
          <w:rFonts w:hint="eastAsia" w:ascii="宋体" w:hAnsi="宋体"/>
          <w:bCs/>
          <w:color w:val="auto"/>
          <w:szCs w:val="21"/>
        </w:rPr>
        <w:t>注：</w:t>
      </w:r>
      <w:r>
        <w:rPr>
          <w:rFonts w:hint="eastAsia" w:ascii="宋体" w:hAnsi="宋体"/>
          <w:color w:val="auto"/>
          <w:szCs w:val="21"/>
        </w:rPr>
        <w:t>1.供应商应根据谈判文件第三章“采购需求”填写本表；</w:t>
      </w:r>
    </w:p>
    <w:p w14:paraId="45AB03CD">
      <w:pPr>
        <w:adjustRightInd w:val="0"/>
        <w:snapToGrid w:val="0"/>
        <w:spacing w:before="50" w:line="360" w:lineRule="auto"/>
        <w:ind w:left="377" w:leftChars="157" w:firstLine="48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供应商如果对谈判文件第三章“采购需求”的响应有偏离，应将偏离条款逐条如实应答，并作出说明；</w:t>
      </w:r>
    </w:p>
    <w:p w14:paraId="107A3F76">
      <w:pPr>
        <w:adjustRightInd w:val="0"/>
        <w:snapToGrid w:val="0"/>
        <w:spacing w:before="50" w:line="360" w:lineRule="auto"/>
        <w:ind w:left="-101" w:leftChars="-42" w:firstLine="964" w:firstLineChars="400"/>
        <w:rPr>
          <w:rFonts w:ascii="宋体" w:hAnsi="宋体"/>
          <w:b/>
          <w:color w:val="auto"/>
          <w:szCs w:val="21"/>
        </w:rPr>
      </w:pPr>
      <w:r>
        <w:rPr>
          <w:rFonts w:hint="eastAsia" w:ascii="宋体" w:hAnsi="宋体"/>
          <w:b/>
          <w:color w:val="auto"/>
          <w:szCs w:val="21"/>
        </w:rPr>
        <w:t>3.如不提供此表，则视为供应商不满足谈判文件第三章的所有条款要求，其响应无效。</w:t>
      </w:r>
    </w:p>
    <w:p w14:paraId="49221C09">
      <w:pPr>
        <w:adjustRightInd w:val="0"/>
        <w:snapToGrid w:val="0"/>
        <w:spacing w:before="50" w:line="360" w:lineRule="auto"/>
        <w:ind w:left="-101" w:leftChars="-42" w:firstLine="960" w:firstLineChars="400"/>
        <w:rPr>
          <w:rFonts w:ascii="宋体" w:hAnsi="宋体"/>
          <w:color w:val="auto"/>
          <w:szCs w:val="21"/>
        </w:rPr>
      </w:pPr>
      <w:r>
        <w:rPr>
          <w:rFonts w:hint="eastAsia" w:ascii="宋体" w:hAnsi="宋体"/>
          <w:color w:val="auto"/>
          <w:szCs w:val="21"/>
        </w:rPr>
        <w:t>4.在采购人与成交供应商签订合同时，如成交供应商未在响应文件“采购需求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1E4DD51A">
      <w:pPr>
        <w:pStyle w:val="44"/>
        <w:spacing w:before="156"/>
        <w:ind w:left="0" w:leftChars="0" w:firstLine="720" w:firstLineChars="300"/>
        <w:jc w:val="both"/>
        <w:rPr>
          <w:rFonts w:hint="eastAsia" w:ascii="宋体" w:hAnsi="宋体"/>
          <w:color w:val="auto"/>
          <w:szCs w:val="21"/>
        </w:rPr>
      </w:pPr>
    </w:p>
    <w:p w14:paraId="56D469D8">
      <w:pPr>
        <w:pStyle w:val="44"/>
        <w:spacing w:before="156"/>
        <w:ind w:left="0" w:leftChars="0" w:firstLine="720" w:firstLineChars="300"/>
        <w:jc w:val="both"/>
        <w:rPr>
          <w:rFonts w:hint="eastAsia" w:ascii="宋体" w:hAnsi="宋体"/>
          <w:color w:val="auto"/>
          <w:szCs w:val="21"/>
        </w:rPr>
      </w:pPr>
    </w:p>
    <w:tbl>
      <w:tblPr>
        <w:tblStyle w:val="34"/>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067C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4B057E1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bCs/>
                <w:color w:val="auto"/>
              </w:rPr>
            </w:pPr>
            <w:r>
              <w:rPr>
                <w:rFonts w:hint="eastAsia"/>
                <w:bCs/>
                <w:color w:val="auto"/>
                <w:lang w:eastAsia="zh-CN"/>
              </w:rPr>
              <w:t>供应商</w:t>
            </w:r>
            <w:r>
              <w:rPr>
                <w:rFonts w:hint="eastAsia"/>
                <w:bCs/>
                <w:color w:val="auto"/>
              </w:rPr>
              <w:t>名称（加盖公章）：</w:t>
            </w:r>
          </w:p>
        </w:tc>
        <w:tc>
          <w:tcPr>
            <w:tcW w:w="5309" w:type="dxa"/>
            <w:gridSpan w:val="3"/>
            <w:tcBorders>
              <w:top w:val="nil"/>
              <w:left w:val="nil"/>
              <w:bottom w:val="nil"/>
              <w:right w:val="nil"/>
            </w:tcBorders>
            <w:vAlign w:val="center"/>
          </w:tcPr>
          <w:p w14:paraId="769942A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color w:val="auto"/>
              </w:rPr>
            </w:pPr>
          </w:p>
        </w:tc>
      </w:tr>
      <w:tr w14:paraId="2C75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71111C1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1672" w:type="dxa"/>
            <w:tcBorders>
              <w:top w:val="nil"/>
              <w:left w:val="nil"/>
              <w:bottom w:val="nil"/>
              <w:right w:val="nil"/>
            </w:tcBorders>
            <w:vAlign w:val="center"/>
          </w:tcPr>
          <w:p w14:paraId="19C82D8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p>
        </w:tc>
        <w:tc>
          <w:tcPr>
            <w:tcW w:w="1157" w:type="dxa"/>
            <w:tcBorders>
              <w:top w:val="nil"/>
              <w:left w:val="nil"/>
              <w:bottom w:val="nil"/>
              <w:right w:val="nil"/>
            </w:tcBorders>
            <w:vAlign w:val="center"/>
          </w:tcPr>
          <w:p w14:paraId="6711FD5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color w:val="auto"/>
              </w:rPr>
            </w:pPr>
            <w:r>
              <w:rPr>
                <w:rFonts w:hint="eastAsia"/>
                <w:color w:val="auto"/>
              </w:rPr>
              <w:t>日期：</w:t>
            </w:r>
          </w:p>
        </w:tc>
        <w:tc>
          <w:tcPr>
            <w:tcW w:w="2480" w:type="dxa"/>
            <w:tcBorders>
              <w:top w:val="nil"/>
              <w:left w:val="nil"/>
              <w:bottom w:val="nil"/>
              <w:right w:val="nil"/>
            </w:tcBorders>
            <w:vAlign w:val="center"/>
          </w:tcPr>
          <w:p w14:paraId="438AC44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0" w:firstLineChars="0"/>
              <w:jc w:val="both"/>
              <w:textAlignment w:val="auto"/>
              <w:rPr>
                <w:color w:val="auto"/>
              </w:rPr>
            </w:pPr>
            <w:r>
              <w:rPr>
                <w:rFonts w:hint="eastAsia"/>
                <w:color w:val="auto"/>
              </w:rPr>
              <w:t>年   月   日</w:t>
            </w:r>
          </w:p>
        </w:tc>
      </w:tr>
    </w:tbl>
    <w:p w14:paraId="32A2BBE0">
      <w:pPr>
        <w:rPr>
          <w:rFonts w:hint="eastAsia" w:ascii="Arial" w:hAnsi="Arial" w:eastAsia="黑体" w:cs="Times New Roman"/>
          <w:b w:val="0"/>
          <w:color w:val="auto"/>
          <w:kern w:val="2"/>
          <w:sz w:val="30"/>
          <w:szCs w:val="24"/>
          <w:lang w:val="zh-CN" w:eastAsia="zh-CN" w:bidi="ar-SA"/>
        </w:rPr>
      </w:pPr>
      <w:bookmarkStart w:id="124" w:name="_Toc23576"/>
      <w:r>
        <w:rPr>
          <w:rFonts w:hint="eastAsia" w:ascii="Arial" w:hAnsi="Arial" w:eastAsia="黑体" w:cs="Times New Roman"/>
          <w:b w:val="0"/>
          <w:color w:val="auto"/>
          <w:kern w:val="2"/>
          <w:sz w:val="30"/>
          <w:szCs w:val="24"/>
          <w:lang w:val="zh-CN" w:eastAsia="zh-CN" w:bidi="ar-SA"/>
        </w:rPr>
        <w:br w:type="page"/>
      </w:r>
    </w:p>
    <w:p w14:paraId="35B13F1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color w:val="auto"/>
          <w:kern w:val="2"/>
          <w:sz w:val="30"/>
          <w:szCs w:val="24"/>
          <w:lang w:val="zh-CN" w:eastAsia="zh-CN" w:bidi="ar-SA"/>
        </w:rPr>
      </w:pPr>
      <w:bookmarkStart w:id="125" w:name="_Toc9275"/>
      <w:r>
        <w:rPr>
          <w:rFonts w:hint="eastAsia" w:ascii="宋体" w:hAnsi="宋体" w:eastAsia="宋体" w:cs="宋体"/>
          <w:b/>
          <w:bCs/>
          <w:color w:val="auto"/>
          <w:kern w:val="2"/>
          <w:sz w:val="30"/>
          <w:szCs w:val="24"/>
          <w:lang w:val="en-US" w:eastAsia="zh-CN" w:bidi="ar-SA"/>
        </w:rPr>
        <w:t>六、</w:t>
      </w:r>
      <w:r>
        <w:rPr>
          <w:rFonts w:hint="eastAsia" w:ascii="宋体" w:hAnsi="宋体" w:cs="宋体"/>
          <w:b/>
          <w:bCs/>
          <w:color w:val="auto"/>
          <w:kern w:val="2"/>
          <w:sz w:val="30"/>
          <w:szCs w:val="24"/>
          <w:lang w:val="en-US" w:eastAsia="zh-CN" w:bidi="ar-SA"/>
        </w:rPr>
        <w:t>□</w:t>
      </w:r>
      <w:r>
        <w:rPr>
          <w:rFonts w:hint="eastAsia" w:ascii="宋体" w:hAnsi="宋体" w:cs="宋体"/>
          <w:b/>
          <w:bCs/>
          <w:color w:val="auto"/>
          <w:kern w:val="2"/>
          <w:sz w:val="30"/>
          <w:szCs w:val="24"/>
          <w:lang w:val="zh-CN" w:eastAsia="zh-CN" w:bidi="ar-SA"/>
        </w:rPr>
        <w:t>服务方案</w:t>
      </w:r>
      <w:bookmarkEnd w:id="125"/>
    </w:p>
    <w:p w14:paraId="6B212E6D">
      <w:pPr>
        <w:adjustRightInd w:val="0"/>
        <w:snapToGrid w:val="0"/>
        <w:spacing w:line="360" w:lineRule="auto"/>
        <w:jc w:val="center"/>
        <w:outlineLvl w:val="9"/>
        <w:rPr>
          <w:rFonts w:hint="eastAsia" w:ascii="新宋体" w:hAnsi="新宋体" w:eastAsia="新宋体" w:cs="新宋体"/>
          <w:b/>
          <w:sz w:val="30"/>
          <w:szCs w:val="30"/>
        </w:rPr>
      </w:pPr>
      <w:bookmarkStart w:id="126" w:name="_Toc11618"/>
    </w:p>
    <w:p w14:paraId="3228192F">
      <w:pPr>
        <w:adjustRightInd w:val="0"/>
        <w:snapToGrid w:val="0"/>
        <w:spacing w:line="360" w:lineRule="auto"/>
        <w:jc w:val="center"/>
        <w:outlineLvl w:val="2"/>
        <w:rPr>
          <w:rFonts w:hint="eastAsia" w:ascii="新宋体" w:hAnsi="新宋体" w:eastAsia="新宋体" w:cs="新宋体"/>
          <w:b/>
          <w:sz w:val="30"/>
          <w:szCs w:val="30"/>
        </w:rPr>
      </w:pPr>
      <w:r>
        <w:rPr>
          <w:rFonts w:hint="eastAsia" w:ascii="新宋体" w:hAnsi="新宋体" w:eastAsia="新宋体" w:cs="新宋体"/>
          <w:b/>
          <w:sz w:val="30"/>
          <w:szCs w:val="30"/>
        </w:rPr>
        <w:t>服务方案说明</w:t>
      </w:r>
      <w:bookmarkEnd w:id="126"/>
    </w:p>
    <w:p w14:paraId="103661C8">
      <w:pPr>
        <w:adjustRightInd w:val="0"/>
        <w:snapToGrid w:val="0"/>
        <w:spacing w:line="360" w:lineRule="auto"/>
        <w:rPr>
          <w:rFonts w:hint="eastAsia" w:ascii="新宋体" w:hAnsi="新宋体" w:eastAsia="新宋体" w:cs="新宋体"/>
          <w:szCs w:val="21"/>
        </w:rPr>
      </w:pPr>
    </w:p>
    <w:p w14:paraId="7E7C2EA6">
      <w:pPr>
        <w:adjustRightInd w:val="0"/>
        <w:snapToGrid w:val="0"/>
        <w:spacing w:line="360" w:lineRule="auto"/>
        <w:ind w:firstLine="720" w:firstLineChars="300"/>
        <w:rPr>
          <w:rFonts w:hint="eastAsia" w:ascii="新宋体" w:hAnsi="新宋体" w:eastAsia="新宋体" w:cs="新宋体"/>
          <w:szCs w:val="21"/>
        </w:rPr>
      </w:pPr>
      <w:r>
        <w:rPr>
          <w:rFonts w:hint="eastAsia" w:ascii="新宋体" w:hAnsi="新宋体" w:eastAsia="新宋体" w:cs="新宋体"/>
          <w:szCs w:val="21"/>
        </w:rPr>
        <w:t>服务类项目供应商应根据第</w:t>
      </w:r>
      <w:r>
        <w:rPr>
          <w:rFonts w:hint="eastAsia" w:ascii="新宋体" w:hAnsi="新宋体" w:eastAsia="新宋体" w:cs="新宋体"/>
          <w:szCs w:val="21"/>
          <w:lang w:val="en-US" w:eastAsia="zh-CN"/>
        </w:rPr>
        <w:t>三</w:t>
      </w:r>
      <w:r>
        <w:rPr>
          <w:rFonts w:hint="eastAsia" w:ascii="新宋体" w:hAnsi="新宋体" w:eastAsia="新宋体" w:cs="新宋体"/>
          <w:szCs w:val="21"/>
        </w:rPr>
        <w:t>章规定编写服务方案或服务大纲。</w:t>
      </w:r>
    </w:p>
    <w:p w14:paraId="140C7514">
      <w:pPr>
        <w:adjustRightInd w:val="0"/>
        <w:snapToGrid w:val="0"/>
        <w:spacing w:line="360" w:lineRule="auto"/>
        <w:ind w:firstLine="720" w:firstLineChars="300"/>
        <w:rPr>
          <w:rFonts w:hint="eastAsia" w:ascii="新宋体" w:hAnsi="新宋体" w:eastAsia="新宋体" w:cs="新宋体"/>
          <w:szCs w:val="21"/>
        </w:rPr>
      </w:pPr>
      <w:r>
        <w:rPr>
          <w:rFonts w:hint="eastAsia" w:ascii="新宋体" w:hAnsi="新宋体" w:eastAsia="新宋体" w:cs="新宋体"/>
          <w:szCs w:val="21"/>
        </w:rPr>
        <w:t>服务方案至少应包括：</w:t>
      </w:r>
    </w:p>
    <w:p w14:paraId="799831A7">
      <w:pPr>
        <w:numPr>
          <w:ilvl w:val="0"/>
          <w:numId w:val="17"/>
        </w:numPr>
        <w:adjustRightInd w:val="0"/>
        <w:snapToGrid w:val="0"/>
        <w:spacing w:line="360" w:lineRule="auto"/>
        <w:ind w:firstLine="723" w:firstLineChars="300"/>
        <w:rPr>
          <w:rFonts w:hint="eastAsia" w:ascii="新宋体" w:hAnsi="新宋体" w:eastAsia="新宋体" w:cs="新宋体"/>
          <w:b/>
          <w:bCs/>
          <w:szCs w:val="21"/>
        </w:rPr>
      </w:pPr>
      <w:r>
        <w:rPr>
          <w:rFonts w:hint="eastAsia" w:ascii="新宋体" w:hAnsi="新宋体" w:eastAsia="新宋体" w:cs="新宋体"/>
          <w:b/>
          <w:bCs/>
          <w:szCs w:val="21"/>
        </w:rPr>
        <w:t>服务目标、范围和任务；</w:t>
      </w:r>
    </w:p>
    <w:p w14:paraId="306A06FA">
      <w:pPr>
        <w:numPr>
          <w:ilvl w:val="0"/>
          <w:numId w:val="17"/>
        </w:numPr>
        <w:adjustRightInd w:val="0"/>
        <w:snapToGrid w:val="0"/>
        <w:spacing w:line="360" w:lineRule="auto"/>
        <w:ind w:firstLine="723" w:firstLineChars="300"/>
        <w:rPr>
          <w:rFonts w:hint="eastAsia" w:ascii="新宋体" w:hAnsi="新宋体" w:eastAsia="新宋体" w:cs="新宋体"/>
          <w:b/>
          <w:bCs/>
          <w:szCs w:val="21"/>
        </w:rPr>
      </w:pPr>
      <w:r>
        <w:rPr>
          <w:rFonts w:hint="eastAsia" w:ascii="新宋体" w:hAnsi="新宋体" w:eastAsia="新宋体" w:cs="新宋体"/>
          <w:b/>
          <w:bCs/>
          <w:szCs w:val="21"/>
        </w:rPr>
        <w:t>服务方案；</w:t>
      </w:r>
    </w:p>
    <w:p w14:paraId="0113C9D4">
      <w:pPr>
        <w:numPr>
          <w:ilvl w:val="0"/>
          <w:numId w:val="17"/>
        </w:numPr>
        <w:adjustRightInd w:val="0"/>
        <w:snapToGrid w:val="0"/>
        <w:spacing w:line="360" w:lineRule="auto"/>
        <w:ind w:firstLine="723" w:firstLineChars="300"/>
        <w:rPr>
          <w:rFonts w:hint="eastAsia" w:ascii="新宋体" w:hAnsi="新宋体" w:eastAsia="新宋体" w:cs="新宋体"/>
          <w:b/>
          <w:bCs/>
          <w:szCs w:val="21"/>
        </w:rPr>
      </w:pPr>
      <w:r>
        <w:rPr>
          <w:rFonts w:hint="eastAsia" w:ascii="新宋体" w:hAnsi="新宋体" w:eastAsia="新宋体" w:cs="新宋体"/>
          <w:b/>
          <w:bCs/>
          <w:szCs w:val="21"/>
        </w:rPr>
        <w:t>服务团队组织安排计划；</w:t>
      </w:r>
    </w:p>
    <w:p w14:paraId="083CEA50">
      <w:pPr>
        <w:numPr>
          <w:ilvl w:val="0"/>
          <w:numId w:val="17"/>
        </w:numPr>
        <w:adjustRightInd w:val="0"/>
        <w:snapToGrid w:val="0"/>
        <w:spacing w:line="360" w:lineRule="auto"/>
        <w:ind w:firstLine="723" w:firstLineChars="300"/>
        <w:rPr>
          <w:rFonts w:hint="eastAsia" w:ascii="新宋体" w:hAnsi="新宋体" w:eastAsia="新宋体" w:cs="新宋体"/>
          <w:b/>
          <w:bCs/>
          <w:szCs w:val="21"/>
        </w:rPr>
      </w:pPr>
      <w:r>
        <w:rPr>
          <w:rFonts w:hint="eastAsia" w:ascii="新宋体" w:hAnsi="新宋体" w:eastAsia="新宋体" w:cs="新宋体"/>
          <w:b/>
          <w:bCs/>
          <w:szCs w:val="21"/>
        </w:rPr>
        <w:t>工作流程；</w:t>
      </w:r>
    </w:p>
    <w:p w14:paraId="7CC96D54">
      <w:pPr>
        <w:numPr>
          <w:ilvl w:val="0"/>
          <w:numId w:val="17"/>
        </w:numPr>
        <w:adjustRightInd w:val="0"/>
        <w:snapToGrid w:val="0"/>
        <w:spacing w:line="360" w:lineRule="auto"/>
        <w:ind w:firstLine="723" w:firstLineChars="300"/>
        <w:rPr>
          <w:rFonts w:hint="eastAsia" w:ascii="新宋体" w:hAnsi="新宋体" w:eastAsia="新宋体" w:cs="新宋体"/>
          <w:b/>
          <w:bCs/>
          <w:szCs w:val="21"/>
        </w:rPr>
      </w:pPr>
      <w:r>
        <w:rPr>
          <w:rFonts w:hint="eastAsia" w:ascii="新宋体" w:hAnsi="新宋体" w:eastAsia="新宋体" w:cs="新宋体"/>
          <w:b/>
          <w:bCs/>
          <w:szCs w:val="21"/>
        </w:rPr>
        <w:t>进度计划及保证措施；</w:t>
      </w:r>
    </w:p>
    <w:p w14:paraId="2C0BD99F">
      <w:pPr>
        <w:numPr>
          <w:ilvl w:val="0"/>
          <w:numId w:val="17"/>
        </w:numPr>
        <w:adjustRightInd w:val="0"/>
        <w:snapToGrid w:val="0"/>
        <w:spacing w:line="360" w:lineRule="auto"/>
        <w:ind w:firstLine="723" w:firstLineChars="300"/>
        <w:rPr>
          <w:rFonts w:hint="eastAsia" w:ascii="新宋体" w:hAnsi="新宋体" w:eastAsia="新宋体" w:cs="新宋体"/>
          <w:b/>
          <w:bCs/>
          <w:szCs w:val="21"/>
        </w:rPr>
      </w:pPr>
      <w:r>
        <w:rPr>
          <w:rFonts w:hint="eastAsia" w:ascii="新宋体" w:hAnsi="新宋体" w:eastAsia="新宋体" w:cs="新宋体"/>
          <w:b/>
          <w:bCs/>
          <w:szCs w:val="21"/>
        </w:rPr>
        <w:t>质量保证措施；</w:t>
      </w:r>
    </w:p>
    <w:p w14:paraId="27DBC870">
      <w:pPr>
        <w:numPr>
          <w:ilvl w:val="0"/>
          <w:numId w:val="17"/>
        </w:numPr>
        <w:adjustRightInd w:val="0"/>
        <w:snapToGrid w:val="0"/>
        <w:spacing w:line="360" w:lineRule="auto"/>
        <w:ind w:firstLine="723" w:firstLineChars="300"/>
        <w:rPr>
          <w:rFonts w:hint="eastAsia" w:ascii="新宋体" w:hAnsi="新宋体" w:eastAsia="新宋体" w:cs="新宋体"/>
          <w:b/>
          <w:bCs/>
          <w:kern w:val="2"/>
          <w:sz w:val="24"/>
          <w:szCs w:val="21"/>
          <w:lang w:val="en-US" w:eastAsia="zh-CN" w:bidi="ar-SA"/>
        </w:rPr>
      </w:pPr>
      <w:r>
        <w:rPr>
          <w:rFonts w:hint="eastAsia" w:ascii="新宋体" w:hAnsi="新宋体" w:eastAsia="新宋体" w:cs="新宋体"/>
          <w:b/>
          <w:bCs/>
          <w:szCs w:val="21"/>
        </w:rPr>
        <w:t>合理化建议；</w:t>
      </w:r>
    </w:p>
    <w:p w14:paraId="72D900C5">
      <w:pPr>
        <w:numPr>
          <w:ilvl w:val="0"/>
          <w:numId w:val="17"/>
        </w:numPr>
        <w:adjustRightInd w:val="0"/>
        <w:snapToGrid w:val="0"/>
        <w:spacing w:line="360" w:lineRule="auto"/>
        <w:ind w:firstLine="723" w:firstLineChars="300"/>
        <w:rPr>
          <w:rFonts w:hint="eastAsia" w:ascii="新宋体" w:hAnsi="新宋体" w:eastAsia="新宋体" w:cs="新宋体"/>
          <w:b/>
          <w:bCs/>
          <w:kern w:val="2"/>
          <w:sz w:val="24"/>
          <w:szCs w:val="21"/>
          <w:lang w:val="en-US" w:eastAsia="zh-CN" w:bidi="ar-SA"/>
        </w:rPr>
      </w:pPr>
      <w:r>
        <w:rPr>
          <w:rFonts w:hint="eastAsia" w:ascii="新宋体" w:hAnsi="新宋体" w:eastAsia="新宋体" w:cs="新宋体"/>
          <w:b/>
          <w:bCs/>
          <w:kern w:val="2"/>
          <w:sz w:val="24"/>
          <w:szCs w:val="21"/>
          <w:lang w:val="en-US" w:eastAsia="zh-CN" w:bidi="ar-SA"/>
        </w:rPr>
        <w:t>其他。</w:t>
      </w:r>
    </w:p>
    <w:p w14:paraId="5479D172">
      <w:pPr>
        <w:pStyle w:val="39"/>
        <w:numPr>
          <w:ilvl w:val="0"/>
          <w:numId w:val="0"/>
        </w:numPr>
        <w:ind w:firstLine="840" w:firstLineChars="400"/>
        <w:jc w:val="both"/>
        <w:outlineLvl w:val="9"/>
        <w:rPr>
          <w:rFonts w:hint="eastAsia"/>
          <w:lang w:val="en-US" w:eastAsia="zh-CN"/>
        </w:rPr>
      </w:pPr>
      <w:r>
        <w:rPr>
          <w:rFonts w:hint="eastAsia" w:eastAsia="宋体" w:cs="宋体"/>
          <w:b w:val="0"/>
          <w:bCs/>
          <w:color w:val="auto"/>
          <w:kern w:val="2"/>
          <w:sz w:val="21"/>
          <w:szCs w:val="21"/>
          <w:lang w:val="en-US" w:eastAsia="zh-CN" w:bidi="ar-SA"/>
        </w:rPr>
        <w:t>☑</w:t>
      </w:r>
      <w:r>
        <w:rPr>
          <w:rFonts w:hint="eastAsia" w:ascii="宋体" w:hAnsi="宋体" w:cs="宋体"/>
          <w:b w:val="0"/>
          <w:bCs/>
          <w:color w:val="auto"/>
          <w:kern w:val="2"/>
          <w:sz w:val="21"/>
          <w:szCs w:val="21"/>
          <w:lang w:val="en-US" w:eastAsia="zh-CN" w:bidi="ar-SA"/>
        </w:rPr>
        <w:t xml:space="preserve">表示选择 </w:t>
      </w:r>
      <w:r>
        <w:rPr>
          <w:rFonts w:hint="eastAsia" w:cs="宋体"/>
          <w:b w:val="0"/>
          <w:bCs/>
          <w:color w:val="auto"/>
          <w:kern w:val="2"/>
          <w:sz w:val="21"/>
          <w:szCs w:val="21"/>
          <w:lang w:val="en-US" w:eastAsia="zh-CN" w:bidi="ar-SA"/>
        </w:rPr>
        <w:t>□</w:t>
      </w:r>
      <w:r>
        <w:rPr>
          <w:rFonts w:hint="eastAsia" w:ascii="宋体" w:hAnsi="宋体" w:cs="宋体"/>
          <w:b w:val="0"/>
          <w:bCs/>
          <w:color w:val="auto"/>
          <w:kern w:val="2"/>
          <w:sz w:val="21"/>
          <w:szCs w:val="21"/>
          <w:lang w:val="en-US" w:eastAsia="zh-CN" w:bidi="ar-SA"/>
        </w:rPr>
        <w:t>表示不选择</w:t>
      </w:r>
    </w:p>
    <w:p w14:paraId="77AFD858">
      <w:pPr>
        <w:rPr>
          <w:rFonts w:hint="eastAsia" w:cs="Times New Roman"/>
          <w:color w:val="auto"/>
          <w:kern w:val="2"/>
          <w:sz w:val="30"/>
          <w:szCs w:val="24"/>
          <w:lang w:val="en-US" w:eastAsia="zh-CN" w:bidi="ar-SA"/>
        </w:rPr>
      </w:pPr>
      <w:r>
        <w:rPr>
          <w:rFonts w:hint="eastAsia" w:cs="Times New Roman"/>
          <w:color w:val="auto"/>
          <w:kern w:val="2"/>
          <w:sz w:val="30"/>
          <w:szCs w:val="24"/>
          <w:lang w:val="en-US" w:eastAsia="zh-CN" w:bidi="ar-SA"/>
        </w:rPr>
        <w:br w:type="page"/>
      </w:r>
    </w:p>
    <w:p w14:paraId="27F6A8C1">
      <w:pPr>
        <w:numPr>
          <w:ilvl w:val="0"/>
          <w:numId w:val="0"/>
        </w:numPr>
        <w:jc w:val="center"/>
        <w:outlineLvl w:val="1"/>
        <w:rPr>
          <w:rFonts w:hint="eastAsia" w:ascii="宋体" w:hAnsi="宋体" w:eastAsia="宋体" w:cs="宋体"/>
          <w:b/>
          <w:bCs/>
          <w:color w:val="auto"/>
          <w:kern w:val="2"/>
          <w:sz w:val="30"/>
          <w:szCs w:val="24"/>
          <w:lang w:val="en-US" w:eastAsia="zh-CN" w:bidi="ar-SA"/>
        </w:rPr>
      </w:pPr>
      <w:bookmarkStart w:id="127" w:name="_Toc31199"/>
      <w:r>
        <w:rPr>
          <w:rFonts w:hint="eastAsia" w:ascii="宋体" w:hAnsi="宋体" w:eastAsia="宋体" w:cs="宋体"/>
          <w:b/>
          <w:bCs/>
          <w:color w:val="auto"/>
          <w:kern w:val="2"/>
          <w:sz w:val="30"/>
          <w:szCs w:val="24"/>
          <w:lang w:val="en-US" w:eastAsia="zh-CN" w:bidi="ar-SA"/>
        </w:rPr>
        <w:t>七、谈判承诺书</w:t>
      </w:r>
      <w:bookmarkEnd w:id="124"/>
      <w:bookmarkEnd w:id="127"/>
    </w:p>
    <w:p w14:paraId="30D23E5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0" w:leftChars="0" w:firstLine="0" w:firstLineChars="0"/>
        <w:textAlignment w:val="auto"/>
        <w:rPr>
          <w:color w:val="auto"/>
        </w:rPr>
      </w:pPr>
      <w:r>
        <w:rPr>
          <w:rFonts w:hint="eastAsia"/>
          <w:color w:val="auto"/>
          <w:lang w:val="en-US" w:eastAsia="zh-CN"/>
        </w:rPr>
        <w:t>采购人、采购代理机构</w:t>
      </w:r>
      <w:r>
        <w:rPr>
          <w:rFonts w:hint="eastAsia"/>
          <w:color w:val="auto"/>
        </w:rPr>
        <w:t>：</w:t>
      </w:r>
    </w:p>
    <w:p w14:paraId="11D6A33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本单位已详细阅读贵单位</w:t>
      </w:r>
      <w:r>
        <w:rPr>
          <w:rFonts w:hint="eastAsia"/>
          <w:color w:val="auto"/>
          <w:u w:val="single"/>
        </w:rPr>
        <w:t xml:space="preserve">                  </w:t>
      </w:r>
      <w:r>
        <w:rPr>
          <w:rFonts w:hint="eastAsia"/>
          <w:color w:val="auto"/>
        </w:rPr>
        <w:t>的</w:t>
      </w:r>
      <w:r>
        <w:rPr>
          <w:rFonts w:hint="eastAsia"/>
          <w:color w:val="auto"/>
          <w:lang w:val="en-US" w:eastAsia="zh-CN"/>
        </w:rPr>
        <w:t>谈判</w:t>
      </w:r>
      <w:r>
        <w:rPr>
          <w:rFonts w:hint="eastAsia"/>
          <w:color w:val="auto"/>
        </w:rPr>
        <w:t>文件，现就参加本项目</w:t>
      </w:r>
      <w:r>
        <w:rPr>
          <w:rFonts w:hint="eastAsia"/>
          <w:color w:val="auto"/>
          <w:lang w:val="en-US" w:eastAsia="zh-CN"/>
        </w:rPr>
        <w:t>谈判</w:t>
      </w:r>
      <w:r>
        <w:rPr>
          <w:rFonts w:hint="eastAsia"/>
          <w:color w:val="auto"/>
        </w:rPr>
        <w:t>有关事项郑重承诺如下：</w:t>
      </w:r>
    </w:p>
    <w:p w14:paraId="0337374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一、参与本项目</w:t>
      </w:r>
      <w:r>
        <w:rPr>
          <w:rFonts w:hint="eastAsia"/>
          <w:color w:val="auto"/>
          <w:lang w:val="en-US" w:eastAsia="zh-CN"/>
        </w:rPr>
        <w:t>谈判</w:t>
      </w:r>
      <w:r>
        <w:rPr>
          <w:rFonts w:hint="eastAsia"/>
          <w:color w:val="auto"/>
        </w:rPr>
        <w:t>活动系本公司自愿行为。</w:t>
      </w:r>
    </w:p>
    <w:p w14:paraId="2BFF2BC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二、遵守国家、省、市有关公共资源交易的法律、规章及规范性文件。</w:t>
      </w:r>
    </w:p>
    <w:p w14:paraId="342BD84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三、遵守张家界市公共资源交易中心各项交易管理制度和交易现场纪律，服从现场工作人员管理，自觉维护张家界市公共资源交易平台秩序。</w:t>
      </w:r>
    </w:p>
    <w:p w14:paraId="08FB9C0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四、响应文件内容及资料无弄虚作假。</w:t>
      </w:r>
    </w:p>
    <w:p w14:paraId="0E000BE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五、保证没有组织、参与围标、串标行为。</w:t>
      </w:r>
    </w:p>
    <w:p w14:paraId="09DAC13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六、不与</w:t>
      </w:r>
      <w:r>
        <w:rPr>
          <w:rFonts w:hint="eastAsia"/>
          <w:color w:val="auto"/>
          <w:lang w:eastAsia="zh-CN"/>
        </w:rPr>
        <w:t>采购人</w:t>
      </w:r>
      <w:r>
        <w:rPr>
          <w:rFonts w:hint="eastAsia"/>
          <w:color w:val="auto"/>
        </w:rPr>
        <w:t>或者评标委员会成员私下联络和串通以牟取成交；不以他人名义</w:t>
      </w:r>
      <w:r>
        <w:rPr>
          <w:rFonts w:hint="eastAsia"/>
          <w:color w:val="auto"/>
          <w:lang w:val="en-US" w:eastAsia="zh-CN"/>
        </w:rPr>
        <w:t>谈判</w:t>
      </w:r>
      <w:r>
        <w:rPr>
          <w:rFonts w:hint="eastAsia"/>
          <w:color w:val="auto"/>
        </w:rPr>
        <w:t>或者以其他方式弄虚作假骗取成交；不在</w:t>
      </w:r>
      <w:r>
        <w:rPr>
          <w:rFonts w:hint="eastAsia"/>
          <w:color w:val="auto"/>
          <w:lang w:val="en-US" w:eastAsia="zh-CN"/>
        </w:rPr>
        <w:t>谈判</w:t>
      </w:r>
      <w:r>
        <w:rPr>
          <w:rFonts w:hint="eastAsia"/>
          <w:color w:val="auto"/>
        </w:rPr>
        <w:t>后进行虚假、恶意质疑和投诉。</w:t>
      </w:r>
    </w:p>
    <w:p w14:paraId="4D5B009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七、自觉接受监督，承诺所投</w:t>
      </w:r>
      <w:r>
        <w:rPr>
          <w:rFonts w:hint="eastAsia"/>
          <w:color w:val="auto"/>
          <w:lang w:val="en-US" w:eastAsia="zh-CN"/>
        </w:rPr>
        <w:t>货物或服务</w:t>
      </w:r>
      <w:r>
        <w:rPr>
          <w:rFonts w:hint="eastAsia"/>
          <w:color w:val="auto"/>
        </w:rPr>
        <w:t>是真实响应，满足</w:t>
      </w:r>
      <w:r>
        <w:rPr>
          <w:rFonts w:hint="eastAsia"/>
          <w:color w:val="auto"/>
          <w:lang w:val="en-US" w:eastAsia="zh-CN"/>
        </w:rPr>
        <w:t>谈判</w:t>
      </w:r>
      <w:r>
        <w:rPr>
          <w:rFonts w:hint="eastAsia"/>
          <w:color w:val="auto"/>
        </w:rPr>
        <w:t>文件中对产品技术参数功能要求，不存在“以次充好、虚假应标”等违规行为，如有不诚信的行为，做无效响应处理。</w:t>
      </w:r>
      <w:r>
        <w:rPr>
          <w:rFonts w:hint="eastAsia"/>
          <w:color w:val="auto"/>
          <w:lang w:eastAsia="zh-CN"/>
        </w:rPr>
        <w:t>采购人</w:t>
      </w:r>
      <w:r>
        <w:rPr>
          <w:rFonts w:hint="eastAsia"/>
          <w:color w:val="auto"/>
        </w:rPr>
        <w:t>会将</w:t>
      </w:r>
      <w:r>
        <w:rPr>
          <w:rFonts w:hint="eastAsia"/>
          <w:color w:val="auto"/>
          <w:lang w:eastAsia="zh-CN"/>
        </w:rPr>
        <w:t>供应商</w:t>
      </w:r>
      <w:r>
        <w:rPr>
          <w:rFonts w:hint="eastAsia"/>
          <w:color w:val="auto"/>
        </w:rPr>
        <w:t>的虚假响应行为报相关职能部门依法依规处理。</w:t>
      </w:r>
    </w:p>
    <w:p w14:paraId="7C4A253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八、理性</w:t>
      </w:r>
      <w:r>
        <w:rPr>
          <w:rFonts w:hint="eastAsia"/>
          <w:color w:val="auto"/>
          <w:lang w:val="en-US" w:eastAsia="zh-CN"/>
        </w:rPr>
        <w:t>报价</w:t>
      </w:r>
      <w:r>
        <w:rPr>
          <w:rFonts w:hint="eastAsia"/>
          <w:color w:val="auto"/>
        </w:rPr>
        <w:t>，保证最终报价不低于成本价。若成交，将按照</w:t>
      </w:r>
      <w:r>
        <w:rPr>
          <w:rFonts w:hint="eastAsia"/>
          <w:color w:val="auto"/>
          <w:lang w:val="en-US" w:eastAsia="zh-CN"/>
        </w:rPr>
        <w:t>谈判</w:t>
      </w:r>
      <w:r>
        <w:rPr>
          <w:rFonts w:hint="eastAsia"/>
          <w:color w:val="auto"/>
        </w:rPr>
        <w:t>文件规定及时向</w:t>
      </w:r>
      <w:r>
        <w:rPr>
          <w:rFonts w:hint="eastAsia"/>
          <w:color w:val="auto"/>
          <w:lang w:eastAsia="zh-CN"/>
        </w:rPr>
        <w:t>采购人</w:t>
      </w:r>
      <w:r>
        <w:rPr>
          <w:rFonts w:hint="eastAsia"/>
          <w:color w:val="auto"/>
        </w:rPr>
        <w:t>提交</w:t>
      </w:r>
      <w:r>
        <w:rPr>
          <w:rFonts w:hint="eastAsia"/>
          <w:color w:val="auto"/>
          <w:lang w:eastAsia="zh-CN"/>
        </w:rPr>
        <w:t>履约保证金</w:t>
      </w:r>
      <w:r>
        <w:rPr>
          <w:rFonts w:hint="eastAsia"/>
          <w:color w:val="auto"/>
        </w:rPr>
        <w:t>并与</w:t>
      </w:r>
      <w:r>
        <w:rPr>
          <w:rFonts w:hint="eastAsia"/>
          <w:color w:val="auto"/>
          <w:lang w:eastAsia="zh-CN"/>
        </w:rPr>
        <w:t>采购人</w:t>
      </w:r>
      <w:r>
        <w:rPr>
          <w:rFonts w:hint="eastAsia"/>
          <w:color w:val="auto"/>
        </w:rPr>
        <w:t>签订合同；若在规定的时间内不提交</w:t>
      </w:r>
      <w:r>
        <w:rPr>
          <w:rFonts w:hint="eastAsia"/>
          <w:color w:val="auto"/>
          <w:lang w:eastAsia="zh-CN"/>
        </w:rPr>
        <w:t>履约保证金</w:t>
      </w:r>
      <w:r>
        <w:rPr>
          <w:rFonts w:hint="eastAsia"/>
          <w:color w:val="auto"/>
        </w:rPr>
        <w:t>或不签订合同的，</w:t>
      </w:r>
      <w:r>
        <w:rPr>
          <w:rFonts w:hint="eastAsia"/>
          <w:color w:val="auto"/>
          <w:lang w:eastAsia="zh-CN"/>
        </w:rPr>
        <w:t>采购人</w:t>
      </w:r>
      <w:r>
        <w:rPr>
          <w:rFonts w:hint="eastAsia"/>
          <w:color w:val="auto"/>
        </w:rPr>
        <w:t>可没收我方的</w:t>
      </w:r>
      <w:r>
        <w:rPr>
          <w:rFonts w:hint="eastAsia"/>
          <w:color w:val="auto"/>
          <w:lang w:val="en-US" w:eastAsia="zh-CN"/>
        </w:rPr>
        <w:t>投标</w:t>
      </w:r>
      <w:r>
        <w:rPr>
          <w:rFonts w:hint="eastAsia"/>
          <w:color w:val="auto"/>
        </w:rPr>
        <w:t>保证金和</w:t>
      </w:r>
      <w:r>
        <w:rPr>
          <w:rFonts w:hint="eastAsia"/>
          <w:color w:val="auto"/>
          <w:lang w:eastAsia="zh-CN"/>
        </w:rPr>
        <w:t>履约保证金</w:t>
      </w:r>
      <w:r>
        <w:rPr>
          <w:rFonts w:hint="eastAsia"/>
          <w:color w:val="auto"/>
        </w:rPr>
        <w:t>，并可重新确定其他符合规定的</w:t>
      </w:r>
      <w:r>
        <w:rPr>
          <w:rFonts w:hint="eastAsia"/>
          <w:color w:val="auto"/>
          <w:lang w:eastAsia="zh-CN"/>
        </w:rPr>
        <w:t>供应商</w:t>
      </w:r>
      <w:r>
        <w:rPr>
          <w:rFonts w:hint="eastAsia"/>
          <w:color w:val="auto"/>
        </w:rPr>
        <w:t>或重新组织</w:t>
      </w:r>
      <w:r>
        <w:rPr>
          <w:rFonts w:hint="eastAsia"/>
          <w:color w:val="auto"/>
          <w:lang w:val="en-US" w:eastAsia="zh-CN"/>
        </w:rPr>
        <w:t>谈判</w:t>
      </w:r>
      <w:r>
        <w:rPr>
          <w:rFonts w:hint="eastAsia"/>
          <w:color w:val="auto"/>
        </w:rPr>
        <w:t>活动；双方签订合同后，我方严格履行合同条款内容，按时保质保量完成项目建设，不向</w:t>
      </w:r>
      <w:r>
        <w:rPr>
          <w:rFonts w:hint="eastAsia"/>
          <w:color w:val="auto"/>
          <w:lang w:eastAsia="zh-CN"/>
        </w:rPr>
        <w:t>采购人</w:t>
      </w:r>
      <w:r>
        <w:rPr>
          <w:rFonts w:hint="eastAsia"/>
          <w:color w:val="auto"/>
        </w:rPr>
        <w:t>提出加价或降低建设标准、减少建设项目数量等无理和违约要求。</w:t>
      </w:r>
    </w:p>
    <w:p w14:paraId="7C0DFDE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color w:val="auto"/>
        </w:rPr>
      </w:pPr>
      <w:r>
        <w:rPr>
          <w:rFonts w:hint="eastAsia"/>
          <w:color w:val="auto"/>
        </w:rPr>
        <w:t>九、如有违反本承诺书内容的行为，愿意承担由此产生的法律责任及后果。</w:t>
      </w:r>
    </w:p>
    <w:p w14:paraId="6127B04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color w:val="auto"/>
        </w:rPr>
      </w:pPr>
    </w:p>
    <w:p w14:paraId="58D1B64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lang w:eastAsia="zh-CN"/>
        </w:rPr>
        <w:t>供应商</w:t>
      </w:r>
      <w:r>
        <w:rPr>
          <w:rFonts w:hint="eastAsia"/>
          <w:color w:val="auto"/>
        </w:rPr>
        <w:t xml:space="preserve">名称：（公章）               </w:t>
      </w:r>
    </w:p>
    <w:p w14:paraId="5130CCA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法定代表人或其委托代理人：（签字必须为亲笔签名或盖印鉴）</w:t>
      </w:r>
    </w:p>
    <w:p w14:paraId="61C7B97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联系地址：　　　　　　　　　　　</w:t>
      </w:r>
    </w:p>
    <w:p w14:paraId="4D4C6BB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color w:val="auto"/>
        </w:rPr>
      </w:pPr>
      <w:r>
        <w:rPr>
          <w:rFonts w:hint="eastAsia"/>
          <w:color w:val="auto"/>
        </w:rPr>
        <w:t>联系人：　　　　　　　　　　　　电话：</w:t>
      </w:r>
    </w:p>
    <w:p w14:paraId="63573E2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color w:val="auto"/>
        </w:rPr>
      </w:pPr>
      <w:r>
        <w:rPr>
          <w:rFonts w:hint="eastAsia"/>
          <w:color w:val="auto"/>
        </w:rPr>
        <w:t>　　　　　　　　　　　　　　　                       　　　　年　　月　　日</w:t>
      </w:r>
    </w:p>
    <w:p w14:paraId="1E95D2D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color w:val="auto"/>
        </w:rPr>
      </w:pPr>
    </w:p>
    <w:p w14:paraId="49A6F40D">
      <w:pPr>
        <w:pStyle w:val="14"/>
        <w:keepNext w:val="0"/>
        <w:keepLines w:val="0"/>
        <w:pageBreakBefore w:val="0"/>
        <w:widowControl w:val="0"/>
        <w:kinsoku/>
        <w:wordWrap/>
        <w:overflowPunct/>
        <w:topLinePunct w:val="0"/>
        <w:autoSpaceDE/>
        <w:autoSpaceDN/>
        <w:bidi w:val="0"/>
        <w:adjustRightInd/>
        <w:snapToGrid/>
        <w:spacing w:line="360" w:lineRule="auto"/>
        <w:textAlignment w:val="auto"/>
        <w:rPr>
          <w:color w:val="auto"/>
        </w:rPr>
        <w:sectPr>
          <w:pgSz w:w="11906" w:h="16838"/>
          <w:pgMar w:top="1134" w:right="1134" w:bottom="1134" w:left="1134" w:header="850" w:footer="624" w:gutter="0"/>
          <w:pgBorders>
            <w:top w:val="none" w:sz="0" w:space="0"/>
            <w:left w:val="none" w:sz="0" w:space="0"/>
            <w:bottom w:val="none" w:sz="0" w:space="0"/>
            <w:right w:val="none" w:sz="0" w:space="0"/>
          </w:pgBorders>
          <w:pgNumType w:fmt="decimal"/>
          <w:cols w:space="0" w:num="1"/>
          <w:docGrid w:type="lines" w:linePitch="312" w:charSpace="0"/>
        </w:sectPr>
      </w:pPr>
      <w:r>
        <w:rPr>
          <w:rFonts w:hint="eastAsia"/>
          <w:color w:val="auto"/>
        </w:rPr>
        <w:t>注：此《</w:t>
      </w:r>
      <w:r>
        <w:rPr>
          <w:rFonts w:hint="eastAsia"/>
          <w:color w:val="auto"/>
          <w:lang w:val="en-US" w:eastAsia="zh-CN"/>
        </w:rPr>
        <w:t>谈判</w:t>
      </w:r>
      <w:r>
        <w:rPr>
          <w:rFonts w:hint="eastAsia"/>
          <w:color w:val="auto"/>
        </w:rPr>
        <w:t>承诺书》由</w:t>
      </w:r>
      <w:r>
        <w:rPr>
          <w:rFonts w:hint="eastAsia"/>
          <w:color w:val="auto"/>
          <w:lang w:eastAsia="zh-CN"/>
        </w:rPr>
        <w:t>供应商</w:t>
      </w:r>
      <w:r>
        <w:rPr>
          <w:rFonts w:hint="eastAsia"/>
          <w:color w:val="auto"/>
        </w:rPr>
        <w:t>的法定代表人亲笔签署或盖印鉴，并加盖单位公章，编入响应文件中，否则，视为无效响应。</w:t>
      </w:r>
    </w:p>
    <w:bookmarkEnd w:id="123"/>
    <w:p w14:paraId="2C4AC7BA">
      <w:pPr>
        <w:keepNext w:val="0"/>
        <w:keepLines w:val="0"/>
        <w:pageBreakBefore w:val="0"/>
        <w:widowControl w:val="0"/>
        <w:numPr>
          <w:ilvl w:val="0"/>
          <w:numId w:val="0"/>
        </w:numPr>
        <w:kinsoku/>
        <w:wordWrap/>
        <w:overflowPunct/>
        <w:topLinePunct w:val="0"/>
        <w:autoSpaceDE/>
        <w:autoSpaceDN/>
        <w:bidi w:val="0"/>
        <w:spacing w:line="360" w:lineRule="auto"/>
        <w:jc w:val="center"/>
        <w:textAlignment w:val="auto"/>
        <w:outlineLvl w:val="1"/>
        <w:rPr>
          <w:rFonts w:hint="eastAsia" w:ascii="宋体" w:hAnsi="宋体" w:eastAsia="宋体" w:cs="宋体"/>
          <w:b/>
          <w:bCs/>
          <w:color w:val="auto"/>
          <w:kern w:val="2"/>
          <w:sz w:val="30"/>
          <w:szCs w:val="24"/>
          <w:lang w:val="en-US" w:eastAsia="zh-CN" w:bidi="ar-SA"/>
        </w:rPr>
      </w:pPr>
      <w:bookmarkStart w:id="128" w:name="_Toc29096"/>
      <w:bookmarkStart w:id="129" w:name="_Toc22541"/>
      <w:bookmarkStart w:id="130" w:name="_Toc21747"/>
      <w:bookmarkStart w:id="131" w:name="_Toc20977"/>
      <w:bookmarkStart w:id="132" w:name="_Toc18235"/>
      <w:r>
        <w:rPr>
          <w:rFonts w:hint="eastAsia" w:ascii="宋体" w:hAnsi="宋体" w:eastAsia="宋体" w:cs="宋体"/>
          <w:b/>
          <w:bCs/>
          <w:color w:val="auto"/>
          <w:kern w:val="2"/>
          <w:sz w:val="30"/>
          <w:szCs w:val="24"/>
          <w:lang w:val="en-US" w:eastAsia="zh-CN" w:bidi="ar-SA"/>
        </w:rPr>
        <w:t>八、投标保证金</w:t>
      </w:r>
      <w:bookmarkEnd w:id="128"/>
    </w:p>
    <w:p w14:paraId="3A06CD4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hint="eastAsia"/>
          <w:color w:val="auto"/>
          <w:lang w:val="en-US" w:eastAsia="zh-CN"/>
        </w:rPr>
      </w:pPr>
      <w:bookmarkStart w:id="133" w:name="_Toc4946"/>
      <w:r>
        <w:rPr>
          <w:rFonts w:hint="eastAsia"/>
          <w:color w:val="auto"/>
          <w:lang w:val="en-US" w:eastAsia="zh-CN"/>
        </w:rPr>
        <w:t>（如有）</w:t>
      </w:r>
      <w:bookmarkEnd w:id="133"/>
    </w:p>
    <w:p w14:paraId="2ACA2B36">
      <w:pPr>
        <w:rPr>
          <w:rFonts w:hint="eastAsia" w:cs="Times New Roman"/>
          <w:color w:val="auto"/>
          <w:kern w:val="2"/>
          <w:sz w:val="30"/>
          <w:szCs w:val="24"/>
          <w:lang w:val="en-US" w:eastAsia="zh-CN" w:bidi="ar-SA"/>
        </w:rPr>
      </w:pPr>
      <w:r>
        <w:rPr>
          <w:rFonts w:hint="eastAsia" w:cs="Times New Roman"/>
          <w:color w:val="auto"/>
          <w:kern w:val="2"/>
          <w:sz w:val="30"/>
          <w:szCs w:val="24"/>
          <w:lang w:val="en-US" w:eastAsia="zh-CN" w:bidi="ar-SA"/>
        </w:rPr>
        <w:br w:type="page"/>
      </w:r>
    </w:p>
    <w:p w14:paraId="0D5CD35C">
      <w:pPr>
        <w:keepNext w:val="0"/>
        <w:keepLines w:val="0"/>
        <w:pageBreakBefore w:val="0"/>
        <w:widowControl w:val="0"/>
        <w:numPr>
          <w:ilvl w:val="0"/>
          <w:numId w:val="0"/>
        </w:numPr>
        <w:kinsoku/>
        <w:wordWrap/>
        <w:overflowPunct/>
        <w:topLinePunct w:val="0"/>
        <w:autoSpaceDE/>
        <w:autoSpaceDN/>
        <w:bidi w:val="0"/>
        <w:spacing w:line="360" w:lineRule="auto"/>
        <w:jc w:val="center"/>
        <w:textAlignment w:val="auto"/>
        <w:outlineLvl w:val="1"/>
        <w:rPr>
          <w:rFonts w:ascii="宋体" w:cs="Times New Roman"/>
          <w:color w:val="auto"/>
          <w:sz w:val="30"/>
          <w:szCs w:val="30"/>
        </w:rPr>
      </w:pPr>
      <w:bookmarkStart w:id="134" w:name="_Toc31393"/>
      <w:r>
        <w:rPr>
          <w:rFonts w:hint="eastAsia" w:ascii="宋体" w:hAnsi="宋体" w:eastAsia="宋体" w:cs="宋体"/>
          <w:b/>
          <w:bCs/>
          <w:color w:val="auto"/>
          <w:kern w:val="2"/>
          <w:sz w:val="30"/>
          <w:szCs w:val="30"/>
          <w:lang w:val="en-US" w:eastAsia="zh-CN" w:bidi="ar-SA"/>
        </w:rPr>
        <w:t>九、符合谈判文件规定的证明文件</w:t>
      </w:r>
      <w:bookmarkEnd w:id="129"/>
      <w:bookmarkEnd w:id="130"/>
      <w:bookmarkEnd w:id="131"/>
      <w:bookmarkEnd w:id="132"/>
      <w:bookmarkEnd w:id="134"/>
    </w:p>
    <w:p w14:paraId="1567983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center"/>
        <w:textAlignment w:val="auto"/>
        <w:rPr>
          <w:rFonts w:ascii="宋体" w:cs="Times New Roman"/>
          <w:color w:val="auto"/>
          <w:szCs w:val="21"/>
        </w:rPr>
      </w:pPr>
      <w:r>
        <w:rPr>
          <w:rFonts w:hint="eastAsia"/>
          <w:color w:val="auto"/>
          <w:lang w:val="en-US" w:eastAsia="zh-CN"/>
        </w:rPr>
        <w:t>备注：提供第三章规定的证明材料复印件。</w:t>
      </w:r>
      <w:r>
        <w:rPr>
          <w:rFonts w:hint="eastAsia" w:ascii="宋体" w:cs="Times New Roman"/>
          <w:color w:val="auto"/>
          <w:szCs w:val="21"/>
        </w:rPr>
        <w:br w:type="page"/>
      </w:r>
    </w:p>
    <w:p w14:paraId="5C7E78CB">
      <w:pPr>
        <w:keepNext w:val="0"/>
        <w:keepLines w:val="0"/>
        <w:pageBreakBefore w:val="0"/>
        <w:widowControl w:val="0"/>
        <w:numPr>
          <w:ilvl w:val="0"/>
          <w:numId w:val="0"/>
        </w:numPr>
        <w:kinsoku/>
        <w:wordWrap/>
        <w:overflowPunct/>
        <w:topLinePunct w:val="0"/>
        <w:autoSpaceDE/>
        <w:autoSpaceDN/>
        <w:bidi w:val="0"/>
        <w:spacing w:line="360" w:lineRule="auto"/>
        <w:jc w:val="center"/>
        <w:textAlignment w:val="auto"/>
        <w:outlineLvl w:val="1"/>
        <w:rPr>
          <w:rFonts w:hint="eastAsia" w:ascii="宋体" w:hAnsi="宋体" w:eastAsia="宋体" w:cs="宋体"/>
          <w:b/>
          <w:bCs/>
          <w:color w:val="auto"/>
          <w:kern w:val="2"/>
          <w:sz w:val="30"/>
          <w:szCs w:val="30"/>
          <w:lang w:val="en-US" w:eastAsia="zh-CN" w:bidi="ar-SA"/>
        </w:rPr>
      </w:pPr>
      <w:bookmarkStart w:id="135" w:name="_Toc5374"/>
      <w:bookmarkStart w:id="136" w:name="_Toc21324"/>
      <w:bookmarkStart w:id="137" w:name="_Toc16234"/>
      <w:bookmarkStart w:id="138" w:name="_Toc407"/>
      <w:bookmarkStart w:id="139" w:name="_Toc12328"/>
      <w:r>
        <w:rPr>
          <w:rFonts w:hint="eastAsia" w:ascii="宋体" w:hAnsi="宋体" w:eastAsia="宋体" w:cs="宋体"/>
          <w:b/>
          <w:bCs/>
          <w:color w:val="auto"/>
          <w:kern w:val="2"/>
          <w:sz w:val="30"/>
          <w:szCs w:val="30"/>
          <w:lang w:val="en-US" w:eastAsia="zh-CN" w:bidi="ar-SA"/>
        </w:rPr>
        <w:t>十、供应商认为需提供的其他资料</w:t>
      </w:r>
      <w:bookmarkEnd w:id="135"/>
      <w:bookmarkEnd w:id="136"/>
      <w:bookmarkEnd w:id="137"/>
      <w:bookmarkEnd w:id="138"/>
      <w:bookmarkEnd w:id="139"/>
    </w:p>
    <w:p w14:paraId="350A828D">
      <w:pPr>
        <w:rPr>
          <w:rFonts w:hint="eastAsia" w:ascii="宋体" w:hAnsi="宋体" w:eastAsia="宋体" w:cs="宋体"/>
          <w:b/>
          <w:bCs/>
          <w:color w:val="auto"/>
          <w:kern w:val="2"/>
          <w:sz w:val="30"/>
          <w:szCs w:val="30"/>
          <w:lang w:val="en-US" w:eastAsia="zh-CN" w:bidi="ar-SA"/>
        </w:rPr>
      </w:pPr>
      <w:r>
        <w:rPr>
          <w:rFonts w:hint="eastAsia" w:ascii="宋体" w:hAnsi="宋体" w:eastAsia="宋体" w:cs="宋体"/>
          <w:b/>
          <w:bCs/>
          <w:color w:val="auto"/>
          <w:kern w:val="2"/>
          <w:sz w:val="30"/>
          <w:szCs w:val="30"/>
          <w:lang w:val="en-US" w:eastAsia="zh-CN" w:bidi="ar-SA"/>
        </w:rPr>
        <w:br w:type="page"/>
      </w:r>
    </w:p>
    <w:p w14:paraId="6406DA9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color w:val="auto"/>
          <w:kern w:val="2"/>
          <w:sz w:val="30"/>
          <w:szCs w:val="30"/>
          <w:lang w:val="en-US" w:eastAsia="zh-CN" w:bidi="ar-SA"/>
        </w:rPr>
      </w:pPr>
      <w:bookmarkStart w:id="140" w:name="_Toc32742"/>
      <w:r>
        <w:rPr>
          <w:rFonts w:hint="eastAsia" w:ascii="宋体" w:hAnsi="宋体" w:eastAsia="宋体" w:cs="宋体"/>
          <w:b/>
          <w:bCs/>
          <w:color w:val="auto"/>
          <w:kern w:val="2"/>
          <w:sz w:val="30"/>
          <w:szCs w:val="30"/>
          <w:lang w:val="en-US" w:eastAsia="zh-CN" w:bidi="ar-SA"/>
        </w:rPr>
        <w:t>十一、送达方式确认函</w:t>
      </w:r>
      <w:bookmarkEnd w:id="140"/>
    </w:p>
    <w:p w14:paraId="50687CC1">
      <w:pPr>
        <w:numPr>
          <w:ilvl w:val="0"/>
          <w:numId w:val="0"/>
        </w:numPr>
        <w:outlineLvl w:val="9"/>
        <w:rPr>
          <w:rFonts w:hint="eastAsia"/>
          <w:lang w:val="en-US" w:eastAsia="zh-CN"/>
        </w:rPr>
      </w:pPr>
    </w:p>
    <w:p w14:paraId="38FA597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______________________（采购人名称）： </w:t>
      </w:r>
    </w:p>
    <w:p w14:paraId="5C7B325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关于贵单位于</w:t>
      </w:r>
      <w:r>
        <w:rPr>
          <w:rFonts w:hint="eastAsia" w:ascii="宋体" w:hAnsi="宋体" w:eastAsia="宋体" w:cs="宋体"/>
          <w:color w:val="auto"/>
          <w:u w:val="single"/>
          <w:lang w:val="en-US" w:eastAsia="zh-CN"/>
        </w:rPr>
        <w:t>202</w:t>
      </w:r>
      <w:r>
        <w:rPr>
          <w:rFonts w:hint="eastAsia" w:ascii="宋体" w:hAnsi="宋体" w:cs="宋体"/>
          <w:color w:val="auto"/>
          <w:u w:val="single"/>
          <w:lang w:val="en-US" w:eastAsia="zh-CN"/>
        </w:rPr>
        <w:t>6</w:t>
      </w:r>
      <w:r>
        <w:rPr>
          <w:rFonts w:hint="eastAsia" w:ascii="宋体" w:hAnsi="宋体" w:eastAsia="宋体" w:cs="宋体"/>
          <w:color w:val="auto"/>
          <w:lang w:val="en-US" w:eastAsia="zh-CN"/>
        </w:rPr>
        <w:t>年</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val="en-US" w:eastAsia="zh-CN"/>
        </w:rPr>
        <w:t>月</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val="en-US" w:eastAsia="zh-CN"/>
        </w:rPr>
        <w:t>日发布的  （项目名称），</w:t>
      </w:r>
      <w:r>
        <w:rPr>
          <w:rFonts w:hint="eastAsia" w:ascii="宋体" w:hAnsi="宋体" w:eastAsia="宋体" w:cs="宋体"/>
          <w:color w:val="auto"/>
          <w:sz w:val="24"/>
          <w:szCs w:val="24"/>
          <w:lang w:val="en-US" w:eastAsia="zh-CN"/>
        </w:rPr>
        <w:t>本公司愿意参加该项⽬的投</w:t>
      </w:r>
      <w:r>
        <w:rPr>
          <w:rFonts w:hint="eastAsia" w:ascii="宋体" w:hAnsi="宋体" w:eastAsia="宋体" w:cs="宋体"/>
          <w:color w:val="auto"/>
          <w:lang w:val="en-US" w:eastAsia="zh-CN"/>
        </w:rPr>
        <w:t>标。若我公司中标后，中标通知书送达方式为 电话通知、现场领取、短信或微信、邮寄、电子邮箱方式，我公司均认可。</w:t>
      </w:r>
    </w:p>
    <w:p w14:paraId="6AE9792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单位名称：__________________</w:t>
      </w:r>
    </w:p>
    <w:p w14:paraId="2D6D976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法⼈代表（签字或签章）：___________</w:t>
      </w:r>
    </w:p>
    <w:p w14:paraId="0D1211F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代表⼈（签字或签章）___________ </w:t>
      </w:r>
    </w:p>
    <w:p w14:paraId="60ADE9B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单位地址：______________</w:t>
      </w:r>
    </w:p>
    <w:p w14:paraId="02CA7DE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电话：___________</w:t>
      </w:r>
    </w:p>
    <w:p w14:paraId="35A640E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邮箱：___________ </w:t>
      </w:r>
    </w:p>
    <w:p w14:paraId="4105F04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邮编：___________ </w:t>
      </w:r>
    </w:p>
    <w:p w14:paraId="71CA984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⽇期：___________ </w:t>
      </w:r>
    </w:p>
    <w:p w14:paraId="6C5D47B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注：此送达方式确认函放入投标文件中。</w:t>
      </w:r>
    </w:p>
    <w:p w14:paraId="64FD3179">
      <w:pPr>
        <w:rPr>
          <w:rFonts w:hint="eastAsia" w:eastAsia="宋体"/>
          <w:color w:val="auto"/>
          <w:lang w:val="en-US" w:eastAsia="zh-CN"/>
        </w:rPr>
      </w:pPr>
      <w:r>
        <w:rPr>
          <w:rFonts w:hint="eastAsia" w:eastAsia="宋体"/>
          <w:color w:val="auto"/>
          <w:lang w:val="en-US" w:eastAsia="zh-CN"/>
        </w:rPr>
        <w:br w:type="page"/>
      </w:r>
    </w:p>
    <w:p w14:paraId="266D946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宋体"/>
          <w:b/>
          <w:bCs/>
          <w:color w:val="auto"/>
          <w:kern w:val="2"/>
          <w:sz w:val="30"/>
          <w:szCs w:val="30"/>
          <w:lang w:val="en-US" w:eastAsia="zh-CN" w:bidi="ar-SA"/>
        </w:rPr>
      </w:pPr>
      <w:bookmarkStart w:id="141" w:name="_Toc18459"/>
      <w:r>
        <w:rPr>
          <w:rFonts w:hint="eastAsia" w:ascii="宋体" w:hAnsi="宋体" w:eastAsia="宋体" w:cs="宋体"/>
          <w:b/>
          <w:bCs/>
          <w:color w:val="auto"/>
          <w:kern w:val="2"/>
          <w:sz w:val="30"/>
          <w:szCs w:val="30"/>
          <w:lang w:val="en-US" w:eastAsia="zh-CN" w:bidi="ar-SA"/>
        </w:rPr>
        <w:t>十二、中小企业声明函（</w:t>
      </w:r>
      <w:r>
        <w:rPr>
          <w:rFonts w:hint="eastAsia" w:ascii="宋体" w:hAnsi="宋体" w:cs="宋体"/>
          <w:b/>
          <w:bCs/>
          <w:color w:val="auto"/>
          <w:kern w:val="2"/>
          <w:sz w:val="30"/>
          <w:szCs w:val="30"/>
          <w:lang w:val="en-US" w:eastAsia="zh-CN" w:bidi="ar-SA"/>
        </w:rPr>
        <w:t>货物</w:t>
      </w:r>
      <w:r>
        <w:rPr>
          <w:rFonts w:hint="eastAsia" w:ascii="宋体" w:hAnsi="宋体" w:eastAsia="宋体" w:cs="宋体"/>
          <w:b/>
          <w:bCs/>
          <w:color w:val="auto"/>
          <w:kern w:val="2"/>
          <w:sz w:val="30"/>
          <w:szCs w:val="30"/>
          <w:lang w:val="en-US" w:eastAsia="zh-CN" w:bidi="ar-SA"/>
        </w:rPr>
        <w:t>、服务）</w:t>
      </w:r>
      <w:bookmarkEnd w:id="141"/>
    </w:p>
    <w:p w14:paraId="4E87B68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p>
    <w:p w14:paraId="680F0CB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本公司（联合体）郑重声明，根据《政府采购促进中小企业发展管理办法》（财库﹝2020﹞46号）的规定，</w:t>
      </w:r>
      <w:r>
        <w:rPr>
          <w:rFonts w:hint="eastAsia" w:ascii="宋体" w:hAnsi="宋体" w:eastAsia="宋体" w:cs="宋体"/>
          <w:u w:val="none"/>
        </w:rPr>
        <w:t>本公司</w:t>
      </w:r>
      <w:r>
        <w:rPr>
          <w:rFonts w:hint="eastAsia" w:ascii="宋体" w:hAnsi="宋体" w:eastAsia="宋体" w:cs="宋体"/>
          <w:u w:val="single"/>
        </w:rPr>
        <w:t>（联合体）</w:t>
      </w:r>
      <w:r>
        <w:rPr>
          <w:rFonts w:hint="eastAsia" w:ascii="宋体" w:hAnsi="宋体" w:eastAsia="宋体" w:cs="宋体"/>
        </w:rPr>
        <w:t>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szCs w:val="21"/>
        </w:rPr>
        <w:t xml:space="preserve"> </w:t>
      </w:r>
      <w:r>
        <w:rPr>
          <w:rFonts w:hint="eastAsia"/>
          <w:szCs w:val="21"/>
        </w:rPr>
        <w:sym w:font="Wingdings 2" w:char="0052"/>
      </w:r>
      <w:r>
        <w:rPr>
          <w:rFonts w:hint="eastAsia"/>
          <w:szCs w:val="21"/>
        </w:rPr>
        <w:t>提</w:t>
      </w:r>
      <w:r>
        <w:rPr>
          <w:szCs w:val="21"/>
        </w:rPr>
        <w:t>供的货物全部由符合政策要求的中小企业制造</w:t>
      </w:r>
      <w:r>
        <w:rPr>
          <w:rFonts w:hint="eastAsia"/>
          <w:szCs w:val="21"/>
        </w:rPr>
        <w:t>；</w:t>
      </w:r>
      <w:r>
        <w:rPr>
          <w:rFonts w:hint="eastAsia"/>
          <w:szCs w:val="21"/>
        </w:rPr>
        <w:sym w:font="Wingdings 2" w:char="00A3"/>
      </w:r>
      <w:r>
        <w:rPr>
          <w:rFonts w:hint="eastAsia"/>
          <w:szCs w:val="21"/>
        </w:rPr>
        <w:t>工程的施工单位全部为符合政策要求的中小企业；</w:t>
      </w:r>
      <w:r>
        <w:rPr>
          <w:rFonts w:hint="eastAsia"/>
          <w:szCs w:val="21"/>
        </w:rPr>
        <w:sym w:font="Wingdings 2" w:char="00A3"/>
      </w:r>
      <w:r>
        <w:rPr>
          <w:rFonts w:hint="eastAsia"/>
          <w:szCs w:val="21"/>
        </w:rPr>
        <w:t>提</w:t>
      </w:r>
      <w:r>
        <w:rPr>
          <w:szCs w:val="21"/>
        </w:rPr>
        <w:t>供的</w:t>
      </w:r>
      <w:r>
        <w:rPr>
          <w:rFonts w:hint="eastAsia"/>
          <w:szCs w:val="21"/>
        </w:rPr>
        <w:t>服务全部由符合政策要求的中小企业承接。相关企业（含联合体中的中小企业、签订分包意向协议的中小企业）的具体情况如下：</w:t>
      </w:r>
    </w:p>
    <w:p w14:paraId="4265C0E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w:t>
      </w:r>
      <w:r>
        <w:rPr>
          <w:rFonts w:hint="eastAsia" w:ascii="宋体" w:hAnsi="宋体" w:eastAsia="宋体" w:cs="宋体"/>
        </w:rPr>
        <w:t>行业；</w:t>
      </w:r>
      <w:r>
        <w:rPr>
          <w:rFonts w:hint="eastAsia" w:ascii="宋体" w:hAnsi="宋体" w:cs="宋体"/>
          <w:lang w:val="en-US" w:eastAsia="zh-CN"/>
        </w:rPr>
        <w:t>制造商</w:t>
      </w:r>
      <w:r>
        <w:rPr>
          <w:rFonts w:hint="eastAsia" w:ascii="宋体" w:hAnsi="宋体" w:eastAsia="宋体" w:cs="宋体"/>
        </w:rPr>
        <w:t>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u w:val="single"/>
        </w:rPr>
        <w:tab/>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u w:val="single"/>
        </w:rPr>
        <w:tab/>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u w:val="single"/>
        </w:rPr>
        <w:tab/>
      </w:r>
      <w:r>
        <w:rPr>
          <w:rFonts w:hint="eastAsia" w:ascii="宋体" w:hAnsi="宋体" w:eastAsia="宋体" w:cs="宋体"/>
        </w:rPr>
        <w:t>万元，属于（中型企业、小型企业、微型企业）；</w:t>
      </w:r>
    </w:p>
    <w:p w14:paraId="79762D1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w:t>
      </w:r>
      <w:r>
        <w:rPr>
          <w:rFonts w:hint="eastAsia" w:ascii="宋体" w:hAnsi="宋体" w:eastAsia="宋体" w:cs="宋体"/>
        </w:rPr>
        <w:t>行业；</w:t>
      </w:r>
      <w:r>
        <w:rPr>
          <w:rFonts w:hint="eastAsia" w:ascii="宋体" w:hAnsi="宋体" w:cs="宋体"/>
          <w:lang w:val="en-US" w:eastAsia="zh-CN"/>
        </w:rPr>
        <w:t>制造商</w:t>
      </w:r>
      <w:r>
        <w:rPr>
          <w:rFonts w:hint="eastAsia" w:ascii="宋体" w:hAnsi="宋体" w:eastAsia="宋体" w:cs="宋体"/>
        </w:rPr>
        <w:t>为</w:t>
      </w:r>
      <w:r>
        <w:rPr>
          <w:rFonts w:hint="eastAsia" w:ascii="宋体" w:hAnsi="宋体" w:eastAsia="宋体" w:cs="宋体"/>
          <w:u w:val="single"/>
          <w:lang w:eastAsia="zh-CN"/>
        </w:rPr>
        <w:t>（</w:t>
      </w:r>
      <w:r>
        <w:rPr>
          <w:rFonts w:hint="eastAsia" w:ascii="宋体" w:hAnsi="宋体" w:eastAsia="宋体" w:cs="宋体"/>
          <w:u w:val="single"/>
        </w:rPr>
        <w:t>企业名称</w:t>
      </w:r>
      <w:r>
        <w:rPr>
          <w:rFonts w:hint="eastAsia" w:ascii="宋体" w:hAnsi="宋体" w:eastAsia="宋体" w:cs="宋体"/>
          <w:u w:val="single"/>
          <w:lang w:eastAsia="zh-CN"/>
        </w:rPr>
        <w:t>）</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u w:val="single"/>
        </w:rPr>
        <w:tab/>
      </w:r>
      <w:r>
        <w:rPr>
          <w:rFonts w:hint="eastAsia" w:ascii="宋体" w:hAnsi="宋体" w:eastAsia="宋体" w:cs="宋体"/>
        </w:rPr>
        <w:t>人，营业收入为万元，资产总额为</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u w:val="single"/>
        </w:rPr>
        <w:tab/>
      </w:r>
      <w:r>
        <w:rPr>
          <w:rFonts w:hint="eastAsia" w:ascii="宋体" w:hAnsi="宋体" w:eastAsia="宋体" w:cs="宋体"/>
        </w:rPr>
        <w:t>万元，属于（中型企业、小型企业、微型企业）；</w:t>
      </w:r>
    </w:p>
    <w:p w14:paraId="2E1DDBF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w:t>
      </w:r>
    </w:p>
    <w:p w14:paraId="6E2E574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74436B0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4E796C0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p>
    <w:p w14:paraId="1043122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 xml:space="preserve">企业名称（盖章）：                    </w:t>
      </w:r>
    </w:p>
    <w:p w14:paraId="4C955E6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r>
        <w:rPr>
          <w:rFonts w:hint="eastAsia" w:ascii="宋体" w:hAnsi="宋体" w:eastAsia="宋体" w:cs="宋体"/>
        </w:rPr>
        <w:t>日期：      年   月   日</w:t>
      </w:r>
    </w:p>
    <w:p w14:paraId="5E9FC22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jc w:val="both"/>
        <w:textAlignment w:val="auto"/>
        <w:rPr>
          <w:rFonts w:hint="eastAsia" w:ascii="宋体" w:hAnsi="宋体" w:eastAsia="宋体" w:cs="宋体"/>
        </w:rPr>
      </w:pPr>
    </w:p>
    <w:p w14:paraId="6984695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jc w:val="both"/>
        <w:textAlignment w:val="auto"/>
        <w:rPr>
          <w:rFonts w:hint="eastAsia" w:ascii="宋体" w:hAnsi="宋体" w:eastAsia="宋体" w:cs="宋体"/>
          <w:b/>
          <w:bCs/>
        </w:rPr>
      </w:pPr>
      <w:r>
        <w:rPr>
          <w:rFonts w:hint="eastAsia" w:ascii="宋体" w:hAnsi="宋体" w:eastAsia="宋体" w:cs="宋体"/>
          <w:b/>
          <w:bCs/>
        </w:rPr>
        <w:t>（备注：从业人员、营业收入、资产总额填报上一年度数据，无上一年度数据的新成立企业可不填报。）</w:t>
      </w:r>
    </w:p>
    <w:p w14:paraId="58159A04">
      <w:pPr>
        <w:rPr>
          <w:color w:val="auto"/>
          <w:highlight w:val="none"/>
        </w:rPr>
      </w:pPr>
      <w:r>
        <w:rPr>
          <w:color w:val="auto"/>
          <w:highlight w:val="none"/>
        </w:rPr>
        <w:br w:type="page"/>
      </w:r>
    </w:p>
    <w:p w14:paraId="334E01CD">
      <w:pPr>
        <w:pStyle w:val="2"/>
        <w:keepNext w:val="0"/>
        <w:keepLines w:val="0"/>
        <w:pageBreakBefore w:val="0"/>
        <w:widowControl w:val="0"/>
        <w:kinsoku/>
        <w:wordWrap/>
        <w:overflowPunct/>
        <w:topLinePunct w:val="0"/>
        <w:autoSpaceDE/>
        <w:autoSpaceDN/>
        <w:bidi w:val="0"/>
        <w:adjustRightInd/>
        <w:snapToGrid/>
        <w:spacing w:before="0" w:beforeLines="0" w:after="0" w:afterLines="0" w:line="360" w:lineRule="auto"/>
        <w:textAlignment w:val="auto"/>
        <w:outlineLvl w:val="0"/>
        <w:rPr>
          <w:rFonts w:hint="eastAsia" w:ascii="宋体" w:hAnsi="宋体" w:eastAsia="宋体" w:cs="宋体"/>
          <w:b/>
          <w:bCs w:val="0"/>
          <w:color w:val="auto"/>
          <w:highlight w:val="none"/>
        </w:rPr>
      </w:pPr>
      <w:bookmarkStart w:id="142" w:name="_Toc28657"/>
      <w:r>
        <w:rPr>
          <w:rFonts w:hint="eastAsia" w:ascii="宋体" w:hAnsi="宋体" w:eastAsia="宋体" w:cs="宋体"/>
          <w:b/>
          <w:bCs w:val="0"/>
          <w:color w:val="auto"/>
          <w:highlight w:val="none"/>
        </w:rPr>
        <w:t xml:space="preserve">第七章 </w:t>
      </w:r>
      <w:r>
        <w:rPr>
          <w:rFonts w:hint="eastAsia" w:ascii="宋体" w:hAnsi="宋体" w:eastAsia="宋体" w:cs="宋体"/>
          <w:b/>
          <w:bCs w:val="0"/>
          <w:color w:val="auto"/>
          <w:highlight w:val="none"/>
          <w:lang w:val="en-US" w:eastAsia="zh-CN"/>
        </w:rPr>
        <w:t>政府采购</w:t>
      </w:r>
      <w:r>
        <w:rPr>
          <w:rFonts w:hint="eastAsia" w:ascii="宋体" w:hAnsi="宋体" w:eastAsia="宋体" w:cs="宋体"/>
          <w:b/>
          <w:bCs w:val="0"/>
          <w:color w:val="auto"/>
          <w:highlight w:val="none"/>
          <w:lang w:eastAsia="zh-CN"/>
        </w:rPr>
        <w:t>供应商</w:t>
      </w:r>
      <w:r>
        <w:rPr>
          <w:rFonts w:hint="eastAsia" w:ascii="宋体" w:hAnsi="宋体" w:eastAsia="宋体" w:cs="宋体"/>
          <w:b/>
          <w:bCs w:val="0"/>
          <w:color w:val="auto"/>
          <w:highlight w:val="none"/>
        </w:rPr>
        <w:t>质疑函范本</w:t>
      </w:r>
      <w:bookmarkEnd w:id="98"/>
      <w:bookmarkEnd w:id="99"/>
      <w:bookmarkEnd w:id="100"/>
      <w:bookmarkEnd w:id="101"/>
      <w:bookmarkEnd w:id="142"/>
    </w:p>
    <w:p w14:paraId="75CB36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44"/>
          <w:szCs w:val="44"/>
        </w:rPr>
      </w:pPr>
      <w:r>
        <w:rPr>
          <w:rFonts w:hint="eastAsia" w:ascii="宋体" w:hAnsi="宋体" w:eastAsia="宋体" w:cs="宋体"/>
          <w:b/>
          <w:bCs/>
          <w:sz w:val="32"/>
          <w:szCs w:val="32"/>
        </w:rPr>
        <w:t>质疑函范本</w:t>
      </w:r>
    </w:p>
    <w:p w14:paraId="5A3C6296">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rFonts w:hint="eastAsia" w:ascii="宋体" w:hAnsi="宋体" w:eastAsia="宋体" w:cs="宋体"/>
          <w:b/>
          <w:bCs/>
        </w:rPr>
      </w:pPr>
      <w:r>
        <w:rPr>
          <w:rFonts w:hint="eastAsia" w:ascii="宋体" w:hAnsi="宋体" w:eastAsia="宋体" w:cs="宋体"/>
          <w:b/>
          <w:bCs/>
        </w:rPr>
        <w:t>一、质疑供应商基本信息</w:t>
      </w:r>
    </w:p>
    <w:p w14:paraId="4DED490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u w:val="single"/>
        </w:rPr>
      </w:pPr>
      <w:r>
        <w:rPr>
          <w:rFonts w:hint="eastAsia"/>
        </w:rPr>
        <w:t>质疑供应商：</w:t>
      </w:r>
      <w:r>
        <w:rPr>
          <w:rFonts w:hint="eastAsia"/>
          <w:u w:val="single"/>
        </w:rPr>
        <w:t xml:space="preserve">                                                </w:t>
      </w:r>
    </w:p>
    <w:p w14:paraId="2136D9A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u w:val="single"/>
        </w:rPr>
      </w:pPr>
      <w:r>
        <w:rPr>
          <w:rFonts w:hint="eastAsia"/>
        </w:rPr>
        <w:t>地址：</w:t>
      </w:r>
      <w:r>
        <w:rPr>
          <w:rFonts w:hint="eastAsia"/>
          <w:u w:val="single"/>
        </w:rPr>
        <w:t xml:space="preserve">                         </w:t>
      </w:r>
      <w:r>
        <w:rPr>
          <w:rFonts w:hint="eastAsia"/>
        </w:rPr>
        <w:t xml:space="preserve"> 邮编：</w:t>
      </w:r>
      <w:r>
        <w:rPr>
          <w:rFonts w:hint="eastAsia"/>
          <w:u w:val="single"/>
        </w:rPr>
        <w:t xml:space="preserve">                      </w:t>
      </w:r>
    </w:p>
    <w:p w14:paraId="7DC5AE5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u w:val="single"/>
        </w:rPr>
      </w:pPr>
      <w:r>
        <w:rPr>
          <w:rFonts w:hint="eastAsia"/>
        </w:rPr>
        <w:t>联系人：</w:t>
      </w:r>
      <w:r>
        <w:rPr>
          <w:rFonts w:hint="eastAsia"/>
          <w:u w:val="single"/>
        </w:rPr>
        <w:t xml:space="preserve">                     </w:t>
      </w:r>
      <w:r>
        <w:rPr>
          <w:rFonts w:hint="eastAsia"/>
        </w:rPr>
        <w:t xml:space="preserve"> 联系电话：</w:t>
      </w:r>
      <w:r>
        <w:rPr>
          <w:rFonts w:hint="eastAsia"/>
          <w:u w:val="single"/>
        </w:rPr>
        <w:t xml:space="preserve">                    </w:t>
      </w:r>
    </w:p>
    <w:p w14:paraId="4EE858C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u w:val="single"/>
        </w:rPr>
      </w:pPr>
      <w:r>
        <w:rPr>
          <w:rFonts w:hint="eastAsia"/>
        </w:rPr>
        <w:t>授权代表：</w:t>
      </w:r>
      <w:r>
        <w:rPr>
          <w:rFonts w:hint="eastAsia"/>
          <w:u w:val="single"/>
        </w:rPr>
        <w:t xml:space="preserve">                                                  </w:t>
      </w:r>
    </w:p>
    <w:p w14:paraId="21C1EE3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u w:val="single"/>
        </w:rPr>
      </w:pPr>
      <w:r>
        <w:rPr>
          <w:rFonts w:hint="eastAsia"/>
        </w:rPr>
        <w:t>联系电话：</w:t>
      </w:r>
      <w:r>
        <w:rPr>
          <w:rFonts w:hint="eastAsia"/>
          <w:u w:val="single"/>
        </w:rPr>
        <w:t xml:space="preserve">                                                 </w:t>
      </w:r>
      <w:r>
        <w:rPr>
          <w:u w:val="single"/>
        </w:rPr>
        <w:t xml:space="preserve"> </w:t>
      </w:r>
    </w:p>
    <w:p w14:paraId="51A92E8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pPr>
      <w:r>
        <w:rPr>
          <w:rFonts w:hint="eastAsia"/>
        </w:rPr>
        <w:t>地址：</w:t>
      </w:r>
      <w:r>
        <w:rPr>
          <w:u w:val="single"/>
        </w:rPr>
        <w:t xml:space="preserve"> </w:t>
      </w:r>
      <w:r>
        <w:rPr>
          <w:rFonts w:hint="eastAsia"/>
          <w:u w:val="single"/>
        </w:rPr>
        <w:t xml:space="preserve">                       </w:t>
      </w:r>
      <w:r>
        <w:rPr>
          <w:rFonts w:hint="eastAsia"/>
        </w:rPr>
        <w:t xml:space="preserve"> 邮编：</w:t>
      </w:r>
      <w:r>
        <w:rPr>
          <w:rFonts w:hint="eastAsia"/>
          <w:u w:val="single"/>
        </w:rPr>
        <w:t xml:space="preserve">                       </w:t>
      </w:r>
    </w:p>
    <w:p w14:paraId="297E498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rFonts w:hint="eastAsia" w:ascii="宋体" w:hAnsi="宋体" w:eastAsia="宋体" w:cs="宋体"/>
          <w:b/>
          <w:bCs/>
        </w:rPr>
      </w:pPr>
      <w:r>
        <w:rPr>
          <w:rFonts w:hint="eastAsia" w:ascii="宋体" w:hAnsi="宋体" w:eastAsia="宋体" w:cs="宋体"/>
          <w:b/>
          <w:bCs/>
        </w:rPr>
        <w:t>二、质疑项目基本情况</w:t>
      </w:r>
    </w:p>
    <w:p w14:paraId="2FF6027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u w:val="single"/>
        </w:rPr>
      </w:pPr>
      <w:r>
        <w:rPr>
          <w:rFonts w:hint="eastAsia"/>
        </w:rPr>
        <w:t>质疑项目的名称：</w:t>
      </w:r>
      <w:r>
        <w:rPr>
          <w:rFonts w:hint="eastAsia"/>
          <w:u w:val="single"/>
        </w:rPr>
        <w:t xml:space="preserve">                                            </w:t>
      </w:r>
    </w:p>
    <w:p w14:paraId="239FCDA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u w:val="single"/>
        </w:rPr>
      </w:pPr>
      <w:r>
        <w:rPr>
          <w:rFonts w:hint="eastAsia"/>
        </w:rPr>
        <w:t>质疑项目的编号：</w:t>
      </w:r>
      <w:r>
        <w:rPr>
          <w:rFonts w:hint="eastAsia"/>
          <w:u w:val="single"/>
        </w:rPr>
        <w:t xml:space="preserve">              </w:t>
      </w:r>
      <w:r>
        <w:rPr>
          <w:rFonts w:hint="eastAsia"/>
        </w:rPr>
        <w:t xml:space="preserve"> 包号：</w:t>
      </w:r>
      <w:r>
        <w:rPr>
          <w:rFonts w:hint="eastAsia"/>
          <w:u w:val="single"/>
        </w:rPr>
        <w:t xml:space="preserve">                       </w:t>
      </w:r>
    </w:p>
    <w:p w14:paraId="62A57A9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u w:val="single"/>
        </w:rPr>
      </w:pPr>
      <w:r>
        <w:rPr>
          <w:rFonts w:hint="eastAsia"/>
        </w:rPr>
        <w:t>采购人名称：</w:t>
      </w:r>
      <w:r>
        <w:rPr>
          <w:rFonts w:hint="eastAsia"/>
          <w:u w:val="single"/>
        </w:rPr>
        <w:t xml:space="preserve">                                                </w:t>
      </w:r>
    </w:p>
    <w:p w14:paraId="6FA4D01E">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u w:val="single"/>
        </w:rPr>
      </w:pPr>
      <w:r>
        <w:rPr>
          <w:rFonts w:hint="eastAsia"/>
        </w:rPr>
        <w:t>采购文件获取日期：</w:t>
      </w:r>
      <w:r>
        <w:rPr>
          <w:rFonts w:hint="eastAsia"/>
          <w:u w:val="single"/>
        </w:rPr>
        <w:t xml:space="preserve">                                          </w:t>
      </w:r>
    </w:p>
    <w:p w14:paraId="7D82ED4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rFonts w:hint="eastAsia" w:ascii="宋体" w:hAnsi="宋体" w:eastAsia="宋体" w:cs="宋体"/>
          <w:b/>
          <w:bCs/>
        </w:rPr>
      </w:pPr>
      <w:r>
        <w:rPr>
          <w:rFonts w:hint="eastAsia" w:ascii="宋体" w:hAnsi="宋体" w:eastAsia="宋体" w:cs="宋体"/>
          <w:b/>
          <w:bCs/>
        </w:rPr>
        <w:t>三、质疑事项具体内容</w:t>
      </w:r>
    </w:p>
    <w:p w14:paraId="4144042F">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 xml:space="preserve">质疑事项1：                                         </w:t>
      </w:r>
    </w:p>
    <w:p w14:paraId="44BA77D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 xml:space="preserve">事实依据：                                          </w:t>
      </w:r>
    </w:p>
    <w:p w14:paraId="6C59E138">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 xml:space="preserve">                                                       </w:t>
      </w:r>
    </w:p>
    <w:p w14:paraId="35C2BCF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 xml:space="preserve">法律依据：                                          </w:t>
      </w:r>
    </w:p>
    <w:p w14:paraId="2E002FE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 xml:space="preserve">                                                     </w:t>
      </w:r>
    </w:p>
    <w:p w14:paraId="737B22E9">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质疑事项2：</w:t>
      </w:r>
    </w:p>
    <w:p w14:paraId="5FFF675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w:t>
      </w:r>
    </w:p>
    <w:p w14:paraId="32A41A7A">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rFonts w:hint="eastAsia" w:ascii="宋体" w:hAnsi="宋体" w:eastAsia="宋体" w:cs="宋体"/>
          <w:b/>
          <w:bCs/>
        </w:rPr>
      </w:pPr>
      <w:r>
        <w:rPr>
          <w:rFonts w:hint="eastAsia" w:ascii="宋体" w:hAnsi="宋体" w:eastAsia="宋体" w:cs="宋体"/>
          <w:b/>
          <w:bCs/>
        </w:rPr>
        <w:t>四、与质疑事项相关的质疑请求</w:t>
      </w:r>
    </w:p>
    <w:p w14:paraId="3D6B12A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pPr>
      <w:r>
        <w:rPr>
          <w:rFonts w:hint="eastAsia"/>
        </w:rPr>
        <w:t xml:space="preserve">请求：                                               </w:t>
      </w:r>
    </w:p>
    <w:p w14:paraId="67667EFD">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pPr>
    </w:p>
    <w:p w14:paraId="481CA691">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6000" w:leftChars="2500" w:firstLine="480" w:firstLineChars="200"/>
        <w:jc w:val="both"/>
        <w:textAlignment w:val="auto"/>
      </w:pPr>
      <w:r>
        <w:rPr>
          <w:rFonts w:hint="eastAsia"/>
        </w:rPr>
        <w:t>签字（签章）：</w:t>
      </w:r>
    </w:p>
    <w:p w14:paraId="013F0230">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6000" w:leftChars="2500" w:firstLine="480" w:firstLineChars="200"/>
        <w:jc w:val="both"/>
        <w:textAlignment w:val="auto"/>
      </w:pPr>
      <w:r>
        <w:rPr>
          <w:rFonts w:hint="eastAsia"/>
        </w:rPr>
        <w:t>单位名称（公章）：</w:t>
      </w:r>
    </w:p>
    <w:p w14:paraId="31824D9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left="6000" w:leftChars="2500" w:firstLine="480" w:firstLineChars="200"/>
        <w:jc w:val="both"/>
        <w:textAlignment w:val="auto"/>
        <w:rPr>
          <w:rFonts w:ascii="黑体" w:hAnsi="黑体" w:eastAsia="黑体" w:cs="黑体"/>
        </w:rPr>
      </w:pPr>
      <w:r>
        <w:rPr>
          <w:rFonts w:hint="eastAsia"/>
        </w:rPr>
        <w:t>日期：</w:t>
      </w:r>
    </w:p>
    <w:p w14:paraId="4499834C">
      <w:pPr>
        <w:rPr>
          <w:rFonts w:ascii="黑体" w:hAnsi="黑体" w:eastAsia="黑体" w:cs="黑体"/>
          <w:sz w:val="24"/>
        </w:rPr>
      </w:pPr>
    </w:p>
    <w:p w14:paraId="4726024E">
      <w:pPr>
        <w:rPr>
          <w:rFonts w:ascii="黑体" w:hAnsi="黑体" w:eastAsia="黑体" w:cs="黑体"/>
          <w:sz w:val="24"/>
        </w:rPr>
      </w:pPr>
    </w:p>
    <w:p w14:paraId="08A64902">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rFonts w:hint="eastAsia" w:ascii="宋体" w:hAnsi="宋体" w:eastAsia="宋体" w:cs="宋体"/>
          <w:b/>
          <w:bCs/>
        </w:rPr>
      </w:pPr>
    </w:p>
    <w:p w14:paraId="45CD72D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0" w:firstLineChars="0"/>
        <w:textAlignment w:val="auto"/>
        <w:rPr>
          <w:rFonts w:hint="eastAsia" w:ascii="宋体" w:hAnsi="宋体" w:eastAsia="宋体" w:cs="宋体"/>
          <w:b/>
          <w:bCs/>
        </w:rPr>
      </w:pPr>
      <w:r>
        <w:rPr>
          <w:rFonts w:hint="eastAsia" w:ascii="宋体" w:hAnsi="宋体" w:eastAsia="宋体" w:cs="宋体"/>
          <w:b/>
          <w:bCs/>
        </w:rPr>
        <w:t>质疑函制作说明：</w:t>
      </w:r>
    </w:p>
    <w:p w14:paraId="5E5296D7">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1.供应商提出质疑时，应提交质疑函和必要的证明材料。</w:t>
      </w:r>
    </w:p>
    <w:p w14:paraId="0298941C">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D15E1A5">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3.质疑供应商若对项目的某一分包进行质疑，质疑函中应列明具体分包号。</w:t>
      </w:r>
    </w:p>
    <w:p w14:paraId="757AF603">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4.质疑函的质疑事项应具体、明确，并有必要的事实依据和法律依据。</w:t>
      </w:r>
    </w:p>
    <w:p w14:paraId="627E7514">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5.质疑函的质疑请求应与质疑事项相关。</w:t>
      </w:r>
    </w:p>
    <w:p w14:paraId="333451DB">
      <w:pPr>
        <w:pStyle w:val="44"/>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textAlignment w:val="auto"/>
        <w:rPr>
          <w:rFonts w:hint="eastAsia" w:ascii="宋体" w:hAnsi="宋体" w:eastAsia="宋体" w:cs="宋体"/>
        </w:rPr>
      </w:pPr>
      <w:r>
        <w:rPr>
          <w:rFonts w:hint="eastAsia" w:ascii="宋体" w:hAnsi="宋体" w:eastAsia="宋体" w:cs="宋体"/>
        </w:rPr>
        <w:t>6.质疑供应商为自然人的，质疑函应由本人签字；质疑供应商为法人或者其他组织的，质疑函应由法定代表人、主要负责人，或者其授权代表签字或者盖章，并加盖公章。</w:t>
      </w:r>
    </w:p>
    <w:p w14:paraId="5C8B9984">
      <w:pPr>
        <w:rPr>
          <w:rFonts w:hint="eastAsia" w:ascii="宋体" w:hAnsi="宋体" w:cs="宋体"/>
          <w:color w:val="auto"/>
          <w:highlight w:val="none"/>
          <w:lang w:val="en-US" w:eastAsia="zh-CN"/>
        </w:rPr>
      </w:pPr>
    </w:p>
    <w:sectPr>
      <w:pgSz w:w="11906" w:h="16838"/>
      <w:pgMar w:top="1134" w:right="1134" w:bottom="1134" w:left="1134" w:header="851" w:footer="624" w:gutter="0"/>
      <w:pgBorders>
        <w:top w:val="none" w:sz="0" w:space="0"/>
        <w:left w:val="none" w:sz="0" w:space="0"/>
        <w:bottom w:val="none" w:sz="0" w:space="0"/>
        <w:right w:val="none" w:sz="0" w:space="0"/>
      </w:pgBorders>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40B77C8-E921-46D3-B971-71B96FED8DE3}"/>
  </w:font>
  <w:font w:name="Arial">
    <w:panose1 w:val="020B0604020202020204"/>
    <w:charset w:val="01"/>
    <w:family w:val="swiss"/>
    <w:pitch w:val="default"/>
    <w:sig w:usb0="E0002EFF" w:usb1="C000785B" w:usb2="00000009" w:usb3="00000000" w:csb0="400001FF" w:csb1="FFFF0000"/>
    <w:embedRegular r:id="rId2" w:fontKey="{4E7288DD-D93A-4871-BC7D-F431727AF0A8}"/>
  </w:font>
  <w:font w:name="黑体">
    <w:panose1 w:val="02010609060101010101"/>
    <w:charset w:val="86"/>
    <w:family w:val="auto"/>
    <w:pitch w:val="default"/>
    <w:sig w:usb0="800002BF" w:usb1="38CF7CFA" w:usb2="00000016" w:usb3="00000000" w:csb0="00040001" w:csb1="00000000"/>
    <w:embedRegular r:id="rId3" w:fontKey="{031BE65A-3C9A-4AFE-90D5-C0CB871F9D1F}"/>
  </w:font>
  <w:font w:name="Courier New">
    <w:panose1 w:val="02070309020205020404"/>
    <w:charset w:val="01"/>
    <w:family w:val="modern"/>
    <w:pitch w:val="default"/>
    <w:sig w:usb0="E0002EFF" w:usb1="C0007843" w:usb2="00000009" w:usb3="00000000" w:csb0="400001FF" w:csb1="FFFF0000"/>
    <w:embedRegular r:id="rId4" w:fontKey="{C9FB76E2-EC9B-491B-AB04-9722B5FD858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2D66B7CF-A7FC-4F49-A091-B8A439AA799E}"/>
  </w:font>
  <w:font w:name="方正小标宋_GBK">
    <w:panose1 w:val="02000000000000000000"/>
    <w:charset w:val="86"/>
    <w:family w:val="auto"/>
    <w:pitch w:val="default"/>
    <w:sig w:usb0="A00002BF" w:usb1="38CF7CFA" w:usb2="00082016" w:usb3="00000000" w:csb0="00040001" w:csb1="00000000"/>
    <w:embedRegular r:id="rId6" w:fontKey="{5E8EABF1-9DCC-4822-983B-3BFEBF62B685}"/>
  </w:font>
  <w:font w:name="微软雅黑">
    <w:panose1 w:val="020B0503020204020204"/>
    <w:charset w:val="86"/>
    <w:family w:val="auto"/>
    <w:pitch w:val="default"/>
    <w:sig w:usb0="80000287" w:usb1="2ACF3C50" w:usb2="00000016" w:usb3="00000000" w:csb0="0004001F" w:csb1="00000000"/>
    <w:embedRegular r:id="rId7" w:fontKey="{16E9A772-92A8-4109-B42D-40074CD42161}"/>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楷体_GB2312">
    <w:altName w:val="楷体"/>
    <w:panose1 w:val="02010609030101010101"/>
    <w:charset w:val="86"/>
    <w:family w:val="auto"/>
    <w:pitch w:val="default"/>
    <w:sig w:usb0="00000000" w:usb1="00000000" w:usb2="00000000" w:usb3="00000000" w:csb0="00040000" w:csb1="00000000"/>
    <w:embedRegular r:id="rId8" w:fontKey="{7D2DA32E-E6C7-4623-9C50-6E1AFF27168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9" w:fontKey="{26FE2928-109C-4F1D-BC03-2A7FC7350575}"/>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Nimbus Roman No9 L">
    <w:altName w:val="仿宋"/>
    <w:panose1 w:val="00000000000000000000"/>
    <w:charset w:val="00"/>
    <w:family w:val="auto"/>
    <w:pitch w:val="default"/>
    <w:sig w:usb0="00000000" w:usb1="00000000" w:usb2="00000000" w:usb3="00000000" w:csb0="00000000" w:csb1="00000000"/>
  </w:font>
  <w:font w:name="隶书">
    <w:altName w:val="Arial Unicode MS"/>
    <w:panose1 w:val="02010509060101010101"/>
    <w:charset w:val="86"/>
    <w:family w:val="modern"/>
    <w:pitch w:val="default"/>
    <w:sig w:usb0="00000000" w:usb1="00000000" w:usb2="00000000" w:usb3="00000000" w:csb0="00040000" w:csb1="00000000"/>
    <w:embedRegular r:id="rId10" w:fontKey="{F865318E-3215-4B0E-B043-8D6E21DCB3DF}"/>
  </w:font>
  <w:font w:name="Arial Unicode MS">
    <w:panose1 w:val="020B0604020202020204"/>
    <w:charset w:val="86"/>
    <w:family w:val="auto"/>
    <w:pitch w:val="default"/>
    <w:sig w:usb0="F7FFAEFF" w:usb1="F9DFFFFF" w:usb2="0000007F" w:usb3="00000000" w:csb0="203F01FF" w:csb1="DFFF0000"/>
  </w:font>
  <w:font w:name="华文中宋">
    <w:panose1 w:val="02010600040101010101"/>
    <w:charset w:val="86"/>
    <w:family w:val="auto"/>
    <w:pitch w:val="default"/>
    <w:sig w:usb0="00000287" w:usb1="080F0000" w:usb2="00000000" w:usb3="00000000" w:csb0="0004009F" w:csb1="DFD70000"/>
    <w:embedRegular r:id="rId11" w:fontKey="{45F46E8A-C154-4979-86EC-47E9926EA66B}"/>
  </w:font>
  <w:font w:name="Tahoma">
    <w:panose1 w:val="020B0604030504040204"/>
    <w:charset w:val="00"/>
    <w:family w:val="swiss"/>
    <w:pitch w:val="default"/>
    <w:sig w:usb0="E1002EFF" w:usb1="C000605B" w:usb2="00000029" w:usb3="00000000" w:csb0="200101FF" w:csb1="20280000"/>
    <w:embedRegular r:id="rId12" w:fontKey="{EB2B2000-912B-4BEC-98B5-1D48C664C0A6}"/>
  </w:font>
  <w:font w:name="新宋体">
    <w:panose1 w:val="02010609030101010101"/>
    <w:charset w:val="86"/>
    <w:family w:val="modern"/>
    <w:pitch w:val="default"/>
    <w:sig w:usb0="00000203" w:usb1="288F0000" w:usb2="00000006" w:usb3="00000000" w:csb0="00040001" w:csb1="00000000"/>
    <w:embedRegular r:id="rId13" w:fontKey="{D422219C-5A41-4A30-876B-001F0A675433}"/>
  </w:font>
  <w:font w:name="Wingdings 2">
    <w:altName w:val="Wingdings"/>
    <w:panose1 w:val="05020102010507070707"/>
    <w:charset w:val="02"/>
    <w:family w:val="roman"/>
    <w:pitch w:val="default"/>
    <w:sig w:usb0="00000000" w:usb1="00000000" w:usb2="00000000" w:usb3="00000000" w:csb0="80000000" w:csb1="00000000"/>
    <w:embedRegular r:id="rId14" w:fontKey="{4A7A3607-2416-4A65-8C3A-B08F60A7346E}"/>
  </w:font>
  <w:font w:name="KSOF3D47F291">
    <w:panose1 w:val="020B0604020202020204"/>
    <w:charset w:val="00"/>
    <w:family w:val="auto"/>
    <w:pitch w:val="default"/>
    <w:sig w:usb0="00000001" w:usb1="00000000" w:usb2="00000000" w:usb3="00000000" w:csb0="00000001"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12EA3">
    <w:pPr>
      <w:pStyle w:val="22"/>
      <w:keepNext w:val="0"/>
      <w:keepLines w:val="0"/>
      <w:pageBreakBefore w:val="0"/>
      <w:widowControl w:val="0"/>
      <w:pBdr>
        <w:bottom w:val="single" w:color="auto" w:sz="4" w:space="0"/>
      </w:pBdr>
      <w:tabs>
        <w:tab w:val="clear" w:pos="8306"/>
      </w:tabs>
      <w:kinsoku/>
      <w:wordWrap/>
      <w:overflowPunct/>
      <w:topLinePunct w:val="0"/>
      <w:bidi w:val="0"/>
      <w:adjustRightInd/>
      <w:snapToGrid w:val="0"/>
      <w:spacing w:line="240" w:lineRule="auto"/>
      <w:ind w:left="360" w:leftChars="0" w:right="0" w:rightChars="0" w:hanging="360" w:hangingChars="200"/>
      <w:jc w:val="both"/>
      <w:textAlignment w:val="auto"/>
      <w:rPr>
        <w:rFonts w:hint="eastAsia" w:ascii="宋体" w:hAnsi="宋体" w:eastAsia="宋体" w:cs="宋体"/>
        <w:sz w:val="18"/>
        <w:szCs w:val="11"/>
        <w:lang w:val="en-US" w:eastAsia="zh-CN"/>
      </w:rPr>
    </w:pPr>
  </w:p>
  <w:p w14:paraId="141CE5E4">
    <w:pPr>
      <w:pStyle w:val="22"/>
      <w:keepNext w:val="0"/>
      <w:keepLines w:val="0"/>
      <w:pageBreakBefore w:val="0"/>
      <w:widowControl w:val="0"/>
      <w:tabs>
        <w:tab w:val="clear" w:pos="8306"/>
      </w:tabs>
      <w:kinsoku/>
      <w:wordWrap/>
      <w:overflowPunct/>
      <w:topLinePunct w:val="0"/>
      <w:bidi w:val="0"/>
      <w:adjustRightInd/>
      <w:snapToGrid w:val="0"/>
      <w:spacing w:line="240" w:lineRule="auto"/>
      <w:ind w:right="0" w:rightChars="0"/>
      <w:jc w:val="both"/>
      <w:textAlignment w:val="auto"/>
      <w:rPr>
        <w:rFonts w:hint="eastAsia" w:ascii="宋体" w:hAnsi="宋体" w:eastAsia="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821DA">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EE22C9">
                          <w:pPr>
                            <w:pStyle w:val="2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5DEE22C9">
                    <w:pPr>
                      <w:pStyle w:val="2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2DABD">
    <w:pPr>
      <w:pStyle w:val="22"/>
      <w:keepNext w:val="0"/>
      <w:keepLines w:val="0"/>
      <w:pageBreakBefore w:val="0"/>
      <w:widowControl w:val="0"/>
      <w:pBdr>
        <w:bottom w:val="single" w:color="auto" w:sz="4" w:space="0"/>
      </w:pBdr>
      <w:tabs>
        <w:tab w:val="clear" w:pos="8306"/>
      </w:tabs>
      <w:kinsoku/>
      <w:wordWrap/>
      <w:overflowPunct/>
      <w:topLinePunct w:val="0"/>
      <w:bidi w:val="0"/>
      <w:adjustRightInd/>
      <w:snapToGrid w:val="0"/>
      <w:spacing w:line="240" w:lineRule="auto"/>
      <w:ind w:left="360" w:leftChars="0" w:right="0" w:rightChars="0" w:hanging="360" w:hangingChars="200"/>
      <w:jc w:val="both"/>
      <w:textAlignment w:val="auto"/>
      <w:rPr>
        <w:rFonts w:hint="eastAsia" w:ascii="宋体" w:hAnsi="宋体" w:eastAsia="宋体" w:cs="宋体"/>
        <w:sz w:val="18"/>
        <w:szCs w:val="11"/>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85715">
                          <w:pPr>
                            <w:pStyle w:val="2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785715">
                    <w:pPr>
                      <w:pStyle w:val="2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0E9D454C">
    <w:pPr>
      <w:pStyle w:val="22"/>
      <w:keepNext w:val="0"/>
      <w:keepLines w:val="0"/>
      <w:pageBreakBefore w:val="0"/>
      <w:widowControl w:val="0"/>
      <w:tabs>
        <w:tab w:val="clear" w:pos="8306"/>
      </w:tabs>
      <w:kinsoku/>
      <w:wordWrap/>
      <w:overflowPunct/>
      <w:topLinePunct w:val="0"/>
      <w:bidi w:val="0"/>
      <w:adjustRightInd/>
      <w:snapToGrid w:val="0"/>
      <w:spacing w:line="240" w:lineRule="auto"/>
      <w:ind w:right="0" w:rightChars="0"/>
      <w:jc w:val="both"/>
      <w:textAlignment w:val="auto"/>
      <w:rPr>
        <w:rFonts w:hint="eastAsia" w:ascii="宋体" w:hAnsi="宋体" w:eastAsia="宋体" w:cs="宋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25F78">
    <w:pPr>
      <w:pStyle w:val="23"/>
      <w:pBdr>
        <w:bottom w:val="dashSmallGap" w:color="auto" w:sz="4" w:space="1"/>
      </w:pBdr>
      <w:tabs>
        <w:tab w:val="clear" w:pos="8306"/>
      </w:tabs>
      <w:ind w:left="-3" w:firstLine="3"/>
      <w:jc w:val="center"/>
      <w:rPr>
        <w:rFonts w:hint="eastAsia"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292AF">
    <w:pPr>
      <w:pStyle w:val="2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5B2B9A"/>
    <w:multiLevelType w:val="singleLevel"/>
    <w:tmpl w:val="9D5B2B9A"/>
    <w:lvl w:ilvl="0" w:tentative="0">
      <w:start w:val="2"/>
      <w:numFmt w:val="decimal"/>
      <w:suff w:val="nothing"/>
      <w:lvlText w:val="%1）"/>
      <w:lvlJc w:val="left"/>
    </w:lvl>
  </w:abstractNum>
  <w:abstractNum w:abstractNumId="1">
    <w:nsid w:val="9F1CC30C"/>
    <w:multiLevelType w:val="singleLevel"/>
    <w:tmpl w:val="9F1CC30C"/>
    <w:lvl w:ilvl="0" w:tentative="0">
      <w:start w:val="1"/>
      <w:numFmt w:val="chineseCounting"/>
      <w:suff w:val="nothing"/>
      <w:lvlText w:val="%1、"/>
      <w:lvlJc w:val="left"/>
      <w:rPr>
        <w:rFonts w:hint="eastAsia"/>
      </w:rPr>
    </w:lvl>
  </w:abstractNum>
  <w:abstractNum w:abstractNumId="2">
    <w:nsid w:val="F40096D2"/>
    <w:multiLevelType w:val="singleLevel"/>
    <w:tmpl w:val="F40096D2"/>
    <w:lvl w:ilvl="0" w:tentative="0">
      <w:start w:val="1"/>
      <w:numFmt w:val="decimal"/>
      <w:suff w:val="nothing"/>
      <w:lvlText w:val="%1．"/>
      <w:lvlJc w:val="left"/>
      <w:pPr>
        <w:ind w:left="0" w:firstLine="400"/>
      </w:pPr>
      <w:rPr>
        <w:rFonts w:hint="default"/>
      </w:rPr>
    </w:lvl>
  </w:abstractNum>
  <w:abstractNum w:abstractNumId="3">
    <w:nsid w:val="00000007"/>
    <w:multiLevelType w:val="multilevel"/>
    <w:tmpl w:val="00000007"/>
    <w:lvl w:ilvl="0" w:tentative="0">
      <w:start w:val="1"/>
      <w:numFmt w:val="chineseCounting"/>
      <w:suff w:val="nothing"/>
      <w:lvlText w:val="第%1章 "/>
      <w:lvlJc w:val="left"/>
      <w:pPr>
        <w:tabs>
          <w:tab w:val="left" w:pos="0"/>
        </w:tabs>
        <w:ind w:left="0" w:firstLine="402"/>
      </w:pPr>
      <w:rPr>
        <w:rFonts w:hint="eastAsia" w:ascii="微软雅黑" w:hAnsi="微软雅黑" w:eastAsia="微软雅黑" w:cs="微软雅黑"/>
        <w:sz w:val="36"/>
        <w:szCs w:val="36"/>
      </w:rPr>
    </w:lvl>
    <w:lvl w:ilvl="1" w:tentative="0">
      <w:start w:val="1"/>
      <w:numFmt w:val="chineseCounting"/>
      <w:suff w:val="nothing"/>
      <w:lvlText w:val="%2、"/>
      <w:lvlJc w:val="left"/>
      <w:pPr>
        <w:ind w:left="0" w:firstLine="402"/>
      </w:pPr>
      <w:rPr>
        <w:rFonts w:hint="eastAsia" w:ascii="宋体" w:hAnsi="宋体" w:eastAsia="宋体" w:cs="宋体"/>
      </w:rPr>
    </w:lvl>
    <w:lvl w:ilvl="2" w:tentative="0">
      <w:start w:val="1"/>
      <w:numFmt w:val="decimal"/>
      <w:suff w:val="nothing"/>
      <w:lvlText w:val="%3．"/>
      <w:lvlJc w:val="left"/>
      <w:pPr>
        <w:ind w:left="0" w:firstLine="402"/>
      </w:pPr>
      <w:rPr>
        <w:rFonts w:hint="eastAsia" w:ascii="宋体" w:hAnsi="宋体" w:eastAsia="宋体" w:cs="宋体"/>
      </w:rPr>
    </w:lvl>
    <w:lvl w:ilvl="3" w:tentative="0">
      <w:start w:val="1"/>
      <w:numFmt w:val="decimal"/>
      <w:suff w:val="nothing"/>
      <w:lvlText w:val="%3.%4"/>
      <w:lvlJc w:val="left"/>
      <w:pPr>
        <w:ind w:left="0" w:firstLine="402"/>
      </w:pPr>
      <w:rPr>
        <w:rFonts w:hint="eastAsia" w:ascii="黑体" w:hAnsi="黑体" w:eastAsia="黑体" w:cs="黑体"/>
        <w:sz w:val="24"/>
        <w:szCs w:val="24"/>
      </w:rPr>
    </w:lvl>
    <w:lvl w:ilvl="4" w:tentative="0">
      <w:start w:val="1"/>
      <w:numFmt w:val="decimal"/>
      <w:suff w:val="nothing"/>
      <w:lvlText w:val="%3.%4.%5 "/>
      <w:lvlJc w:val="left"/>
      <w:pPr>
        <w:ind w:left="0" w:firstLine="402"/>
      </w:pPr>
      <w:rPr>
        <w:rFonts w:hint="eastAsia" w:ascii="宋体" w:hAnsi="宋体" w:eastAsia="宋体" w:cs="宋体"/>
      </w:rPr>
    </w:lvl>
    <w:lvl w:ilvl="5" w:tentative="0">
      <w:start w:val="1"/>
      <w:numFmt w:val="decimal"/>
      <w:suff w:val="nothing"/>
      <w:lvlText w:val="%3.%4.%5.%6"/>
      <w:lvlJc w:val="left"/>
      <w:pPr>
        <w:ind w:left="0" w:firstLine="402"/>
      </w:pPr>
      <w:rPr>
        <w:rFonts w:hint="eastAsia" w:ascii="宋体" w:hAnsi="宋体" w:eastAsia="宋体" w:cs="宋体"/>
      </w:rPr>
    </w:lvl>
    <w:lvl w:ilvl="6" w:tentative="0">
      <w:start w:val="1"/>
      <w:numFmt w:val="decimal"/>
      <w:suff w:val="nothing"/>
      <w:lvlText w:val="%3.%4.%5.%6.%7"/>
      <w:lvlJc w:val="left"/>
      <w:pPr>
        <w:ind w:left="0" w:firstLine="402"/>
      </w:pPr>
      <w:rPr>
        <w:rFonts w:hint="eastAsia" w:ascii="宋体" w:hAnsi="宋体" w:eastAsia="宋体" w:cs="宋体"/>
      </w:rPr>
    </w:lvl>
    <w:lvl w:ilvl="7" w:tentative="0">
      <w:start w:val="1"/>
      <w:numFmt w:val="decimal"/>
      <w:suff w:val="nothing"/>
      <w:lvlText w:val="%3.%4.%5.%6.%7.%8"/>
      <w:lvlJc w:val="left"/>
      <w:pPr>
        <w:ind w:left="0" w:firstLine="402"/>
      </w:pPr>
      <w:rPr>
        <w:rFonts w:hint="eastAsia" w:ascii="宋体" w:hAnsi="宋体" w:eastAsia="宋体" w:cs="宋体"/>
      </w:rPr>
    </w:lvl>
    <w:lvl w:ilvl="8" w:tentative="0">
      <w:start w:val="1"/>
      <w:numFmt w:val="decimal"/>
      <w:pStyle w:val="9"/>
      <w:suff w:val="nothing"/>
      <w:lvlText w:val="%3.%4.%5.%6.%7.%8.%9"/>
      <w:lvlJc w:val="left"/>
      <w:pPr>
        <w:ind w:left="0" w:firstLine="402"/>
      </w:pPr>
      <w:rPr>
        <w:rFonts w:hint="eastAsia" w:ascii="宋体" w:hAnsi="宋体" w:eastAsia="宋体" w:cs="宋体"/>
      </w:rPr>
    </w:lvl>
  </w:abstractNum>
  <w:abstractNum w:abstractNumId="4">
    <w:nsid w:val="0000000A"/>
    <w:multiLevelType w:val="singleLevel"/>
    <w:tmpl w:val="0000000A"/>
    <w:lvl w:ilvl="0" w:tentative="0">
      <w:start w:val="1"/>
      <w:numFmt w:val="decimal"/>
      <w:suff w:val="nothing"/>
      <w:lvlText w:val="%1"/>
      <w:lvlJc w:val="center"/>
      <w:pPr>
        <w:ind w:left="0" w:firstLine="0"/>
      </w:pPr>
      <w:rPr>
        <w:rFonts w:hint="default"/>
      </w:rPr>
    </w:lvl>
  </w:abstractNum>
  <w:abstractNum w:abstractNumId="5">
    <w:nsid w:val="0000000E"/>
    <w:multiLevelType w:val="singleLevel"/>
    <w:tmpl w:val="0000000E"/>
    <w:lvl w:ilvl="0" w:tentative="0">
      <w:start w:val="1"/>
      <w:numFmt w:val="decimal"/>
      <w:suff w:val="nothing"/>
      <w:lvlText w:val="%1．"/>
      <w:lvlJc w:val="left"/>
      <w:pPr>
        <w:ind w:left="0" w:firstLine="400"/>
      </w:pPr>
      <w:rPr>
        <w:rFonts w:hint="default"/>
      </w:rPr>
    </w:lvl>
  </w:abstractNum>
  <w:abstractNum w:abstractNumId="6">
    <w:nsid w:val="00000014"/>
    <w:multiLevelType w:val="singleLevel"/>
    <w:tmpl w:val="00000014"/>
    <w:lvl w:ilvl="0" w:tentative="0">
      <w:start w:val="1"/>
      <w:numFmt w:val="decimal"/>
      <w:suff w:val="nothing"/>
      <w:lvlText w:val="%1"/>
      <w:lvlJc w:val="center"/>
      <w:pPr>
        <w:ind w:left="0" w:firstLine="0"/>
      </w:pPr>
      <w:rPr>
        <w:rFonts w:hint="default"/>
      </w:rPr>
    </w:lvl>
  </w:abstractNum>
  <w:abstractNum w:abstractNumId="7">
    <w:nsid w:val="00000019"/>
    <w:multiLevelType w:val="singleLevel"/>
    <w:tmpl w:val="00000019"/>
    <w:lvl w:ilvl="0" w:tentative="0">
      <w:start w:val="1"/>
      <w:numFmt w:val="decimal"/>
      <w:suff w:val="nothing"/>
      <w:lvlText w:val="（%1）"/>
      <w:lvlJc w:val="left"/>
      <w:pPr>
        <w:ind w:left="0" w:firstLine="403"/>
      </w:pPr>
      <w:rPr>
        <w:rFonts w:hint="default"/>
      </w:rPr>
    </w:lvl>
  </w:abstractNum>
  <w:abstractNum w:abstractNumId="8">
    <w:nsid w:val="0000001B"/>
    <w:multiLevelType w:val="singleLevel"/>
    <w:tmpl w:val="0000001B"/>
    <w:lvl w:ilvl="0" w:tentative="0">
      <w:start w:val="1"/>
      <w:numFmt w:val="decimal"/>
      <w:pStyle w:val="71"/>
      <w:suff w:val="nothing"/>
      <w:lvlText w:val="%1"/>
      <w:lvlJc w:val="center"/>
      <w:pPr>
        <w:tabs>
          <w:tab w:val="left" w:pos="0"/>
        </w:tabs>
        <w:ind w:left="0" w:firstLine="0"/>
      </w:pPr>
      <w:rPr>
        <w:rFonts w:hint="default"/>
      </w:rPr>
    </w:lvl>
  </w:abstractNum>
  <w:abstractNum w:abstractNumId="9">
    <w:nsid w:val="00000020"/>
    <w:multiLevelType w:val="multilevel"/>
    <w:tmpl w:val="00000020"/>
    <w:lvl w:ilvl="0" w:tentative="0">
      <w:start w:val="1"/>
      <w:numFmt w:val="chineseCounting"/>
      <w:suff w:val="nothing"/>
      <w:lvlText w:val="第%1章 "/>
      <w:lvlJc w:val="left"/>
      <w:pPr>
        <w:tabs>
          <w:tab w:val="left" w:pos="0"/>
        </w:tabs>
        <w:ind w:left="0" w:firstLine="402"/>
      </w:pPr>
      <w:rPr>
        <w:rFonts w:hint="eastAsia" w:ascii="微软雅黑" w:hAnsi="微软雅黑" w:eastAsia="微软雅黑" w:cs="微软雅黑"/>
        <w:sz w:val="36"/>
        <w:szCs w:val="36"/>
      </w:rPr>
    </w:lvl>
    <w:lvl w:ilvl="1" w:tentative="0">
      <w:start w:val="1"/>
      <w:numFmt w:val="chineseCounting"/>
      <w:suff w:val="nothing"/>
      <w:lvlText w:val="%2、"/>
      <w:lvlJc w:val="left"/>
      <w:pPr>
        <w:ind w:left="0" w:firstLine="402"/>
      </w:pPr>
      <w:rPr>
        <w:rFonts w:hint="eastAsia" w:ascii="黑体" w:hAnsi="黑体" w:eastAsia="黑体" w:cs="黑体"/>
      </w:rPr>
    </w:lvl>
    <w:lvl w:ilvl="2" w:tentative="0">
      <w:start w:val="1"/>
      <w:numFmt w:val="decimal"/>
      <w:suff w:val="nothing"/>
      <w:lvlText w:val="%3．"/>
      <w:lvlJc w:val="left"/>
      <w:pPr>
        <w:ind w:left="0" w:firstLine="402"/>
      </w:pPr>
      <w:rPr>
        <w:rFonts w:hint="eastAsia" w:ascii="宋体" w:hAnsi="宋体" w:eastAsia="宋体" w:cs="宋体"/>
      </w:rPr>
    </w:lvl>
    <w:lvl w:ilvl="3" w:tentative="0">
      <w:start w:val="1"/>
      <w:numFmt w:val="decimal"/>
      <w:suff w:val="nothing"/>
      <w:lvlText w:val="%3.%4"/>
      <w:lvlJc w:val="left"/>
      <w:pPr>
        <w:ind w:left="0" w:firstLine="402"/>
      </w:pPr>
      <w:rPr>
        <w:rFonts w:hint="eastAsia" w:ascii="黑体" w:hAnsi="黑体" w:eastAsia="黑体" w:cs="黑体"/>
        <w:sz w:val="24"/>
        <w:szCs w:val="24"/>
      </w:rPr>
    </w:lvl>
    <w:lvl w:ilvl="4" w:tentative="0">
      <w:start w:val="1"/>
      <w:numFmt w:val="decimal"/>
      <w:pStyle w:val="6"/>
      <w:suff w:val="nothing"/>
      <w:lvlText w:val="%3.%4.%5 "/>
      <w:lvlJc w:val="left"/>
      <w:pPr>
        <w:ind w:left="0" w:firstLine="402"/>
      </w:pPr>
      <w:rPr>
        <w:rFonts w:hint="eastAsia" w:ascii="宋体" w:hAnsi="宋体" w:eastAsia="宋体" w:cs="宋体"/>
      </w:rPr>
    </w:lvl>
    <w:lvl w:ilvl="5" w:tentative="0">
      <w:start w:val="1"/>
      <w:numFmt w:val="decimal"/>
      <w:suff w:val="nothing"/>
      <w:lvlText w:val="%3.%4.%5.%6"/>
      <w:lvlJc w:val="left"/>
      <w:pPr>
        <w:ind w:left="0" w:firstLine="402"/>
      </w:pPr>
      <w:rPr>
        <w:rFonts w:hint="eastAsia" w:ascii="宋体" w:hAnsi="宋体" w:eastAsia="宋体" w:cs="宋体"/>
      </w:rPr>
    </w:lvl>
    <w:lvl w:ilvl="6" w:tentative="0">
      <w:start w:val="1"/>
      <w:numFmt w:val="decimal"/>
      <w:suff w:val="nothing"/>
      <w:lvlText w:val="%3.%4.%5.%6.%7"/>
      <w:lvlJc w:val="left"/>
      <w:pPr>
        <w:ind w:left="0" w:firstLine="402"/>
      </w:pPr>
      <w:rPr>
        <w:rFonts w:hint="eastAsia" w:ascii="宋体" w:hAnsi="宋体" w:eastAsia="宋体" w:cs="宋体"/>
      </w:rPr>
    </w:lvl>
    <w:lvl w:ilvl="7" w:tentative="0">
      <w:start w:val="1"/>
      <w:numFmt w:val="decimal"/>
      <w:suff w:val="nothing"/>
      <w:lvlText w:val="%3.%4.%5.%6.%7.%8"/>
      <w:lvlJc w:val="left"/>
      <w:pPr>
        <w:ind w:left="0" w:firstLine="402"/>
      </w:pPr>
      <w:rPr>
        <w:rFonts w:hint="eastAsia" w:ascii="宋体" w:hAnsi="宋体" w:eastAsia="宋体" w:cs="宋体"/>
      </w:rPr>
    </w:lvl>
    <w:lvl w:ilvl="8" w:tentative="0">
      <w:start w:val="1"/>
      <w:numFmt w:val="decimal"/>
      <w:suff w:val="nothing"/>
      <w:lvlText w:val="%3.%4.%5.%6.%7.%8.%9"/>
      <w:lvlJc w:val="left"/>
      <w:pPr>
        <w:ind w:left="0" w:firstLine="402"/>
      </w:pPr>
      <w:rPr>
        <w:rFonts w:hint="eastAsia" w:ascii="宋体" w:hAnsi="宋体" w:eastAsia="宋体" w:cs="宋体"/>
      </w:rPr>
    </w:lvl>
  </w:abstractNum>
  <w:abstractNum w:abstractNumId="10">
    <w:nsid w:val="00000036"/>
    <w:multiLevelType w:val="singleLevel"/>
    <w:tmpl w:val="00000036"/>
    <w:lvl w:ilvl="0" w:tentative="0">
      <w:start w:val="1"/>
      <w:numFmt w:val="decimal"/>
      <w:suff w:val="nothing"/>
      <w:lvlText w:val="%1．"/>
      <w:lvlJc w:val="left"/>
      <w:pPr>
        <w:ind w:left="0" w:firstLine="400"/>
      </w:pPr>
      <w:rPr>
        <w:rFonts w:hint="default"/>
      </w:rPr>
    </w:lvl>
  </w:abstractNum>
  <w:abstractNum w:abstractNumId="11">
    <w:nsid w:val="0000003C"/>
    <w:multiLevelType w:val="multilevel"/>
    <w:tmpl w:val="0000003C"/>
    <w:lvl w:ilvl="0" w:tentative="0">
      <w:start w:val="1"/>
      <w:numFmt w:val="chineseCounting"/>
      <w:suff w:val="nothing"/>
      <w:lvlText w:val="第%1章 "/>
      <w:lvlJc w:val="left"/>
      <w:pPr>
        <w:tabs>
          <w:tab w:val="left" w:pos="0"/>
        </w:tabs>
        <w:ind w:left="0" w:firstLine="402"/>
      </w:pPr>
      <w:rPr>
        <w:rFonts w:hint="eastAsia" w:ascii="微软雅黑" w:hAnsi="微软雅黑" w:eastAsia="微软雅黑" w:cs="微软雅黑"/>
        <w:sz w:val="36"/>
        <w:szCs w:val="36"/>
      </w:rPr>
    </w:lvl>
    <w:lvl w:ilvl="1" w:tentative="0">
      <w:start w:val="1"/>
      <w:numFmt w:val="chineseCounting"/>
      <w:suff w:val="nothing"/>
      <w:lvlText w:val="%2、"/>
      <w:lvlJc w:val="left"/>
      <w:pPr>
        <w:ind w:left="0" w:firstLine="402"/>
      </w:pPr>
      <w:rPr>
        <w:rFonts w:hint="eastAsia" w:ascii="黑体" w:hAnsi="黑体" w:eastAsia="黑体" w:cs="黑体"/>
      </w:rPr>
    </w:lvl>
    <w:lvl w:ilvl="2" w:tentative="0">
      <w:start w:val="1"/>
      <w:numFmt w:val="decimal"/>
      <w:pStyle w:val="4"/>
      <w:suff w:val="nothing"/>
      <w:lvlText w:val="%3．"/>
      <w:lvlJc w:val="left"/>
      <w:pPr>
        <w:ind w:left="0" w:firstLine="402"/>
      </w:pPr>
      <w:rPr>
        <w:rFonts w:hint="eastAsia" w:ascii="宋体" w:hAnsi="宋体" w:eastAsia="宋体" w:cs="宋体"/>
      </w:rPr>
    </w:lvl>
    <w:lvl w:ilvl="3" w:tentative="0">
      <w:start w:val="1"/>
      <w:numFmt w:val="decimal"/>
      <w:suff w:val="nothing"/>
      <w:lvlText w:val="%3.%4"/>
      <w:lvlJc w:val="left"/>
      <w:pPr>
        <w:ind w:left="0" w:firstLine="402"/>
      </w:pPr>
      <w:rPr>
        <w:rFonts w:hint="eastAsia" w:ascii="黑体" w:hAnsi="黑体" w:eastAsia="黑体" w:cs="黑体"/>
        <w:sz w:val="24"/>
        <w:szCs w:val="24"/>
      </w:rPr>
    </w:lvl>
    <w:lvl w:ilvl="4" w:tentative="0">
      <w:start w:val="1"/>
      <w:numFmt w:val="decimal"/>
      <w:suff w:val="nothing"/>
      <w:lvlText w:val="%3.%4.%5 "/>
      <w:lvlJc w:val="left"/>
      <w:pPr>
        <w:tabs>
          <w:tab w:val="left" w:pos="0"/>
        </w:tabs>
        <w:ind w:left="0" w:firstLine="402"/>
      </w:pPr>
      <w:rPr>
        <w:rFonts w:hint="eastAsia" w:ascii="宋体" w:hAnsi="宋体" w:eastAsia="宋体" w:cs="宋体"/>
      </w:rPr>
    </w:lvl>
    <w:lvl w:ilvl="5" w:tentative="0">
      <w:start w:val="1"/>
      <w:numFmt w:val="decimal"/>
      <w:suff w:val="nothing"/>
      <w:lvlText w:val="%3.%4.%5.%6"/>
      <w:lvlJc w:val="left"/>
      <w:pPr>
        <w:ind w:left="0" w:firstLine="402"/>
      </w:pPr>
      <w:rPr>
        <w:rFonts w:hint="eastAsia" w:ascii="宋体" w:hAnsi="宋体" w:eastAsia="宋体" w:cs="宋体"/>
      </w:rPr>
    </w:lvl>
    <w:lvl w:ilvl="6" w:tentative="0">
      <w:start w:val="1"/>
      <w:numFmt w:val="decimal"/>
      <w:suff w:val="nothing"/>
      <w:lvlText w:val="%3.%4.%5.%6.%7"/>
      <w:lvlJc w:val="left"/>
      <w:pPr>
        <w:ind w:left="0" w:firstLine="402"/>
      </w:pPr>
      <w:rPr>
        <w:rFonts w:hint="eastAsia" w:ascii="宋体" w:hAnsi="宋体" w:eastAsia="宋体" w:cs="宋体"/>
      </w:rPr>
    </w:lvl>
    <w:lvl w:ilvl="7" w:tentative="0">
      <w:start w:val="1"/>
      <w:numFmt w:val="decimal"/>
      <w:pStyle w:val="8"/>
      <w:suff w:val="nothing"/>
      <w:lvlText w:val="%3.%4.%5.%6.%7.%8"/>
      <w:lvlJc w:val="left"/>
      <w:pPr>
        <w:ind w:left="0" w:firstLine="402"/>
      </w:pPr>
      <w:rPr>
        <w:rFonts w:hint="eastAsia" w:ascii="宋体" w:hAnsi="宋体" w:eastAsia="宋体" w:cs="宋体"/>
      </w:rPr>
    </w:lvl>
    <w:lvl w:ilvl="8" w:tentative="0">
      <w:start w:val="1"/>
      <w:numFmt w:val="decimal"/>
      <w:suff w:val="nothing"/>
      <w:lvlText w:val="%3.%4.%5.%6.%7.%8.%9"/>
      <w:lvlJc w:val="left"/>
      <w:pPr>
        <w:ind w:left="0" w:firstLine="402"/>
      </w:pPr>
      <w:rPr>
        <w:rFonts w:hint="eastAsia" w:ascii="宋体" w:hAnsi="宋体" w:eastAsia="宋体" w:cs="宋体"/>
      </w:rPr>
    </w:lvl>
  </w:abstractNum>
  <w:abstractNum w:abstractNumId="12">
    <w:nsid w:val="0000003F"/>
    <w:multiLevelType w:val="singleLevel"/>
    <w:tmpl w:val="0000003F"/>
    <w:lvl w:ilvl="0" w:tentative="0">
      <w:start w:val="1"/>
      <w:numFmt w:val="decimal"/>
      <w:suff w:val="nothing"/>
      <w:lvlText w:val="%1"/>
      <w:lvlJc w:val="center"/>
      <w:pPr>
        <w:ind w:left="0" w:firstLine="0"/>
      </w:pPr>
      <w:rPr>
        <w:rFonts w:hint="default"/>
      </w:rPr>
    </w:lvl>
  </w:abstractNum>
  <w:abstractNum w:abstractNumId="13">
    <w:nsid w:val="0D8AABEB"/>
    <w:multiLevelType w:val="singleLevel"/>
    <w:tmpl w:val="0D8AABEB"/>
    <w:lvl w:ilvl="0" w:tentative="0">
      <w:start w:val="1"/>
      <w:numFmt w:val="decimal"/>
      <w:suff w:val="nothing"/>
      <w:lvlText w:val="%1"/>
      <w:lvlJc w:val="center"/>
      <w:pPr>
        <w:ind w:left="0" w:firstLine="0"/>
      </w:pPr>
      <w:rPr>
        <w:rFonts w:hint="default"/>
      </w:rPr>
    </w:lvl>
  </w:abstractNum>
  <w:abstractNum w:abstractNumId="14">
    <w:nsid w:val="580A501D"/>
    <w:multiLevelType w:val="multilevel"/>
    <w:tmpl w:val="580A501D"/>
    <w:lvl w:ilvl="0" w:tentative="0">
      <w:start w:val="1"/>
      <w:numFmt w:val="decimal"/>
      <w:lvlText w:val="%1"/>
      <w:lvlJc w:val="center"/>
      <w:pPr>
        <w:ind w:left="420" w:hanging="420"/>
      </w:pPr>
      <w:rPr>
        <w:rFonts w:hint="eastAsia" w:ascii="宋体" w:hAnsi="宋体" w:eastAsia="宋体"/>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62C42735"/>
    <w:multiLevelType w:val="singleLevel"/>
    <w:tmpl w:val="62C42735"/>
    <w:lvl w:ilvl="0" w:tentative="0">
      <w:start w:val="1"/>
      <w:numFmt w:val="decimal"/>
      <w:lvlText w:val="(%1)"/>
      <w:lvlJc w:val="left"/>
      <w:pPr>
        <w:ind w:left="425" w:hanging="425"/>
      </w:pPr>
      <w:rPr>
        <w:rFonts w:hint="default"/>
      </w:rPr>
    </w:lvl>
  </w:abstractNum>
  <w:abstractNum w:abstractNumId="16">
    <w:nsid w:val="74FD7EA5"/>
    <w:multiLevelType w:val="singleLevel"/>
    <w:tmpl w:val="74FD7EA5"/>
    <w:lvl w:ilvl="0" w:tentative="0">
      <w:start w:val="1"/>
      <w:numFmt w:val="decimal"/>
      <w:lvlText w:val="(%1)"/>
      <w:lvlJc w:val="left"/>
      <w:pPr>
        <w:tabs>
          <w:tab w:val="left" w:pos="312"/>
        </w:tabs>
      </w:pPr>
    </w:lvl>
  </w:abstractNum>
  <w:num w:numId="1">
    <w:abstractNumId w:val="11"/>
  </w:num>
  <w:num w:numId="2">
    <w:abstractNumId w:val="9"/>
  </w:num>
  <w:num w:numId="3">
    <w:abstractNumId w:val="3"/>
  </w:num>
  <w:num w:numId="4">
    <w:abstractNumId w:val="8"/>
  </w:num>
  <w:num w:numId="5">
    <w:abstractNumId w:val="1"/>
  </w:num>
  <w:num w:numId="6">
    <w:abstractNumId w:val="15"/>
  </w:num>
  <w:num w:numId="7">
    <w:abstractNumId w:val="7"/>
  </w:num>
  <w:num w:numId="8">
    <w:abstractNumId w:val="2"/>
  </w:num>
  <w:num w:numId="9">
    <w:abstractNumId w:val="5"/>
  </w:num>
  <w:num w:numId="10">
    <w:abstractNumId w:val="10"/>
  </w:num>
  <w:num w:numId="11">
    <w:abstractNumId w:val="13"/>
  </w:num>
  <w:num w:numId="12">
    <w:abstractNumId w:val="0"/>
  </w:num>
  <w:num w:numId="13">
    <w:abstractNumId w:val="14"/>
  </w:num>
  <w:num w:numId="14">
    <w:abstractNumId w:val="12"/>
  </w:num>
  <w:num w:numId="15">
    <w:abstractNumId w:val="6"/>
  </w:num>
  <w:num w:numId="16">
    <w:abstractNumId w:val="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NjBhYzI0NjVlY2FkYzkyODA0ODYwODkzZTA5OTgifQ=="/>
  </w:docVars>
  <w:rsids>
    <w:rsidRoot w:val="00172A27"/>
    <w:rsid w:val="00151B76"/>
    <w:rsid w:val="001941FE"/>
    <w:rsid w:val="002832CF"/>
    <w:rsid w:val="00557FBF"/>
    <w:rsid w:val="005C51D8"/>
    <w:rsid w:val="00647CAE"/>
    <w:rsid w:val="0081194E"/>
    <w:rsid w:val="008922ED"/>
    <w:rsid w:val="00A31899"/>
    <w:rsid w:val="00AC2394"/>
    <w:rsid w:val="00BB31B1"/>
    <w:rsid w:val="00BD403B"/>
    <w:rsid w:val="00CB22D5"/>
    <w:rsid w:val="00DE4B0C"/>
    <w:rsid w:val="00F3115D"/>
    <w:rsid w:val="00F50089"/>
    <w:rsid w:val="01293E41"/>
    <w:rsid w:val="022E2032"/>
    <w:rsid w:val="026A6B75"/>
    <w:rsid w:val="02D504A8"/>
    <w:rsid w:val="02F56D74"/>
    <w:rsid w:val="03194F31"/>
    <w:rsid w:val="03CD45EE"/>
    <w:rsid w:val="03DF675E"/>
    <w:rsid w:val="048B526D"/>
    <w:rsid w:val="054257FA"/>
    <w:rsid w:val="057F6DC9"/>
    <w:rsid w:val="058F0456"/>
    <w:rsid w:val="05E43D31"/>
    <w:rsid w:val="05EB778A"/>
    <w:rsid w:val="05EF6892"/>
    <w:rsid w:val="06281C39"/>
    <w:rsid w:val="06897EFF"/>
    <w:rsid w:val="06AE3E0A"/>
    <w:rsid w:val="06EC0B8F"/>
    <w:rsid w:val="06F400E9"/>
    <w:rsid w:val="079733E9"/>
    <w:rsid w:val="07CD4F5E"/>
    <w:rsid w:val="08053065"/>
    <w:rsid w:val="0805514C"/>
    <w:rsid w:val="082A3964"/>
    <w:rsid w:val="09263E2D"/>
    <w:rsid w:val="093F51ED"/>
    <w:rsid w:val="0969226A"/>
    <w:rsid w:val="096D1D5A"/>
    <w:rsid w:val="0A271791"/>
    <w:rsid w:val="0AB56E10"/>
    <w:rsid w:val="0B26315C"/>
    <w:rsid w:val="0B7A250D"/>
    <w:rsid w:val="0BA43884"/>
    <w:rsid w:val="0C41302A"/>
    <w:rsid w:val="0C8953F6"/>
    <w:rsid w:val="0C956608"/>
    <w:rsid w:val="0D7F1AD4"/>
    <w:rsid w:val="0DD85997"/>
    <w:rsid w:val="0E3F1933"/>
    <w:rsid w:val="0E516F44"/>
    <w:rsid w:val="0E5344D6"/>
    <w:rsid w:val="0E6B37BA"/>
    <w:rsid w:val="0F07055B"/>
    <w:rsid w:val="0F256C33"/>
    <w:rsid w:val="0F7F6343"/>
    <w:rsid w:val="0FA81026"/>
    <w:rsid w:val="10771491"/>
    <w:rsid w:val="10AB4F16"/>
    <w:rsid w:val="10B55BD2"/>
    <w:rsid w:val="10E441B6"/>
    <w:rsid w:val="11085B2E"/>
    <w:rsid w:val="112A22DF"/>
    <w:rsid w:val="1164374F"/>
    <w:rsid w:val="11B524F0"/>
    <w:rsid w:val="11D3679D"/>
    <w:rsid w:val="120140F9"/>
    <w:rsid w:val="12100B9A"/>
    <w:rsid w:val="122F1D74"/>
    <w:rsid w:val="12D7694F"/>
    <w:rsid w:val="12E50BB3"/>
    <w:rsid w:val="13386F35"/>
    <w:rsid w:val="13494FBC"/>
    <w:rsid w:val="13904FC3"/>
    <w:rsid w:val="1436550F"/>
    <w:rsid w:val="14454A92"/>
    <w:rsid w:val="145358B2"/>
    <w:rsid w:val="14787805"/>
    <w:rsid w:val="14AC3AFD"/>
    <w:rsid w:val="14EF3AE4"/>
    <w:rsid w:val="153764A0"/>
    <w:rsid w:val="15703208"/>
    <w:rsid w:val="15AA30B3"/>
    <w:rsid w:val="15C8768B"/>
    <w:rsid w:val="15D93B67"/>
    <w:rsid w:val="167B3F6F"/>
    <w:rsid w:val="168E5998"/>
    <w:rsid w:val="16B5089D"/>
    <w:rsid w:val="16BA6C9F"/>
    <w:rsid w:val="16DF15EB"/>
    <w:rsid w:val="16E11692"/>
    <w:rsid w:val="16E15B36"/>
    <w:rsid w:val="172A5323"/>
    <w:rsid w:val="17401A29"/>
    <w:rsid w:val="174A73CA"/>
    <w:rsid w:val="176F4EEF"/>
    <w:rsid w:val="177111B1"/>
    <w:rsid w:val="179C05AF"/>
    <w:rsid w:val="17BE19D3"/>
    <w:rsid w:val="18247C8E"/>
    <w:rsid w:val="18556AC8"/>
    <w:rsid w:val="187F5606"/>
    <w:rsid w:val="18F254A3"/>
    <w:rsid w:val="194E3880"/>
    <w:rsid w:val="1971087C"/>
    <w:rsid w:val="19A55AB5"/>
    <w:rsid w:val="19DE635C"/>
    <w:rsid w:val="1A341A7A"/>
    <w:rsid w:val="1A3F0A8E"/>
    <w:rsid w:val="1A4F0A8E"/>
    <w:rsid w:val="1A9D6217"/>
    <w:rsid w:val="1ABC20EB"/>
    <w:rsid w:val="1AC83294"/>
    <w:rsid w:val="1AEF6A73"/>
    <w:rsid w:val="1AF220BF"/>
    <w:rsid w:val="1B2852E2"/>
    <w:rsid w:val="1BD31307"/>
    <w:rsid w:val="1C0D4CD7"/>
    <w:rsid w:val="1C4701E9"/>
    <w:rsid w:val="1C6559B2"/>
    <w:rsid w:val="1C7E0113"/>
    <w:rsid w:val="1CD30259"/>
    <w:rsid w:val="1D5337BB"/>
    <w:rsid w:val="1D5D053C"/>
    <w:rsid w:val="1D886D0B"/>
    <w:rsid w:val="1D947D9F"/>
    <w:rsid w:val="1DCC3DA9"/>
    <w:rsid w:val="1E024F05"/>
    <w:rsid w:val="1F42113B"/>
    <w:rsid w:val="1F6410B2"/>
    <w:rsid w:val="1FDB5F08"/>
    <w:rsid w:val="1FFE30D2"/>
    <w:rsid w:val="2028696C"/>
    <w:rsid w:val="206E7A43"/>
    <w:rsid w:val="209255E7"/>
    <w:rsid w:val="20FC0F22"/>
    <w:rsid w:val="210B598D"/>
    <w:rsid w:val="216B6A7B"/>
    <w:rsid w:val="21713385"/>
    <w:rsid w:val="21CB4F37"/>
    <w:rsid w:val="221D369C"/>
    <w:rsid w:val="2240066A"/>
    <w:rsid w:val="228E4DC3"/>
    <w:rsid w:val="22BD40F6"/>
    <w:rsid w:val="23056708"/>
    <w:rsid w:val="230C5637"/>
    <w:rsid w:val="233C25F2"/>
    <w:rsid w:val="237E26B4"/>
    <w:rsid w:val="23E63A1E"/>
    <w:rsid w:val="2425434D"/>
    <w:rsid w:val="245636BF"/>
    <w:rsid w:val="24CA5E5B"/>
    <w:rsid w:val="24FB1A63"/>
    <w:rsid w:val="25034EC9"/>
    <w:rsid w:val="251A3D20"/>
    <w:rsid w:val="253616DD"/>
    <w:rsid w:val="259328E9"/>
    <w:rsid w:val="26527EB6"/>
    <w:rsid w:val="26D703BB"/>
    <w:rsid w:val="27392E24"/>
    <w:rsid w:val="274A39A3"/>
    <w:rsid w:val="277F2F2D"/>
    <w:rsid w:val="278643CD"/>
    <w:rsid w:val="27A02EA3"/>
    <w:rsid w:val="27CA1DF8"/>
    <w:rsid w:val="27CE5C62"/>
    <w:rsid w:val="28440C70"/>
    <w:rsid w:val="28724840"/>
    <w:rsid w:val="28D434F1"/>
    <w:rsid w:val="292D0766"/>
    <w:rsid w:val="295F57ED"/>
    <w:rsid w:val="2A005E7B"/>
    <w:rsid w:val="2A111C6E"/>
    <w:rsid w:val="2B6C7A10"/>
    <w:rsid w:val="2B801021"/>
    <w:rsid w:val="2B852653"/>
    <w:rsid w:val="2BA2543C"/>
    <w:rsid w:val="2BBB1936"/>
    <w:rsid w:val="2BD355F5"/>
    <w:rsid w:val="2BDD3BF2"/>
    <w:rsid w:val="2BE84491"/>
    <w:rsid w:val="2C110B9D"/>
    <w:rsid w:val="2D053ED4"/>
    <w:rsid w:val="2D890DC1"/>
    <w:rsid w:val="2DF61FC5"/>
    <w:rsid w:val="2E180404"/>
    <w:rsid w:val="2E75463C"/>
    <w:rsid w:val="2EBF6305"/>
    <w:rsid w:val="2ED43FD4"/>
    <w:rsid w:val="2EEA688C"/>
    <w:rsid w:val="2EF9738F"/>
    <w:rsid w:val="2FAF15D1"/>
    <w:rsid w:val="301C1FAD"/>
    <w:rsid w:val="30987F2A"/>
    <w:rsid w:val="31CF685F"/>
    <w:rsid w:val="321015F3"/>
    <w:rsid w:val="32367471"/>
    <w:rsid w:val="32A45FA2"/>
    <w:rsid w:val="32C71C2C"/>
    <w:rsid w:val="32E33E8A"/>
    <w:rsid w:val="334B48AF"/>
    <w:rsid w:val="3377403C"/>
    <w:rsid w:val="3381002D"/>
    <w:rsid w:val="33A12EF5"/>
    <w:rsid w:val="33CC79AA"/>
    <w:rsid w:val="33ED182B"/>
    <w:rsid w:val="33FC1AC6"/>
    <w:rsid w:val="340A429E"/>
    <w:rsid w:val="3411315F"/>
    <w:rsid w:val="3412408C"/>
    <w:rsid w:val="3421024E"/>
    <w:rsid w:val="346239BA"/>
    <w:rsid w:val="348A2EBA"/>
    <w:rsid w:val="34906F78"/>
    <w:rsid w:val="354D588F"/>
    <w:rsid w:val="356D6999"/>
    <w:rsid w:val="35753BC1"/>
    <w:rsid w:val="35C50501"/>
    <w:rsid w:val="35FB2318"/>
    <w:rsid w:val="361D69CE"/>
    <w:rsid w:val="36721EAF"/>
    <w:rsid w:val="36772336"/>
    <w:rsid w:val="36B40B60"/>
    <w:rsid w:val="36DF0D3C"/>
    <w:rsid w:val="36F6488E"/>
    <w:rsid w:val="3718340E"/>
    <w:rsid w:val="374101FF"/>
    <w:rsid w:val="37AB41E8"/>
    <w:rsid w:val="37B00EE0"/>
    <w:rsid w:val="37E02B35"/>
    <w:rsid w:val="384D4981"/>
    <w:rsid w:val="38736649"/>
    <w:rsid w:val="387B329C"/>
    <w:rsid w:val="38FF40CB"/>
    <w:rsid w:val="393F39C5"/>
    <w:rsid w:val="39525A78"/>
    <w:rsid w:val="39784106"/>
    <w:rsid w:val="398E4F50"/>
    <w:rsid w:val="3A0E578B"/>
    <w:rsid w:val="3A98067A"/>
    <w:rsid w:val="3B023A74"/>
    <w:rsid w:val="3B563B4D"/>
    <w:rsid w:val="3B7A6996"/>
    <w:rsid w:val="3B8C3A12"/>
    <w:rsid w:val="3B8C5339"/>
    <w:rsid w:val="3BCC439F"/>
    <w:rsid w:val="3C0A39D8"/>
    <w:rsid w:val="3C1C4D96"/>
    <w:rsid w:val="3C3025F0"/>
    <w:rsid w:val="3C597D99"/>
    <w:rsid w:val="3CFC07CD"/>
    <w:rsid w:val="3D073351"/>
    <w:rsid w:val="3DA41A54"/>
    <w:rsid w:val="3DB6523D"/>
    <w:rsid w:val="3DBD76C3"/>
    <w:rsid w:val="3DC079A3"/>
    <w:rsid w:val="3E18158D"/>
    <w:rsid w:val="3E266388"/>
    <w:rsid w:val="3E2754C7"/>
    <w:rsid w:val="3E4156FE"/>
    <w:rsid w:val="3E500E6F"/>
    <w:rsid w:val="3E5315DD"/>
    <w:rsid w:val="3E6D1292"/>
    <w:rsid w:val="3EC64699"/>
    <w:rsid w:val="3F165ACD"/>
    <w:rsid w:val="3F7E47C0"/>
    <w:rsid w:val="3F9EE5CC"/>
    <w:rsid w:val="3FD97261"/>
    <w:rsid w:val="3FFA750E"/>
    <w:rsid w:val="40076B49"/>
    <w:rsid w:val="40406CE3"/>
    <w:rsid w:val="404C38A4"/>
    <w:rsid w:val="4060184E"/>
    <w:rsid w:val="40CA3013"/>
    <w:rsid w:val="419B52DA"/>
    <w:rsid w:val="42224789"/>
    <w:rsid w:val="423229B8"/>
    <w:rsid w:val="423746D8"/>
    <w:rsid w:val="42586BFE"/>
    <w:rsid w:val="4287784D"/>
    <w:rsid w:val="42F36125"/>
    <w:rsid w:val="43081BD1"/>
    <w:rsid w:val="430A6FB1"/>
    <w:rsid w:val="431762B8"/>
    <w:rsid w:val="436D0043"/>
    <w:rsid w:val="44043EE8"/>
    <w:rsid w:val="4411288A"/>
    <w:rsid w:val="45717F85"/>
    <w:rsid w:val="458D5615"/>
    <w:rsid w:val="4617213E"/>
    <w:rsid w:val="475C33AB"/>
    <w:rsid w:val="476819AB"/>
    <w:rsid w:val="47752510"/>
    <w:rsid w:val="47D82229"/>
    <w:rsid w:val="47DA2175"/>
    <w:rsid w:val="47EC7A9B"/>
    <w:rsid w:val="47FA5757"/>
    <w:rsid w:val="48154613"/>
    <w:rsid w:val="4834088E"/>
    <w:rsid w:val="488E4926"/>
    <w:rsid w:val="48EC2AF2"/>
    <w:rsid w:val="49060960"/>
    <w:rsid w:val="4981448B"/>
    <w:rsid w:val="49861C6B"/>
    <w:rsid w:val="49F4055F"/>
    <w:rsid w:val="49F44C5D"/>
    <w:rsid w:val="4A8412D2"/>
    <w:rsid w:val="4AAA6129"/>
    <w:rsid w:val="4AE243DC"/>
    <w:rsid w:val="4B007631"/>
    <w:rsid w:val="4B14389F"/>
    <w:rsid w:val="4B172DAA"/>
    <w:rsid w:val="4B321A64"/>
    <w:rsid w:val="4B5C4859"/>
    <w:rsid w:val="4B7E0C3D"/>
    <w:rsid w:val="4C171BF2"/>
    <w:rsid w:val="4C366D3F"/>
    <w:rsid w:val="4C4F261E"/>
    <w:rsid w:val="4CCB417C"/>
    <w:rsid w:val="4DA26AFF"/>
    <w:rsid w:val="4DAF6810"/>
    <w:rsid w:val="4DF848C3"/>
    <w:rsid w:val="4E375A60"/>
    <w:rsid w:val="4E626DBB"/>
    <w:rsid w:val="4E754C02"/>
    <w:rsid w:val="4E8E1E17"/>
    <w:rsid w:val="4ECE73F3"/>
    <w:rsid w:val="4ED424A7"/>
    <w:rsid w:val="4EE02CBF"/>
    <w:rsid w:val="4F043B94"/>
    <w:rsid w:val="4F44293C"/>
    <w:rsid w:val="50BA6931"/>
    <w:rsid w:val="50D61560"/>
    <w:rsid w:val="51334D93"/>
    <w:rsid w:val="513E2C61"/>
    <w:rsid w:val="51976F41"/>
    <w:rsid w:val="51AE7DE7"/>
    <w:rsid w:val="520D7A81"/>
    <w:rsid w:val="522400A9"/>
    <w:rsid w:val="52291E46"/>
    <w:rsid w:val="52413FC7"/>
    <w:rsid w:val="52D13942"/>
    <w:rsid w:val="52ED2A79"/>
    <w:rsid w:val="53617C4A"/>
    <w:rsid w:val="53B6725E"/>
    <w:rsid w:val="53D00839"/>
    <w:rsid w:val="546334E6"/>
    <w:rsid w:val="54C33BA9"/>
    <w:rsid w:val="54ED14CE"/>
    <w:rsid w:val="54EE07AE"/>
    <w:rsid w:val="552F379A"/>
    <w:rsid w:val="553D0AA5"/>
    <w:rsid w:val="55577701"/>
    <w:rsid w:val="55E77D6B"/>
    <w:rsid w:val="56051FA0"/>
    <w:rsid w:val="566110D2"/>
    <w:rsid w:val="56857D03"/>
    <w:rsid w:val="56E42240"/>
    <w:rsid w:val="56F664B8"/>
    <w:rsid w:val="573639DC"/>
    <w:rsid w:val="57AEBB76"/>
    <w:rsid w:val="57BFCEE1"/>
    <w:rsid w:val="57EE5C73"/>
    <w:rsid w:val="58953AFB"/>
    <w:rsid w:val="58CD149A"/>
    <w:rsid w:val="58DC4194"/>
    <w:rsid w:val="598F28FD"/>
    <w:rsid w:val="59E00D5A"/>
    <w:rsid w:val="5A4A21E8"/>
    <w:rsid w:val="5A567809"/>
    <w:rsid w:val="5A6D0F56"/>
    <w:rsid w:val="5AEE63D7"/>
    <w:rsid w:val="5B007C03"/>
    <w:rsid w:val="5B12588A"/>
    <w:rsid w:val="5BB12DD0"/>
    <w:rsid w:val="5C3C7888"/>
    <w:rsid w:val="5C533382"/>
    <w:rsid w:val="5C7C7343"/>
    <w:rsid w:val="5CED0090"/>
    <w:rsid w:val="5CF21813"/>
    <w:rsid w:val="5D3B0079"/>
    <w:rsid w:val="5E4F19E1"/>
    <w:rsid w:val="5E8E034B"/>
    <w:rsid w:val="5ECC5D50"/>
    <w:rsid w:val="5EF86B45"/>
    <w:rsid w:val="5F031778"/>
    <w:rsid w:val="5F053371"/>
    <w:rsid w:val="5F5A47A5"/>
    <w:rsid w:val="5FBA1AF2"/>
    <w:rsid w:val="5FE67464"/>
    <w:rsid w:val="60732330"/>
    <w:rsid w:val="60F577E0"/>
    <w:rsid w:val="61074674"/>
    <w:rsid w:val="61270B3A"/>
    <w:rsid w:val="615F09E3"/>
    <w:rsid w:val="61A02CF3"/>
    <w:rsid w:val="622F6D22"/>
    <w:rsid w:val="62742987"/>
    <w:rsid w:val="628139F1"/>
    <w:rsid w:val="62DD052C"/>
    <w:rsid w:val="62DD4CB8"/>
    <w:rsid w:val="63155E2C"/>
    <w:rsid w:val="63535FBA"/>
    <w:rsid w:val="635C0C80"/>
    <w:rsid w:val="636805AA"/>
    <w:rsid w:val="64CA12C2"/>
    <w:rsid w:val="65482496"/>
    <w:rsid w:val="661835D9"/>
    <w:rsid w:val="661E5B72"/>
    <w:rsid w:val="66291CDA"/>
    <w:rsid w:val="662B719A"/>
    <w:rsid w:val="666B7198"/>
    <w:rsid w:val="666E2AF9"/>
    <w:rsid w:val="66B25966"/>
    <w:rsid w:val="67346B89"/>
    <w:rsid w:val="674A5980"/>
    <w:rsid w:val="6764746E"/>
    <w:rsid w:val="67BAD176"/>
    <w:rsid w:val="67DA14DE"/>
    <w:rsid w:val="681257CE"/>
    <w:rsid w:val="681B213F"/>
    <w:rsid w:val="68935947"/>
    <w:rsid w:val="692204B0"/>
    <w:rsid w:val="692F2F5C"/>
    <w:rsid w:val="69672EB6"/>
    <w:rsid w:val="697C2E5E"/>
    <w:rsid w:val="69821E2D"/>
    <w:rsid w:val="6A050368"/>
    <w:rsid w:val="6A1771A2"/>
    <w:rsid w:val="6A674B7F"/>
    <w:rsid w:val="6A701C86"/>
    <w:rsid w:val="6AD16056"/>
    <w:rsid w:val="6B22433C"/>
    <w:rsid w:val="6B396C2A"/>
    <w:rsid w:val="6B6D27CD"/>
    <w:rsid w:val="6BA22313"/>
    <w:rsid w:val="6C3D203B"/>
    <w:rsid w:val="6C5E3C8E"/>
    <w:rsid w:val="6C656D0F"/>
    <w:rsid w:val="6C7B4F81"/>
    <w:rsid w:val="6CA17546"/>
    <w:rsid w:val="6CCB003B"/>
    <w:rsid w:val="6D616503"/>
    <w:rsid w:val="6D8F5BF7"/>
    <w:rsid w:val="6E425ED2"/>
    <w:rsid w:val="6E545574"/>
    <w:rsid w:val="6E744457"/>
    <w:rsid w:val="6F0025C6"/>
    <w:rsid w:val="6F745D74"/>
    <w:rsid w:val="6F7E0BF8"/>
    <w:rsid w:val="6F833A36"/>
    <w:rsid w:val="6FB2689C"/>
    <w:rsid w:val="6FEF189F"/>
    <w:rsid w:val="700A66D9"/>
    <w:rsid w:val="704D3DDE"/>
    <w:rsid w:val="70B83602"/>
    <w:rsid w:val="70D016D0"/>
    <w:rsid w:val="70DE01AB"/>
    <w:rsid w:val="718C5BDC"/>
    <w:rsid w:val="72444475"/>
    <w:rsid w:val="72842772"/>
    <w:rsid w:val="72BB3CBA"/>
    <w:rsid w:val="72C04D9D"/>
    <w:rsid w:val="72DA7AAD"/>
    <w:rsid w:val="737A4131"/>
    <w:rsid w:val="73E603C4"/>
    <w:rsid w:val="745A3736"/>
    <w:rsid w:val="74E30C03"/>
    <w:rsid w:val="751F48DE"/>
    <w:rsid w:val="754F7518"/>
    <w:rsid w:val="75510906"/>
    <w:rsid w:val="7553467E"/>
    <w:rsid w:val="75846F2D"/>
    <w:rsid w:val="766B0EA6"/>
    <w:rsid w:val="766D49FB"/>
    <w:rsid w:val="76AA1AD4"/>
    <w:rsid w:val="76D40657"/>
    <w:rsid w:val="76E3678B"/>
    <w:rsid w:val="77536BB7"/>
    <w:rsid w:val="77D35E2C"/>
    <w:rsid w:val="77FF2438"/>
    <w:rsid w:val="78A93D63"/>
    <w:rsid w:val="78E259E4"/>
    <w:rsid w:val="792E5D82"/>
    <w:rsid w:val="793E72D7"/>
    <w:rsid w:val="7947610B"/>
    <w:rsid w:val="79500F97"/>
    <w:rsid w:val="79520AED"/>
    <w:rsid w:val="799E745E"/>
    <w:rsid w:val="79AA41C3"/>
    <w:rsid w:val="7A5D377D"/>
    <w:rsid w:val="7ADD5115"/>
    <w:rsid w:val="7AF34939"/>
    <w:rsid w:val="7B0A3A31"/>
    <w:rsid w:val="7B226FCC"/>
    <w:rsid w:val="7B285742"/>
    <w:rsid w:val="7B3429AD"/>
    <w:rsid w:val="7BC44369"/>
    <w:rsid w:val="7BC71922"/>
    <w:rsid w:val="7BCB1AAA"/>
    <w:rsid w:val="7C8A4E29"/>
    <w:rsid w:val="7C8B4DA6"/>
    <w:rsid w:val="7C94044F"/>
    <w:rsid w:val="7C9A7BC3"/>
    <w:rsid w:val="7CB974BC"/>
    <w:rsid w:val="7D4C20DE"/>
    <w:rsid w:val="7D617BDB"/>
    <w:rsid w:val="7D7F2912"/>
    <w:rsid w:val="7D9677FD"/>
    <w:rsid w:val="7DAB7532"/>
    <w:rsid w:val="7E0C09F5"/>
    <w:rsid w:val="7E423424"/>
    <w:rsid w:val="7ED164CA"/>
    <w:rsid w:val="7EE3341B"/>
    <w:rsid w:val="7EFE4FED"/>
    <w:rsid w:val="7F6556D9"/>
    <w:rsid w:val="7F7229C6"/>
    <w:rsid w:val="7F7E8930"/>
    <w:rsid w:val="7FC576F3"/>
    <w:rsid w:val="7FCE3133"/>
    <w:rsid w:val="7FDC8DC7"/>
    <w:rsid w:val="7FED996A"/>
    <w:rsid w:val="A977086F"/>
    <w:rsid w:val="AACB3DDE"/>
    <w:rsid w:val="BDFF25D7"/>
    <w:rsid w:val="D7F78984"/>
    <w:rsid w:val="D7FE62B1"/>
    <w:rsid w:val="DFBF0F64"/>
    <w:rsid w:val="DFFA7058"/>
    <w:rsid w:val="EEACB670"/>
    <w:rsid w:val="F75FFD34"/>
    <w:rsid w:val="FA670B0D"/>
    <w:rsid w:val="FC0FD203"/>
    <w:rsid w:val="FFFBE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Calibri" w:hAnsi="Calibri" w:eastAsia="宋体" w:cs="宋体"/>
      <w:kern w:val="2"/>
      <w:sz w:val="24"/>
      <w:szCs w:val="24"/>
      <w:lang w:val="en-US" w:eastAsia="zh-CN" w:bidi="ar-SA"/>
    </w:rPr>
  </w:style>
  <w:style w:type="paragraph" w:styleId="2">
    <w:name w:val="heading 1"/>
    <w:basedOn w:val="1"/>
    <w:next w:val="1"/>
    <w:link w:val="40"/>
    <w:qFormat/>
    <w:uiPriority w:val="0"/>
    <w:pPr>
      <w:spacing w:before="50" w:beforeLines="50" w:after="50" w:afterLines="50" w:line="560" w:lineRule="exact"/>
      <w:jc w:val="center"/>
      <w:outlineLvl w:val="0"/>
    </w:pPr>
    <w:rPr>
      <w:rFonts w:hint="eastAsia" w:ascii="宋体" w:hAnsi="宋体" w:eastAsia="方正小标宋_GBK"/>
      <w:bCs/>
      <w:kern w:val="44"/>
      <w:sz w:val="36"/>
      <w:szCs w:val="48"/>
    </w:rPr>
  </w:style>
  <w:style w:type="paragraph" w:styleId="3">
    <w:name w:val="heading 2"/>
    <w:basedOn w:val="2"/>
    <w:next w:val="1"/>
    <w:link w:val="49"/>
    <w:qFormat/>
    <w:uiPriority w:val="0"/>
    <w:pPr>
      <w:keepNext/>
      <w:keepLines/>
      <w:tabs>
        <w:tab w:val="left" w:pos="0"/>
      </w:tabs>
      <w:spacing w:before="50" w:beforeLines="50" w:after="10" w:line="560" w:lineRule="exact"/>
      <w:jc w:val="left"/>
      <w:outlineLvl w:val="1"/>
    </w:pPr>
    <w:rPr>
      <w:rFonts w:ascii="Arial" w:hAnsi="Arial" w:eastAsia="黑体" w:cs="Times New Roman"/>
      <w:sz w:val="30"/>
    </w:rPr>
  </w:style>
  <w:style w:type="paragraph" w:styleId="4">
    <w:name w:val="heading 3"/>
    <w:basedOn w:val="1"/>
    <w:next w:val="1"/>
    <w:link w:val="50"/>
    <w:qFormat/>
    <w:uiPriority w:val="0"/>
    <w:pPr>
      <w:keepNext/>
      <w:keepLines/>
      <w:numPr>
        <w:ilvl w:val="2"/>
        <w:numId w:val="1"/>
      </w:numPr>
      <w:tabs>
        <w:tab w:val="left" w:pos="0"/>
      </w:tabs>
      <w:spacing w:before="10" w:after="10" w:line="600" w:lineRule="exact"/>
      <w:outlineLvl w:val="2"/>
    </w:pPr>
    <w:rPr>
      <w:rFonts w:ascii="Times New Roman" w:hAnsi="Times New Roman" w:eastAsia="楷体" w:cs="Times New Roman"/>
      <w:b/>
      <w:sz w:val="28"/>
      <w:szCs w:val="20"/>
    </w:rPr>
  </w:style>
  <w:style w:type="paragraph" w:styleId="5">
    <w:name w:val="heading 4"/>
    <w:basedOn w:val="1"/>
    <w:next w:val="1"/>
    <w:link w:val="51"/>
    <w:qFormat/>
    <w:uiPriority w:val="0"/>
    <w:pPr>
      <w:keepNext/>
      <w:keepLines/>
      <w:spacing w:before="280" w:after="290" w:line="377" w:lineRule="auto"/>
      <w:ind w:firstLine="420" w:firstLineChars="200"/>
      <w:outlineLvl w:val="3"/>
    </w:pPr>
    <w:rPr>
      <w:rFonts w:ascii="黑体" w:hAnsi="黑体" w:eastAsia="黑体"/>
      <w:bCs/>
      <w:szCs w:val="28"/>
    </w:rPr>
  </w:style>
  <w:style w:type="paragraph" w:styleId="6">
    <w:name w:val="heading 5"/>
    <w:basedOn w:val="1"/>
    <w:next w:val="1"/>
    <w:link w:val="52"/>
    <w:qFormat/>
    <w:uiPriority w:val="0"/>
    <w:pPr>
      <w:keepNext/>
      <w:keepLines/>
      <w:numPr>
        <w:ilvl w:val="4"/>
        <w:numId w:val="2"/>
      </w:numPr>
      <w:tabs>
        <w:tab w:val="left" w:pos="0"/>
      </w:tabs>
      <w:spacing w:before="160" w:after="290" w:line="240" w:lineRule="auto"/>
      <w:outlineLvl w:val="4"/>
    </w:pPr>
    <w:rPr>
      <w:rFonts w:ascii="Times New Roman" w:hAnsi="Times New Roman" w:eastAsia="黑体" w:cs="Times New Roman"/>
    </w:rPr>
  </w:style>
  <w:style w:type="paragraph" w:styleId="7">
    <w:name w:val="heading 6"/>
    <w:basedOn w:val="1"/>
    <w:next w:val="1"/>
    <w:qFormat/>
    <w:uiPriority w:val="0"/>
    <w:pPr>
      <w:keepNext/>
      <w:keepLines/>
      <w:spacing w:before="240" w:after="64" w:line="317" w:lineRule="auto"/>
      <w:ind w:firstLine="1440" w:firstLineChars="200"/>
      <w:outlineLvl w:val="5"/>
    </w:pPr>
    <w:rPr>
      <w:rFonts w:ascii="Arial" w:hAnsi="Arial" w:eastAsia="黑体"/>
      <w:b/>
      <w:szCs w:val="22"/>
    </w:rPr>
  </w:style>
  <w:style w:type="paragraph" w:styleId="8">
    <w:name w:val="heading 8"/>
    <w:basedOn w:val="1"/>
    <w:next w:val="1"/>
    <w:qFormat/>
    <w:uiPriority w:val="0"/>
    <w:pPr>
      <w:keepNext/>
      <w:keepLines/>
      <w:numPr>
        <w:ilvl w:val="7"/>
        <w:numId w:val="1"/>
      </w:numPr>
      <w:tabs>
        <w:tab w:val="left" w:pos="0"/>
      </w:tabs>
      <w:spacing w:before="240" w:after="64" w:line="317" w:lineRule="auto"/>
      <w:outlineLvl w:val="7"/>
    </w:pPr>
    <w:rPr>
      <w:rFonts w:ascii="Arial" w:hAnsi="Arial" w:eastAsia="黑体"/>
    </w:rPr>
  </w:style>
  <w:style w:type="paragraph" w:styleId="9">
    <w:name w:val="heading 9"/>
    <w:basedOn w:val="1"/>
    <w:next w:val="1"/>
    <w:qFormat/>
    <w:uiPriority w:val="0"/>
    <w:pPr>
      <w:keepNext/>
      <w:keepLines/>
      <w:numPr>
        <w:ilvl w:val="8"/>
        <w:numId w:val="3"/>
      </w:numPr>
      <w:tabs>
        <w:tab w:val="left" w:pos="0"/>
      </w:tabs>
      <w:spacing w:before="240" w:after="64" w:line="317" w:lineRule="auto"/>
      <w:outlineLvl w:val="8"/>
    </w:pPr>
    <w:rPr>
      <w:rFonts w:ascii="Arial" w:hAnsi="Arial" w:eastAsia="黑体"/>
      <w:sz w:val="21"/>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0">
    <w:name w:val="index 8"/>
    <w:basedOn w:val="1"/>
    <w:next w:val="1"/>
    <w:qFormat/>
    <w:uiPriority w:val="0"/>
    <w:pPr>
      <w:widowControl/>
      <w:overflowPunct w:val="0"/>
      <w:autoSpaceDE w:val="0"/>
      <w:autoSpaceDN w:val="0"/>
      <w:adjustRightInd w:val="0"/>
      <w:ind w:left="1400" w:leftChars="1400"/>
      <w:textAlignment w:val="baseline"/>
    </w:pPr>
    <w:rPr>
      <w:rFonts w:ascii="Times New Roman" w:hAnsi="Times New Roman" w:eastAsia="宋体" w:cs="Times New Roman"/>
      <w:kern w:val="0"/>
      <w:szCs w:val="20"/>
    </w:rPr>
  </w:style>
  <w:style w:type="paragraph" w:styleId="11">
    <w:name w:val="Normal Indent"/>
    <w:basedOn w:val="1"/>
    <w:next w:val="12"/>
    <w:qFormat/>
    <w:uiPriority w:val="0"/>
    <w:pPr>
      <w:ind w:firstLine="420" w:firstLineChars="200"/>
    </w:pPr>
  </w:style>
  <w:style w:type="paragraph" w:styleId="12">
    <w:name w:val="Body Text First Indent 2"/>
    <w:basedOn w:val="13"/>
    <w:qFormat/>
    <w:uiPriority w:val="99"/>
    <w:pPr>
      <w:autoSpaceDE w:val="0"/>
      <w:autoSpaceDN w:val="0"/>
      <w:adjustRightInd w:val="0"/>
      <w:ind w:firstLine="420"/>
      <w:jc w:val="left"/>
    </w:pPr>
    <w:rPr>
      <w:rFonts w:cs="Times New Roman"/>
      <w:kern w:val="0"/>
    </w:rPr>
  </w:style>
  <w:style w:type="paragraph" w:styleId="13">
    <w:name w:val="Body Text Indent"/>
    <w:basedOn w:val="1"/>
    <w:qFormat/>
    <w:uiPriority w:val="0"/>
    <w:pPr>
      <w:spacing w:after="120"/>
      <w:ind w:left="420" w:leftChars="200"/>
    </w:pPr>
  </w:style>
  <w:style w:type="paragraph" w:styleId="14">
    <w:name w:val="caption"/>
    <w:basedOn w:val="1"/>
    <w:next w:val="1"/>
    <w:qFormat/>
    <w:uiPriority w:val="0"/>
    <w:pPr>
      <w:tabs>
        <w:tab w:val="left" w:pos="0"/>
      </w:tabs>
    </w:pPr>
    <w:rPr>
      <w:rFonts w:ascii="Arial" w:hAnsi="Arial" w:eastAsia="黑体"/>
      <w:sz w:val="20"/>
    </w:rPr>
  </w:style>
  <w:style w:type="paragraph" w:styleId="15">
    <w:name w:val="index 5"/>
    <w:basedOn w:val="1"/>
    <w:next w:val="1"/>
    <w:qFormat/>
    <w:uiPriority w:val="99"/>
    <w:pPr>
      <w:snapToGrid w:val="0"/>
      <w:ind w:left="800" w:leftChars="800"/>
    </w:pPr>
    <w:rPr>
      <w:rFonts w:ascii="Arial Narrow" w:hAnsi="Arial Narrow"/>
      <w:kern w:val="0"/>
      <w:szCs w:val="20"/>
    </w:rPr>
  </w:style>
  <w:style w:type="paragraph" w:styleId="16">
    <w:name w:val="annotation text"/>
    <w:basedOn w:val="1"/>
    <w:qFormat/>
    <w:uiPriority w:val="0"/>
    <w:pPr>
      <w:jc w:val="left"/>
    </w:pPr>
  </w:style>
  <w:style w:type="paragraph" w:styleId="17">
    <w:name w:val="Body Text"/>
    <w:basedOn w:val="1"/>
    <w:qFormat/>
    <w:uiPriority w:val="99"/>
    <w:pPr>
      <w:tabs>
        <w:tab w:val="left" w:pos="0"/>
      </w:tabs>
      <w:spacing w:after="120"/>
    </w:pPr>
  </w:style>
  <w:style w:type="paragraph" w:styleId="18">
    <w:name w:val="Block Text"/>
    <w:basedOn w:val="1"/>
    <w:qFormat/>
    <w:uiPriority w:val="0"/>
    <w:pPr>
      <w:ind w:left="1171" w:right="91" w:hanging="1080"/>
    </w:pPr>
    <w:rPr>
      <w:rFonts w:eastAsia="楷体_GB2312"/>
      <w:szCs w:val="20"/>
    </w:rPr>
  </w:style>
  <w:style w:type="paragraph" w:styleId="19">
    <w:name w:val="Plain Text"/>
    <w:basedOn w:val="1"/>
    <w:qFormat/>
    <w:uiPriority w:val="0"/>
    <w:rPr>
      <w:rFonts w:ascii="宋体" w:hAnsi="Courier New" w:cs="Courier New"/>
      <w:szCs w:val="21"/>
    </w:rPr>
  </w:style>
  <w:style w:type="paragraph" w:styleId="20">
    <w:name w:val="Date"/>
    <w:next w:val="1"/>
    <w:qFormat/>
    <w:uiPriority w:val="0"/>
    <w:pPr>
      <w:widowControl w:val="0"/>
      <w:jc w:val="both"/>
    </w:pPr>
    <w:rPr>
      <w:rFonts w:ascii="Times New Roman" w:hAnsi="Times New Roman" w:eastAsia="宋体" w:cs="Times New Roman"/>
      <w:kern w:val="2"/>
      <w:sz w:val="24"/>
      <w:lang w:val="en-US" w:eastAsia="zh-CN" w:bidi="ar-SA"/>
    </w:rPr>
  </w:style>
  <w:style w:type="paragraph" w:styleId="21">
    <w:name w:val="Body Text Indent 2"/>
    <w:basedOn w:val="1"/>
    <w:qFormat/>
    <w:uiPriority w:val="0"/>
    <w:pPr>
      <w:ind w:firstLine="680"/>
    </w:pPr>
    <w:rPr>
      <w:rFonts w:ascii="宋体" w:hAnsi="宋体"/>
      <w:sz w:val="28"/>
    </w:rPr>
  </w:style>
  <w:style w:type="paragraph" w:styleId="22">
    <w:name w:val="footer"/>
    <w:basedOn w:val="1"/>
    <w:qFormat/>
    <w:uiPriority w:val="0"/>
    <w:pPr>
      <w:tabs>
        <w:tab w:val="center" w:pos="4153"/>
        <w:tab w:val="right" w:pos="8306"/>
      </w:tabs>
      <w:snapToGrid w:val="0"/>
      <w:jc w:val="left"/>
    </w:pPr>
    <w:rPr>
      <w:sz w:val="18"/>
    </w:rPr>
  </w:style>
  <w:style w:type="paragraph" w:styleId="2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4">
    <w:name w:val="toc 1"/>
    <w:basedOn w:val="1"/>
    <w:next w:val="1"/>
    <w:qFormat/>
    <w:uiPriority w:val="0"/>
    <w:pPr>
      <w:tabs>
        <w:tab w:val="left" w:pos="0"/>
      </w:tabs>
      <w:jc w:val="left"/>
    </w:pPr>
    <w:rPr>
      <w:rFonts w:ascii="等线" w:hAnsi="等线" w:eastAsia="微软雅黑"/>
      <w:b/>
      <w:szCs w:val="22"/>
    </w:rPr>
  </w:style>
  <w:style w:type="paragraph" w:styleId="25">
    <w:name w:val="footnote text"/>
    <w:basedOn w:val="1"/>
    <w:next w:val="15"/>
    <w:qFormat/>
    <w:uiPriority w:val="99"/>
    <w:pPr>
      <w:snapToGrid w:val="0"/>
      <w:spacing w:line="240" w:lineRule="auto"/>
    </w:pPr>
    <w:rPr>
      <w:sz w:val="18"/>
    </w:rPr>
  </w:style>
  <w:style w:type="paragraph" w:styleId="26">
    <w:name w:val="toc 2"/>
    <w:basedOn w:val="1"/>
    <w:next w:val="1"/>
    <w:qFormat/>
    <w:uiPriority w:val="0"/>
    <w:pPr>
      <w:ind w:left="420" w:leftChars="200"/>
    </w:pPr>
  </w:style>
  <w:style w:type="paragraph" w:styleId="27">
    <w:name w:val="Body Text 2"/>
    <w:basedOn w:val="1"/>
    <w:next w:val="17"/>
    <w:qFormat/>
    <w:uiPriority w:val="99"/>
    <w:pPr>
      <w:spacing w:after="120" w:line="480" w:lineRule="auto"/>
    </w:pPr>
  </w:style>
  <w:style w:type="paragraph" w:styleId="2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9">
    <w:name w:val="Normal (Web)"/>
    <w:basedOn w:val="1"/>
    <w:qFormat/>
    <w:uiPriority w:val="0"/>
  </w:style>
  <w:style w:type="paragraph" w:styleId="30">
    <w:name w:val="Title"/>
    <w:basedOn w:val="1"/>
    <w:next w:val="2"/>
    <w:qFormat/>
    <w:uiPriority w:val="0"/>
    <w:pPr>
      <w:spacing w:before="240" w:after="60"/>
      <w:jc w:val="center"/>
      <w:outlineLvl w:val="0"/>
    </w:pPr>
    <w:rPr>
      <w:rFonts w:ascii="Cambria" w:hAnsi="Cambria" w:eastAsia="宋体" w:cs="Times New Roman"/>
      <w:b/>
      <w:sz w:val="32"/>
    </w:rPr>
  </w:style>
  <w:style w:type="paragraph" w:styleId="31">
    <w:name w:val="annotation subject"/>
    <w:basedOn w:val="16"/>
    <w:next w:val="1"/>
    <w:qFormat/>
    <w:uiPriority w:val="0"/>
    <w:rPr>
      <w:b/>
      <w:bCs/>
    </w:rPr>
  </w:style>
  <w:style w:type="paragraph" w:styleId="32">
    <w:name w:val="Body Text First Indent"/>
    <w:basedOn w:val="17"/>
    <w:qFormat/>
    <w:uiPriority w:val="99"/>
    <w:pPr>
      <w:ind w:firstLine="100" w:firstLineChars="100"/>
    </w:pPr>
  </w:style>
  <w:style w:type="table" w:styleId="34">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36">
    <w:name w:val="Strong"/>
    <w:basedOn w:val="35"/>
    <w:qFormat/>
    <w:uiPriority w:val="0"/>
    <w:rPr>
      <w:b/>
    </w:rPr>
  </w:style>
  <w:style w:type="character" w:styleId="37">
    <w:name w:val="Emphasis"/>
    <w:basedOn w:val="35"/>
    <w:qFormat/>
    <w:uiPriority w:val="0"/>
    <w:rPr>
      <w:i/>
    </w:rPr>
  </w:style>
  <w:style w:type="character" w:styleId="38">
    <w:name w:val="Hyperlink"/>
    <w:basedOn w:val="35"/>
    <w:qFormat/>
    <w:uiPriority w:val="0"/>
    <w:rPr>
      <w:rFonts w:ascii="Times New Roman" w:hAnsi="Times New Roman" w:eastAsia="宋体" w:cs="Times New Roman"/>
      <w:color w:val="0000FF"/>
      <w:u w:val="single"/>
    </w:rPr>
  </w:style>
  <w:style w:type="paragraph" w:customStyle="1" w:styleId="39">
    <w:name w:val="样式2"/>
    <w:basedOn w:val="2"/>
    <w:qFormat/>
    <w:uiPriority w:val="0"/>
  </w:style>
  <w:style w:type="character" w:customStyle="1" w:styleId="40">
    <w:name w:val="标题 1 Char"/>
    <w:link w:val="2"/>
    <w:qFormat/>
    <w:uiPriority w:val="0"/>
    <w:rPr>
      <w:rFonts w:ascii="宋体" w:hAnsi="宋体" w:eastAsia="方正小标宋_GBK" w:cs="宋体"/>
      <w:spacing w:val="28"/>
      <w:kern w:val="36"/>
      <w:sz w:val="36"/>
      <w:szCs w:val="20"/>
    </w:rPr>
  </w:style>
  <w:style w:type="paragraph" w:customStyle="1" w:styleId="41">
    <w:name w:val="列出段落1"/>
    <w:basedOn w:val="42"/>
    <w:qFormat/>
    <w:uiPriority w:val="34"/>
    <w:pPr>
      <w:tabs>
        <w:tab w:val="left" w:pos="0"/>
      </w:tabs>
      <w:ind w:firstLine="420" w:firstLineChars="200"/>
    </w:pPr>
    <w:rPr>
      <w:szCs w:val="22"/>
    </w:rPr>
  </w:style>
  <w:style w:type="paragraph" w:customStyle="1" w:styleId="42">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表头"/>
    <w:basedOn w:val="14"/>
    <w:qFormat/>
    <w:uiPriority w:val="0"/>
    <w:pPr>
      <w:spacing w:line="300" w:lineRule="exact"/>
      <w:jc w:val="center"/>
    </w:pPr>
    <w:rPr>
      <w:rFonts w:ascii="Times New Roman" w:hAnsi="Times New Roman" w:eastAsia="微软雅黑" w:cs="Times New Roman"/>
      <w:b/>
      <w:sz w:val="22"/>
      <w:szCs w:val="20"/>
    </w:rPr>
  </w:style>
  <w:style w:type="paragraph" w:customStyle="1" w:styleId="44">
    <w:name w:val="文章正文"/>
    <w:link w:val="45"/>
    <w:qFormat/>
    <w:uiPriority w:val="0"/>
    <w:pPr>
      <w:widowControl w:val="0"/>
      <w:adjustRightInd w:val="0"/>
      <w:snapToGrid w:val="0"/>
      <w:spacing w:before="50" w:beforeLines="50" w:line="440" w:lineRule="exact"/>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5">
    <w:name w:val="文章正文 Char"/>
    <w:basedOn w:val="35"/>
    <w:link w:val="44"/>
    <w:qFormat/>
    <w:uiPriority w:val="0"/>
    <w:rPr>
      <w:rFonts w:ascii="Times New Roman" w:hAnsi="Times New Roman" w:eastAsia="宋体" w:cs="Times New Roman"/>
      <w:kern w:val="2"/>
      <w:sz w:val="24"/>
      <w:szCs w:val="22"/>
      <w:lang w:val="en-US" w:eastAsia="zh-CN" w:bidi="ar-SA"/>
    </w:rPr>
  </w:style>
  <w:style w:type="character" w:customStyle="1" w:styleId="46">
    <w:name w:val="标题 5 Char1"/>
    <w:basedOn w:val="35"/>
    <w:qFormat/>
    <w:uiPriority w:val="0"/>
    <w:rPr>
      <w:rFonts w:ascii="Times New Roman" w:hAnsi="Times New Roman" w:eastAsia="黑体" w:cs="Times New Roman"/>
      <w:sz w:val="24"/>
      <w:szCs w:val="24"/>
    </w:rPr>
  </w:style>
  <w:style w:type="paragraph" w:customStyle="1" w:styleId="47">
    <w:name w:val="表格1"/>
    <w:qFormat/>
    <w:uiPriority w:val="0"/>
    <w:pPr>
      <w:widowControl w:val="0"/>
      <w:spacing w:line="300" w:lineRule="exact"/>
      <w:jc w:val="center"/>
    </w:pPr>
    <w:rPr>
      <w:rFonts w:ascii="Times New Roman" w:hAnsi="Times New Roman" w:eastAsia="微软雅黑" w:cs="Times New Roman"/>
      <w:b/>
      <w:kern w:val="2"/>
      <w:sz w:val="22"/>
      <w:szCs w:val="24"/>
      <w:lang w:val="en-US" w:eastAsia="zh-CN" w:bidi="ar-SA"/>
    </w:rPr>
  </w:style>
  <w:style w:type="paragraph" w:customStyle="1" w:styleId="48">
    <w:name w:val="表格2"/>
    <w:qFormat/>
    <w:uiPriority w:val="0"/>
    <w:pPr>
      <w:widowControl w:val="0"/>
      <w:spacing w:line="300" w:lineRule="exact"/>
      <w:ind w:firstLine="420" w:firstLineChars="200"/>
    </w:pPr>
    <w:rPr>
      <w:rFonts w:ascii="Times New Roman" w:hAnsi="Times New Roman" w:eastAsia="微软雅黑" w:cs="Times New Roman"/>
      <w:kern w:val="2"/>
      <w:szCs w:val="24"/>
      <w:lang w:val="en-US" w:eastAsia="zh-CN" w:bidi="ar-SA"/>
    </w:rPr>
  </w:style>
  <w:style w:type="character" w:customStyle="1" w:styleId="49">
    <w:name w:val="标题 2 Char"/>
    <w:link w:val="3"/>
    <w:qFormat/>
    <w:uiPriority w:val="0"/>
    <w:rPr>
      <w:rFonts w:ascii="Arial" w:hAnsi="Arial" w:eastAsia="黑体" w:cs="Times New Roman"/>
      <w:sz w:val="28"/>
      <w:szCs w:val="24"/>
    </w:rPr>
  </w:style>
  <w:style w:type="character" w:customStyle="1" w:styleId="50">
    <w:name w:val="标题 3 Char"/>
    <w:basedOn w:val="35"/>
    <w:link w:val="4"/>
    <w:qFormat/>
    <w:uiPriority w:val="0"/>
    <w:rPr>
      <w:rFonts w:ascii="Times New Roman" w:hAnsi="Times New Roman" w:eastAsia="楷体" w:cs="Times New Roman"/>
      <w:b/>
      <w:sz w:val="28"/>
      <w:szCs w:val="20"/>
    </w:rPr>
  </w:style>
  <w:style w:type="character" w:customStyle="1" w:styleId="51">
    <w:name w:val="标题 4 Char"/>
    <w:link w:val="5"/>
    <w:qFormat/>
    <w:uiPriority w:val="0"/>
    <w:rPr>
      <w:rFonts w:eastAsia="黑体" w:cs="Times New Roman"/>
      <w:sz w:val="24"/>
      <w:szCs w:val="28"/>
    </w:rPr>
  </w:style>
  <w:style w:type="character" w:customStyle="1" w:styleId="52">
    <w:name w:val="标题 5 Char"/>
    <w:link w:val="6"/>
    <w:qFormat/>
    <w:uiPriority w:val="0"/>
    <w:rPr>
      <w:rFonts w:ascii="Times New Roman" w:hAnsi="Times New Roman" w:eastAsia="黑体" w:cs="Times New Roman"/>
      <w:kern w:val="2"/>
      <w:sz w:val="24"/>
      <w:szCs w:val="24"/>
      <w:lang w:val="en-US" w:eastAsia="zh-CN" w:bidi="ar-SA"/>
    </w:rPr>
  </w:style>
  <w:style w:type="paragraph" w:customStyle="1" w:styleId="53">
    <w:name w:val="Body Text First Indent 21"/>
    <w:basedOn w:val="54"/>
    <w:qFormat/>
    <w:uiPriority w:val="0"/>
    <w:pPr>
      <w:ind w:firstLine="420" w:firstLineChars="200"/>
    </w:pPr>
  </w:style>
  <w:style w:type="paragraph" w:customStyle="1" w:styleId="54">
    <w:name w:val="Body Text Indent1"/>
    <w:basedOn w:val="1"/>
    <w:next w:val="55"/>
    <w:qFormat/>
    <w:uiPriority w:val="0"/>
    <w:pPr>
      <w:ind w:left="420" w:leftChars="200"/>
    </w:pPr>
  </w:style>
  <w:style w:type="paragraph" w:customStyle="1" w:styleId="55">
    <w:name w:val="Body Text Indent 21"/>
    <w:basedOn w:val="1"/>
    <w:qFormat/>
    <w:uiPriority w:val="0"/>
    <w:pPr>
      <w:spacing w:line="480" w:lineRule="auto"/>
      <w:ind w:left="420" w:leftChars="200"/>
    </w:pPr>
    <w:rPr>
      <w:kern w:val="0"/>
      <w:sz w:val="20"/>
    </w:rPr>
  </w:style>
  <w:style w:type="paragraph" w:customStyle="1" w:styleId="56">
    <w:name w:val="表格内标题行"/>
    <w:basedOn w:val="1"/>
    <w:qFormat/>
    <w:uiPriority w:val="0"/>
    <w:pPr>
      <w:widowControl/>
      <w:tabs>
        <w:tab w:val="left" w:pos="0"/>
        <w:tab w:val="left" w:pos="33"/>
      </w:tabs>
      <w:spacing w:line="480" w:lineRule="auto"/>
      <w:ind w:firstLine="920" w:firstLineChars="100"/>
      <w:jc w:val="center"/>
    </w:pPr>
    <w:rPr>
      <w:rFonts w:ascii="宋体" w:hAnsi="宋体" w:eastAsia="黑体"/>
      <w:b/>
    </w:rPr>
  </w:style>
  <w:style w:type="paragraph" w:customStyle="1" w:styleId="57">
    <w:name w:val="表格内容左对齐"/>
    <w:basedOn w:val="1"/>
    <w:qFormat/>
    <w:uiPriority w:val="0"/>
    <w:pPr>
      <w:widowControl/>
      <w:tabs>
        <w:tab w:val="left" w:pos="0"/>
        <w:tab w:val="left" w:pos="33"/>
      </w:tabs>
      <w:spacing w:line="300" w:lineRule="exact"/>
      <w:ind w:firstLine="420" w:firstLineChars="200"/>
      <w:jc w:val="left"/>
    </w:pPr>
    <w:rPr>
      <w:rFonts w:ascii="宋体" w:hAnsi="宋体" w:eastAsia="微软雅黑"/>
      <w:sz w:val="22"/>
    </w:rPr>
  </w:style>
  <w:style w:type="paragraph" w:customStyle="1" w:styleId="58">
    <w:name w:val="正文(首行缩进)"/>
    <w:basedOn w:val="1"/>
    <w:qFormat/>
    <w:uiPriority w:val="0"/>
    <w:pPr>
      <w:widowControl/>
      <w:tabs>
        <w:tab w:val="left" w:pos="0"/>
      </w:tabs>
      <w:ind w:firstLine="1840" w:firstLineChars="200"/>
      <w:jc w:val="left"/>
    </w:pPr>
    <w:rPr>
      <w:rFonts w:ascii="Arial Narrow" w:hAnsi="Arial Narrow"/>
    </w:rPr>
  </w:style>
  <w:style w:type="paragraph" w:customStyle="1" w:styleId="59">
    <w:name w:val="正文四号"/>
    <w:basedOn w:val="1"/>
    <w:link w:val="60"/>
    <w:qFormat/>
    <w:uiPriority w:val="0"/>
    <w:pPr>
      <w:tabs>
        <w:tab w:val="left" w:pos="0"/>
      </w:tabs>
    </w:pPr>
    <w:rPr>
      <w:rFonts w:eastAsia="仿宋_GB2312"/>
      <w:sz w:val="28"/>
      <w:szCs w:val="28"/>
    </w:rPr>
  </w:style>
  <w:style w:type="character" w:customStyle="1" w:styleId="60">
    <w:name w:val="正文四号 字符"/>
    <w:basedOn w:val="61"/>
    <w:link w:val="59"/>
    <w:qFormat/>
    <w:uiPriority w:val="0"/>
    <w:rPr>
      <w:rFonts w:ascii="Calibri" w:hAnsi="Calibri" w:eastAsia="仿宋_GB2312"/>
      <w:sz w:val="28"/>
      <w:szCs w:val="28"/>
    </w:rPr>
  </w:style>
  <w:style w:type="character" w:customStyle="1" w:styleId="61">
    <w:name w:val="列出段落 字符"/>
    <w:basedOn w:val="35"/>
    <w:qFormat/>
    <w:uiPriority w:val="34"/>
  </w:style>
  <w:style w:type="paragraph" w:styleId="62">
    <w:name w:val="List Paragraph"/>
    <w:basedOn w:val="1"/>
    <w:qFormat/>
    <w:uiPriority w:val="34"/>
    <w:pPr>
      <w:ind w:firstLine="420" w:firstLineChars="200"/>
    </w:pPr>
  </w:style>
  <w:style w:type="character" w:customStyle="1" w:styleId="63">
    <w:name w:val="列出段落 字符1"/>
    <w:basedOn w:val="35"/>
    <w:link w:val="64"/>
    <w:qFormat/>
    <w:uiPriority w:val="34"/>
  </w:style>
  <w:style w:type="paragraph" w:customStyle="1" w:styleId="64">
    <w:name w:val="List Paragraph11"/>
    <w:basedOn w:val="1"/>
    <w:link w:val="63"/>
    <w:qFormat/>
    <w:uiPriority w:val="34"/>
    <w:pPr>
      <w:tabs>
        <w:tab w:val="left" w:pos="0"/>
      </w:tabs>
      <w:ind w:firstLine="420" w:firstLineChars="200"/>
    </w:pPr>
  </w:style>
  <w:style w:type="paragraph" w:customStyle="1" w:styleId="65">
    <w:name w:val="采购文件章节标题"/>
    <w:basedOn w:val="1"/>
    <w:qFormat/>
    <w:uiPriority w:val="0"/>
    <w:pPr>
      <w:tabs>
        <w:tab w:val="left" w:pos="0"/>
      </w:tabs>
      <w:spacing w:after="120" w:line="500" w:lineRule="exact"/>
      <w:jc w:val="center"/>
      <w:outlineLvl w:val="0"/>
    </w:pPr>
    <w:rPr>
      <w:rFonts w:eastAsia="微软雅黑"/>
      <w:spacing w:val="28"/>
      <w:sz w:val="44"/>
    </w:rPr>
  </w:style>
  <w:style w:type="paragraph" w:customStyle="1" w:styleId="66">
    <w:name w:val="表格正文（首行缩进）"/>
    <w:qFormat/>
    <w:uiPriority w:val="0"/>
    <w:pPr>
      <w:spacing w:line="300" w:lineRule="exact"/>
      <w:ind w:firstLine="788" w:firstLineChars="200"/>
    </w:pPr>
    <w:rPr>
      <w:rFonts w:ascii="Calibri" w:hAnsi="Calibri" w:eastAsia="微软雅黑" w:cs="宋体"/>
      <w:sz w:val="21"/>
      <w:lang w:val="en-US" w:eastAsia="zh-CN" w:bidi="ar-SA"/>
    </w:rPr>
  </w:style>
  <w:style w:type="paragraph" w:customStyle="1" w:styleId="67">
    <w:name w:val="研究生姓名"/>
    <w:qFormat/>
    <w:uiPriority w:val="0"/>
    <w:pPr>
      <w:widowControl w:val="0"/>
      <w:ind w:firstLine="700" w:firstLineChars="700"/>
      <w:jc w:val="both"/>
    </w:pPr>
    <w:rPr>
      <w:rFonts w:ascii="Times New Roman" w:hAnsi="Times New Roman" w:eastAsia="宋体" w:cs="Times New Roman"/>
      <w:kern w:val="2"/>
      <w:sz w:val="28"/>
      <w:szCs w:val="28"/>
      <w:lang w:val="en-US" w:eastAsia="zh-CN" w:bidi="ar-SA"/>
    </w:rPr>
  </w:style>
  <w:style w:type="paragraph" w:customStyle="1" w:styleId="68">
    <w:name w:val="二级"/>
    <w:basedOn w:val="1"/>
    <w:qFormat/>
    <w:uiPriority w:val="0"/>
    <w:pPr>
      <w:widowControl/>
      <w:ind w:firstLine="482" w:firstLineChars="200"/>
      <w:jc w:val="left"/>
      <w:outlineLvl w:val="1"/>
    </w:pPr>
    <w:rPr>
      <w:rFonts w:hint="eastAsia" w:ascii="Arial Narrow" w:hAnsi="Arial Narrow"/>
      <w:b/>
      <w:bCs/>
    </w:rPr>
  </w:style>
  <w:style w:type="paragraph" w:customStyle="1" w:styleId="69">
    <w:name w:val="三级"/>
    <w:basedOn w:val="1"/>
    <w:next w:val="1"/>
    <w:qFormat/>
    <w:uiPriority w:val="0"/>
    <w:pPr>
      <w:keepNext/>
      <w:keepLines/>
      <w:spacing w:before="260" w:after="260" w:line="360" w:lineRule="auto"/>
      <w:outlineLvl w:val="2"/>
    </w:pPr>
    <w:rPr>
      <w:rFonts w:hint="eastAsia" w:ascii="Times New Roman" w:hAnsi="Times New Roman" w:eastAsia="楷体" w:cs="Times New Roman"/>
      <w:b/>
      <w:sz w:val="28"/>
      <w:szCs w:val="18"/>
    </w:rPr>
  </w:style>
  <w:style w:type="paragraph" w:customStyle="1" w:styleId="70">
    <w:name w:val="List Paragraph1"/>
    <w:basedOn w:val="1"/>
    <w:qFormat/>
    <w:uiPriority w:val="34"/>
    <w:pPr>
      <w:ind w:firstLine="420" w:firstLineChars="200"/>
    </w:pPr>
  </w:style>
  <w:style w:type="paragraph" w:customStyle="1" w:styleId="71">
    <w:name w:val="招标文件编号"/>
    <w:qFormat/>
    <w:uiPriority w:val="0"/>
    <w:pPr>
      <w:widowControl w:val="0"/>
      <w:numPr>
        <w:ilvl w:val="0"/>
        <w:numId w:val="4"/>
      </w:numPr>
      <w:tabs>
        <w:tab w:val="clear" w:pos="0"/>
      </w:tabs>
      <w:adjustRightInd w:val="0"/>
      <w:snapToGrid w:val="0"/>
      <w:spacing w:line="240" w:lineRule="exact"/>
      <w:jc w:val="center"/>
    </w:pPr>
    <w:rPr>
      <w:rFonts w:ascii="Times New Roman" w:hAnsi="Times New Roman" w:eastAsia="微软雅黑" w:cs="Times New Roman"/>
      <w:kern w:val="2"/>
      <w:sz w:val="21"/>
      <w:szCs w:val="24"/>
      <w:lang w:val="en-US" w:eastAsia="zh-CN" w:bidi="ar-SA"/>
    </w:rPr>
  </w:style>
  <w:style w:type="paragraph" w:customStyle="1" w:styleId="72">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73">
    <w:name w:val="Table Paragraph"/>
    <w:basedOn w:val="1"/>
    <w:qFormat/>
    <w:uiPriority w:val="1"/>
    <w:rPr>
      <w:rFonts w:ascii="宋体" w:hAnsi="宋体"/>
      <w:lang w:val="zh-CN" w:bidi="zh-CN"/>
    </w:rPr>
  </w:style>
  <w:style w:type="paragraph" w:customStyle="1" w:styleId="74">
    <w:name w:val="WPSOffice手动目录 1"/>
    <w:qFormat/>
    <w:uiPriority w:val="0"/>
    <w:rPr>
      <w:rFonts w:ascii="Calibri" w:hAnsi="Calibri" w:eastAsia="宋体" w:cs="宋体"/>
      <w:lang w:val="en-US" w:eastAsia="zh-CN" w:bidi="ar-SA"/>
    </w:rPr>
  </w:style>
  <w:style w:type="paragraph" w:customStyle="1" w:styleId="75">
    <w:name w:val="WPSOffice手动目录 2"/>
    <w:qFormat/>
    <w:uiPriority w:val="0"/>
    <w:pPr>
      <w:ind w:left="200" w:leftChars="200"/>
    </w:pPr>
    <w:rPr>
      <w:rFonts w:ascii="Calibri" w:hAnsi="Calibri" w:eastAsia="宋体" w:cs="宋体"/>
      <w:lang w:val="en-US" w:eastAsia="zh-CN" w:bidi="ar-SA"/>
    </w:rPr>
  </w:style>
  <w:style w:type="paragraph" w:customStyle="1" w:styleId="76">
    <w:name w:val="Other|1"/>
    <w:basedOn w:val="1"/>
    <w:qFormat/>
    <w:uiPriority w:val="0"/>
    <w:pPr>
      <w:spacing w:line="396" w:lineRule="auto"/>
      <w:ind w:firstLine="400"/>
    </w:pPr>
    <w:rPr>
      <w:rFonts w:ascii="宋体" w:hAnsi="宋体"/>
      <w:sz w:val="30"/>
      <w:szCs w:val="30"/>
      <w:lang w:val="zh-TW" w:eastAsia="zh-TW" w:bidi="zh-TW"/>
    </w:rPr>
  </w:style>
  <w:style w:type="paragraph" w:customStyle="1" w:styleId="77">
    <w:name w:val="章节题目"/>
    <w:basedOn w:val="1"/>
    <w:next w:val="1"/>
    <w:qFormat/>
    <w:uiPriority w:val="0"/>
    <w:pPr>
      <w:spacing w:line="360" w:lineRule="auto"/>
      <w:jc w:val="left"/>
    </w:pPr>
    <w:rPr>
      <w:rFonts w:ascii="Times New Roman" w:hAnsi="Times New Roman"/>
      <w:spacing w:val="-40"/>
    </w:rPr>
  </w:style>
  <w:style w:type="paragraph" w:customStyle="1" w:styleId="78">
    <w:name w:val="列出段落2"/>
    <w:basedOn w:val="1"/>
    <w:qFormat/>
    <w:uiPriority w:val="0"/>
    <w:pPr>
      <w:spacing w:line="360" w:lineRule="auto"/>
      <w:ind w:firstLine="420" w:firstLineChars="200"/>
    </w:pPr>
    <w:rPr>
      <w:rFonts w:hint="eastAsia" w:cs="Times New Roman"/>
      <w:kern w:val="0"/>
      <w:sz w:val="20"/>
      <w:szCs w:val="20"/>
    </w:rPr>
  </w:style>
  <w:style w:type="paragraph" w:customStyle="1" w:styleId="79">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80">
    <w:name w:val="四级"/>
    <w:basedOn w:val="1"/>
    <w:next w:val="1"/>
    <w:qFormat/>
    <w:uiPriority w:val="0"/>
    <w:pPr>
      <w:keepNext/>
      <w:keepLines/>
      <w:spacing w:before="240" w:after="64" w:line="372" w:lineRule="auto"/>
      <w:ind w:left="862" w:hanging="862"/>
      <w:outlineLvl w:val="4"/>
    </w:pPr>
    <w:rPr>
      <w:rFonts w:hint="eastAsia" w:ascii="Times New Roman" w:hAnsi="Times New Roman" w:eastAsia="黑体" w:cs="Times New Roman"/>
      <w:b/>
      <w:bCs/>
    </w:rPr>
  </w:style>
  <w:style w:type="paragraph" w:customStyle="1" w:styleId="81">
    <w:name w:val="正文1"/>
    <w:basedOn w:val="1"/>
    <w:qFormat/>
    <w:uiPriority w:val="0"/>
    <w:pPr>
      <w:widowControl/>
      <w:ind w:left="200" w:leftChars="200" w:firstLine="480" w:firstLineChars="200"/>
      <w:jc w:val="left"/>
    </w:pPr>
  </w:style>
  <w:style w:type="paragraph" w:customStyle="1" w:styleId="82">
    <w:name w:val="招标文件表格表头"/>
    <w:basedOn w:val="1"/>
    <w:qFormat/>
    <w:uiPriority w:val="0"/>
    <w:pPr>
      <w:jc w:val="center"/>
    </w:pPr>
    <w:rPr>
      <w:rFonts w:eastAsia="黑体" w:cs="Times New Roman"/>
      <w:b/>
    </w:rPr>
  </w:style>
  <w:style w:type="paragraph" w:customStyle="1" w:styleId="83">
    <w:name w:val="招标文件表格主内容"/>
    <w:basedOn w:val="1"/>
    <w:qFormat/>
    <w:uiPriority w:val="0"/>
    <w:pPr>
      <w:spacing w:line="240" w:lineRule="exact"/>
      <w:jc w:val="center"/>
    </w:pPr>
    <w:rPr>
      <w:rFonts w:hint="eastAsia" w:eastAsia="微软雅黑"/>
      <w:sz w:val="22"/>
    </w:rPr>
  </w:style>
  <w:style w:type="paragraph" w:customStyle="1" w:styleId="84">
    <w:name w:val="招标文件表格多段内容"/>
    <w:basedOn w:val="1"/>
    <w:qFormat/>
    <w:uiPriority w:val="0"/>
    <w:pPr>
      <w:spacing w:before="10" w:beforeLines="10" w:line="240" w:lineRule="exact"/>
      <w:ind w:firstLine="400" w:firstLineChars="200"/>
      <w:jc w:val="left"/>
    </w:pPr>
    <w:rPr>
      <w:rFonts w:hint="eastAsia" w:eastAsia="微软雅黑" w:cs="Times New Roman"/>
      <w:sz w:val="20"/>
    </w:rPr>
  </w:style>
  <w:style w:type="paragraph" w:customStyle="1" w:styleId="85">
    <w:name w:val="五级"/>
    <w:basedOn w:val="1"/>
    <w:qFormat/>
    <w:uiPriority w:val="0"/>
    <w:pPr>
      <w:spacing w:after="50" w:afterLines="50"/>
      <w:ind w:firstLine="480" w:firstLineChars="200"/>
      <w:outlineLvl w:val="5"/>
    </w:pPr>
    <w:rPr>
      <w:rFonts w:hint="eastAsia" w:ascii="Times New Roman" w:hAnsi="Times New Roman" w:eastAsia="黑体" w:cs="Times New Roman"/>
    </w:rPr>
  </w:style>
  <w:style w:type="paragraph" w:customStyle="1" w:styleId="86">
    <w:name w:val="GP正文(无首行缩进)"/>
    <w:basedOn w:val="1"/>
    <w:qFormat/>
    <w:uiPriority w:val="0"/>
    <w:pPr>
      <w:spacing w:line="360" w:lineRule="auto"/>
      <w:ind w:firstLine="480" w:firstLineChars="200"/>
      <w:jc w:val="left"/>
    </w:pPr>
    <w:rPr>
      <w:rFonts w:hAnsi="宋体"/>
    </w:rPr>
  </w:style>
  <w:style w:type="character" w:customStyle="1" w:styleId="87">
    <w:name w:val="font11"/>
    <w:basedOn w:val="35"/>
    <w:qFormat/>
    <w:uiPriority w:val="0"/>
    <w:rPr>
      <w:rFonts w:hint="eastAsia" w:ascii="微软雅黑" w:hAnsi="微软雅黑" w:eastAsia="微软雅黑" w:cs="微软雅黑"/>
      <w:b/>
      <w:bCs/>
      <w:color w:val="000000"/>
      <w:sz w:val="22"/>
      <w:szCs w:val="22"/>
      <w:u w:val="none"/>
    </w:rPr>
  </w:style>
  <w:style w:type="character" w:customStyle="1" w:styleId="88">
    <w:name w:val="font31"/>
    <w:basedOn w:val="35"/>
    <w:qFormat/>
    <w:uiPriority w:val="0"/>
    <w:rPr>
      <w:rFonts w:hint="default" w:ascii="Times New Roman" w:hAnsi="Times New Roman" w:cs="Times New Roman"/>
      <w:color w:val="000000"/>
      <w:sz w:val="24"/>
      <w:szCs w:val="24"/>
      <w:u w:val="none"/>
    </w:rPr>
  </w:style>
  <w:style w:type="character" w:customStyle="1" w:styleId="89">
    <w:name w:val="font01"/>
    <w:basedOn w:val="35"/>
    <w:qFormat/>
    <w:uiPriority w:val="0"/>
    <w:rPr>
      <w:rFonts w:hint="eastAsia" w:ascii="宋体" w:hAnsi="宋体" w:eastAsia="宋体" w:cs="宋体"/>
      <w:color w:val="000000"/>
      <w:sz w:val="24"/>
      <w:szCs w:val="24"/>
      <w:u w:val="none"/>
    </w:rPr>
  </w:style>
  <w:style w:type="character" w:customStyle="1" w:styleId="90">
    <w:name w:val="font81"/>
    <w:basedOn w:val="35"/>
    <w:qFormat/>
    <w:uiPriority w:val="0"/>
    <w:rPr>
      <w:rFonts w:hint="eastAsia" w:ascii="宋体" w:hAnsi="宋体" w:eastAsia="宋体" w:cs="宋体"/>
      <w:b/>
      <w:bCs/>
      <w:color w:val="000000"/>
      <w:sz w:val="18"/>
      <w:szCs w:val="18"/>
      <w:u w:val="none"/>
    </w:rPr>
  </w:style>
  <w:style w:type="character" w:customStyle="1" w:styleId="91">
    <w:name w:val="font21"/>
    <w:basedOn w:val="35"/>
    <w:qFormat/>
    <w:uiPriority w:val="0"/>
    <w:rPr>
      <w:rFonts w:hint="eastAsia" w:ascii="宋体" w:hAnsi="宋体" w:eastAsia="宋体" w:cs="宋体"/>
      <w:color w:val="000000"/>
      <w:sz w:val="18"/>
      <w:szCs w:val="18"/>
      <w:u w:val="none"/>
    </w:rPr>
  </w:style>
  <w:style w:type="character" w:customStyle="1" w:styleId="92">
    <w:name w:val="font131"/>
    <w:basedOn w:val="35"/>
    <w:qFormat/>
    <w:uiPriority w:val="0"/>
    <w:rPr>
      <w:rFonts w:hint="eastAsia" w:ascii="宋体" w:hAnsi="宋体" w:eastAsia="宋体" w:cs="宋体"/>
      <w:color w:val="FF0000"/>
      <w:sz w:val="18"/>
      <w:szCs w:val="18"/>
      <w:u w:val="none"/>
    </w:rPr>
  </w:style>
  <w:style w:type="character" w:customStyle="1" w:styleId="93">
    <w:name w:val="font41"/>
    <w:basedOn w:val="35"/>
    <w:qFormat/>
    <w:uiPriority w:val="0"/>
    <w:rPr>
      <w:rFonts w:hint="default" w:ascii="Times New Roman" w:hAnsi="Times New Roman" w:cs="Times New Roman"/>
      <w:color w:val="FF0000"/>
      <w:sz w:val="20"/>
      <w:szCs w:val="20"/>
      <w:u w:val="none"/>
    </w:rPr>
  </w:style>
  <w:style w:type="paragraph" w:customStyle="1" w:styleId="94">
    <w:name w:val="Heading #1|1"/>
    <w:basedOn w:val="1"/>
    <w:qFormat/>
    <w:uiPriority w:val="0"/>
    <w:pPr>
      <w:spacing w:line="526" w:lineRule="exact"/>
      <w:jc w:val="center"/>
      <w:outlineLvl w:val="0"/>
    </w:pPr>
    <w:rPr>
      <w:rFonts w:ascii="宋体" w:hAnsi="宋体" w:eastAsia="宋体"/>
      <w:sz w:val="36"/>
      <w:szCs w:val="36"/>
      <w:lang w:val="zh-TW" w:eastAsia="zh-TW" w:bidi="zh-TW"/>
    </w:rPr>
  </w:style>
  <w:style w:type="paragraph" w:styleId="95">
    <w:name w:val="No Spacing"/>
    <w:qFormat/>
    <w:uiPriority w:val="1"/>
    <w:pPr>
      <w:widowControl w:val="0"/>
      <w:spacing w:line="360" w:lineRule="auto"/>
      <w:jc w:val="both"/>
    </w:pPr>
    <w:rPr>
      <w:rFonts w:ascii="宋体" w:hAnsi="宋体" w:eastAsia="宋体" w:cs="宋体"/>
      <w:kern w:val="2"/>
      <w:sz w:val="24"/>
      <w:szCs w:val="24"/>
      <w:lang w:val="en-US" w:eastAsia="zh-CN" w:bidi="ar-SA"/>
    </w:rPr>
  </w:style>
  <w:style w:type="paragraph" w:customStyle="1" w:styleId="96">
    <w:name w:val="备注"/>
    <w:basedOn w:val="1"/>
    <w:qFormat/>
    <w:uiPriority w:val="0"/>
    <w:pPr>
      <w:spacing w:line="320" w:lineRule="exact"/>
      <w:ind w:firstLine="560" w:firstLineChars="200"/>
      <w:jc w:val="left"/>
    </w:pPr>
    <w:rPr>
      <w:rFonts w:eastAsia="华文细黑" w:asciiTheme="minorAscii" w:hAnsiTheme="minorAscii"/>
      <w:sz w:val="24"/>
    </w:rPr>
  </w:style>
  <w:style w:type="paragraph" w:customStyle="1" w:styleId="97">
    <w:name w:val="_正文"/>
    <w:basedOn w:val="1"/>
    <w:qFormat/>
    <w:uiPriority w:val="0"/>
    <w:pPr>
      <w:spacing w:line="360" w:lineRule="auto"/>
    </w:pPr>
    <w:rPr>
      <w:kern w:val="0"/>
      <w:sz w:val="24"/>
    </w:rPr>
  </w:style>
  <w:style w:type="paragraph" w:customStyle="1" w:styleId="98">
    <w:name w:val="【正文】"/>
    <w:basedOn w:val="1"/>
    <w:qFormat/>
    <w:uiPriority w:val="0"/>
    <w:pPr>
      <w:spacing w:afterLines="50" w:line="360" w:lineRule="auto"/>
      <w:ind w:firstLine="200" w:firstLineChars="200"/>
    </w:pPr>
    <w:rPr>
      <w:rFonts w:ascii="Calibri" w:hAnsi="Calibri" w:cs="黑体"/>
      <w:sz w:val="24"/>
      <w:szCs w:val="21"/>
    </w:rPr>
  </w:style>
  <w:style w:type="table" w:customStyle="1" w:styleId="99">
    <w:name w:val="定制网格型1"/>
    <w:basedOn w:val="33"/>
    <w:qFormat/>
    <w:uiPriority w:val="59"/>
    <w:rPr>
      <w:rFonts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0">
    <w:name w:val="font101"/>
    <w:basedOn w:val="35"/>
    <w:qFormat/>
    <w:uiPriority w:val="0"/>
    <w:rPr>
      <w:rFonts w:ascii="宋体" w:hAnsi="宋体" w:eastAsia="宋体" w:cs="宋体"/>
      <w:color w:val="000000"/>
      <w:sz w:val="22"/>
      <w:szCs w:val="22"/>
      <w:u w:val="none"/>
    </w:rPr>
  </w:style>
  <w:style w:type="character" w:customStyle="1" w:styleId="101">
    <w:name w:val="font51"/>
    <w:basedOn w:val="35"/>
    <w:qFormat/>
    <w:uiPriority w:val="0"/>
    <w:rPr>
      <w:rFonts w:hint="eastAsia" w:ascii="宋体" w:hAnsi="宋体" w:eastAsia="宋体" w:cs="宋体"/>
      <w:color w:val="000000"/>
      <w:sz w:val="22"/>
      <w:szCs w:val="22"/>
      <w:u w:val="none"/>
      <w:vertAlign w:val="superscript"/>
    </w:rPr>
  </w:style>
  <w:style w:type="character" w:customStyle="1" w:styleId="102">
    <w:name w:val="font71"/>
    <w:qFormat/>
    <w:uiPriority w:val="0"/>
    <w:rPr>
      <w:rFonts w:hint="eastAsia" w:ascii="宋体" w:hAnsi="宋体" w:eastAsia="宋体" w:cs="宋体"/>
      <w:color w:val="000000"/>
      <w:sz w:val="21"/>
      <w:szCs w:val="21"/>
      <w:u w:val="none"/>
    </w:rPr>
  </w:style>
  <w:style w:type="character" w:customStyle="1" w:styleId="103">
    <w:name w:val="font61"/>
    <w:basedOn w:val="35"/>
    <w:qFormat/>
    <w:uiPriority w:val="0"/>
    <w:rPr>
      <w:rFonts w:ascii="Nimbus Roman No9 L" w:hAnsi="Nimbus Roman No9 L" w:eastAsia="Nimbus Roman No9 L" w:cs="Nimbus Roman No9 L"/>
      <w:color w:val="000000"/>
      <w:sz w:val="22"/>
      <w:szCs w:val="22"/>
      <w:u w:val="none"/>
    </w:rPr>
  </w:style>
  <w:style w:type="character" w:customStyle="1" w:styleId="104">
    <w:name w:val="font151"/>
    <w:basedOn w:val="35"/>
    <w:qFormat/>
    <w:uiPriority w:val="0"/>
    <w:rPr>
      <w:rFonts w:hint="eastAsia" w:ascii="黑体" w:hAnsi="宋体" w:eastAsia="黑体" w:cs="黑体"/>
      <w:color w:val="000000"/>
      <w:sz w:val="18"/>
      <w:szCs w:val="18"/>
      <w:u w:val="none"/>
    </w:rPr>
  </w:style>
  <w:style w:type="character" w:customStyle="1" w:styleId="105">
    <w:name w:val="font181"/>
    <w:basedOn w:val="3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82</Pages>
  <Words>4567</Words>
  <Characters>5016</Characters>
  <Lines>475</Lines>
  <Paragraphs>133</Paragraphs>
  <TotalTime>49</TotalTime>
  <ScaleCrop>false</ScaleCrop>
  <LinksUpToDate>false</LinksUpToDate>
  <CharactersWithSpaces>5136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2023-02-25T14:45:00Z</dcterms:created>
  <dc:creator>Sugar</dc:creator>
  <cp:lastModifiedBy>Administrator</cp:lastModifiedBy>
  <cp:lastPrinted>2025-04-08T10:17:00Z</cp:lastPrinted>
  <dcterms:modified xsi:type="dcterms:W3CDTF">2026-07-27T00:53:08Z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61E349BAA24248A190FE593DB126DC7C_13</vt:lpwstr>
  </property>
  <property fmtid="{D5CDD505-2E9C-101B-9397-08002B2CF9AE}" pid="4" name="KSOTemplateDocerSaveRecord">
    <vt:lpwstr>eyJoZGlkIjoiODFkNWFlNzc3MTRkMjc5MWIzYjZjYTU1YmQ4Zjk0ZmIiLCJ1c2VySWQiOiIzNDUzNjg3NDkifQ==</vt:lpwstr>
  </property>
</Properties>
</file>