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C4C44">
      <w:pPr>
        <w:keepNext w:val="0"/>
        <w:keepLines w:val="0"/>
        <w:pageBreakBefore w:val="0"/>
        <w:numPr>
          <w:ilvl w:val="0"/>
          <w:numId w:val="0"/>
        </w:numPr>
        <w:kinsoku/>
        <w:wordWrap/>
        <w:overflowPunct/>
        <w:bidi w:val="0"/>
        <w:spacing w:line="460" w:lineRule="exact"/>
        <w:ind w:right="21" w:rightChars="10"/>
        <w:jc w:val="center"/>
        <w:outlineLvl w:val="0"/>
        <w:rPr>
          <w:rFonts w:hint="eastAsia" w:ascii="黑体" w:eastAsia="黑体"/>
          <w:b/>
          <w:color w:val="0C0C0C"/>
          <w:sz w:val="32"/>
          <w:szCs w:val="32"/>
          <w:highlight w:val="none"/>
        </w:rPr>
      </w:pPr>
      <w:r>
        <w:rPr>
          <w:rFonts w:hint="eastAsia" w:ascii="黑体" w:hAnsi="宋体" w:eastAsia="黑体"/>
          <w:b/>
          <w:bCs/>
          <w:color w:val="0C0C0C"/>
          <w:sz w:val="32"/>
          <w:szCs w:val="32"/>
          <w:highlight w:val="none"/>
          <w:lang w:eastAsia="zh-CN"/>
        </w:rPr>
        <w:t>第六章</w:t>
      </w:r>
      <w:r>
        <w:rPr>
          <w:rFonts w:hint="eastAsia" w:ascii="黑体" w:hAnsi="宋体" w:eastAsia="黑体"/>
          <w:b/>
          <w:bCs/>
          <w:color w:val="0C0C0C"/>
          <w:sz w:val="32"/>
          <w:szCs w:val="32"/>
          <w:highlight w:val="none"/>
          <w:lang w:val="en-US" w:eastAsia="zh-CN"/>
        </w:rPr>
        <w:t xml:space="preserve"> </w:t>
      </w:r>
      <w:r>
        <w:rPr>
          <w:rFonts w:hint="eastAsia" w:ascii="黑体" w:eastAsia="黑体"/>
          <w:b/>
          <w:color w:val="0C0C0C"/>
          <w:sz w:val="32"/>
          <w:szCs w:val="32"/>
          <w:highlight w:val="none"/>
        </w:rPr>
        <w:t>采购需求</w:t>
      </w:r>
    </w:p>
    <w:p w14:paraId="5938A05C">
      <w:pPr>
        <w:keepNext w:val="0"/>
        <w:keepLines w:val="0"/>
        <w:pageBreakBefore w:val="0"/>
        <w:widowControl w:val="0"/>
        <w:numPr>
          <w:ilvl w:val="0"/>
          <w:numId w:val="1"/>
        </w:numPr>
        <w:kinsoku/>
        <w:wordWrap/>
        <w:overflowPunct/>
        <w:topLinePunct w:val="0"/>
        <w:autoSpaceDN/>
        <w:bidi w:val="0"/>
        <w:adjustRightInd w:val="0"/>
        <w:snapToGrid w:val="0"/>
        <w:spacing w:line="500" w:lineRule="exact"/>
        <w:textAlignment w:val="auto"/>
        <w:rPr>
          <w:rFonts w:hint="eastAsia" w:ascii="宋体" w:hAnsi="宋体" w:eastAsia="宋体" w:cs="Times New Roman"/>
          <w:b/>
          <w:color w:val="0C0C0C"/>
          <w:sz w:val="21"/>
          <w:szCs w:val="21"/>
          <w:highlight w:val="none"/>
          <w:lang w:eastAsia="zh-CN"/>
        </w:rPr>
      </w:pPr>
      <w:r>
        <w:rPr>
          <w:rFonts w:hint="eastAsia" w:ascii="宋体" w:hAnsi="宋体" w:eastAsia="宋体" w:cs="Times New Roman"/>
          <w:b/>
          <w:color w:val="0C0C0C"/>
          <w:sz w:val="21"/>
          <w:szCs w:val="21"/>
          <w:highlight w:val="none"/>
          <w:lang w:eastAsia="zh-CN"/>
        </w:rPr>
        <w:t>采购项目名称：</w:t>
      </w:r>
      <w:r>
        <w:rPr>
          <w:rFonts w:hint="eastAsia" w:ascii="宋体" w:hAnsi="宋体" w:eastAsia="宋体" w:cs="Times New Roman"/>
          <w:b w:val="0"/>
          <w:bCs/>
          <w:color w:val="0C0C0C"/>
          <w:sz w:val="21"/>
          <w:szCs w:val="21"/>
          <w:highlight w:val="none"/>
          <w:lang w:eastAsia="zh-CN"/>
        </w:rPr>
        <w:t>岳阳市人民医院病房提质改造升级项目（一期工程）洁净手术部净化系统工程</w:t>
      </w:r>
    </w:p>
    <w:p w14:paraId="5C8296C7">
      <w:pPr>
        <w:keepNext w:val="0"/>
        <w:keepLines w:val="0"/>
        <w:pageBreakBefore w:val="0"/>
        <w:widowControl w:val="0"/>
        <w:numPr>
          <w:ilvl w:val="0"/>
          <w:numId w:val="1"/>
        </w:numPr>
        <w:kinsoku/>
        <w:wordWrap/>
        <w:overflowPunct/>
        <w:topLinePunct w:val="0"/>
        <w:autoSpaceDN/>
        <w:bidi w:val="0"/>
        <w:adjustRightInd w:val="0"/>
        <w:snapToGrid w:val="0"/>
        <w:spacing w:line="500" w:lineRule="exact"/>
        <w:ind w:left="0" w:leftChars="0" w:firstLine="0" w:firstLineChars="0"/>
        <w:jc w:val="both"/>
        <w:textAlignment w:val="auto"/>
        <w:rPr>
          <w:rFonts w:hint="eastAsia" w:ascii="宋体" w:hAnsi="宋体"/>
          <w:b/>
          <w:color w:val="0C0C0C"/>
          <w:sz w:val="21"/>
          <w:szCs w:val="21"/>
          <w:highlight w:val="none"/>
          <w:lang w:eastAsia="zh-CN"/>
        </w:rPr>
      </w:pPr>
      <w:bookmarkStart w:id="0" w:name="_Toc300678508"/>
      <w:r>
        <w:rPr>
          <w:rFonts w:hint="eastAsia" w:ascii="宋体" w:hAnsi="宋体"/>
          <w:b/>
          <w:color w:val="0C0C0C"/>
          <w:sz w:val="21"/>
          <w:szCs w:val="21"/>
          <w:highlight w:val="none"/>
          <w:lang w:eastAsia="zh-CN"/>
        </w:rPr>
        <w:t>工程条件</w:t>
      </w:r>
    </w:p>
    <w:p w14:paraId="59AB5FB8">
      <w:pPr>
        <w:keepNext w:val="0"/>
        <w:keepLines w:val="0"/>
        <w:pageBreakBefore w:val="0"/>
        <w:widowControl w:val="0"/>
        <w:numPr>
          <w:ilvl w:val="0"/>
          <w:numId w:val="0"/>
        </w:numPr>
        <w:kinsoku/>
        <w:wordWrap/>
        <w:overflowPunct/>
        <w:topLinePunct w:val="0"/>
        <w:autoSpaceDN/>
        <w:bidi w:val="0"/>
        <w:adjustRightInd w:val="0"/>
        <w:snapToGrid w:val="0"/>
        <w:spacing w:line="500" w:lineRule="exact"/>
        <w:ind w:leftChars="0" w:firstLine="420" w:firstLineChars="200"/>
        <w:jc w:val="both"/>
        <w:textAlignment w:val="auto"/>
        <w:rPr>
          <w:rFonts w:hint="eastAsia" w:ascii="宋体" w:hAnsi="宋体"/>
          <w:b/>
          <w:color w:val="auto"/>
          <w:sz w:val="21"/>
          <w:szCs w:val="21"/>
          <w:highlight w:val="none"/>
          <w:lang w:eastAsia="zh-CN"/>
        </w:rPr>
      </w:pPr>
      <w:r>
        <w:rPr>
          <w:rFonts w:hint="eastAsia" w:ascii="Times New Roman" w:hAnsi="Times New Roman" w:eastAsia="宋体" w:cs="Times New Roman"/>
          <w:color w:val="auto"/>
          <w:sz w:val="21"/>
          <w:szCs w:val="21"/>
          <w:lang w:val="en-US" w:eastAsia="zh-CN"/>
        </w:rPr>
        <w:t>本项目工程地位于岳阳市巴陵东路263号（岳阳市人民医院），新手术部布置在4#楼8楼，4#楼8楼ICU重症监护病房改造为7间洁净手术用病房，改造面积890平方米。本项目实施须符合国</w:t>
      </w:r>
      <w:r>
        <w:rPr>
          <w:rFonts w:hint="eastAsia"/>
          <w:color w:val="auto"/>
          <w:sz w:val="21"/>
          <w:szCs w:val="21"/>
          <w:lang w:val="en-US" w:eastAsia="zh-CN"/>
        </w:rPr>
        <w:t>家规范的施工标准、合理的施工工艺及技术方案‌。施工前需根据设计细节选择成熟的工艺以保证质量‌。需确保施工道路畅通，并减少对环境的污染‌。</w:t>
      </w:r>
    </w:p>
    <w:bookmarkEnd w:id="0"/>
    <w:p w14:paraId="3FDA1148">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ind w:left="0" w:leftChars="0" w:right="23" w:rightChars="11" w:firstLine="0" w:firstLineChars="0"/>
        <w:textAlignment w:val="auto"/>
        <w:rPr>
          <w:rFonts w:hint="eastAsia" w:ascii="宋体" w:hAnsi="宋体"/>
          <w:b/>
          <w:color w:val="auto"/>
          <w:sz w:val="21"/>
          <w:szCs w:val="21"/>
          <w:highlight w:val="none"/>
          <w:lang w:val="en-US" w:eastAsia="zh-CN"/>
        </w:rPr>
      </w:pPr>
      <w:bookmarkStart w:id="1" w:name="_Toc225336549"/>
      <w:r>
        <w:rPr>
          <w:rFonts w:hint="eastAsia" w:ascii="宋体" w:hAnsi="宋体"/>
          <w:b/>
          <w:color w:val="auto"/>
          <w:sz w:val="21"/>
          <w:szCs w:val="21"/>
          <w:highlight w:val="none"/>
          <w:lang w:val="en-US" w:eastAsia="zh-CN"/>
        </w:rPr>
        <w:t>工程基本情况</w:t>
      </w:r>
    </w:p>
    <w:p w14:paraId="20A49241">
      <w:pPr>
        <w:keepNext w:val="0"/>
        <w:keepLines w:val="0"/>
        <w:pageBreakBefore w:val="0"/>
        <w:widowControl w:val="0"/>
        <w:numPr>
          <w:ilvl w:val="0"/>
          <w:numId w:val="0"/>
        </w:numPr>
        <w:kinsoku/>
        <w:wordWrap/>
        <w:overflowPunct/>
        <w:topLinePunct w:val="0"/>
        <w:autoSpaceDN/>
        <w:bidi w:val="0"/>
        <w:adjustRightInd w:val="0"/>
        <w:snapToGrid w:val="0"/>
        <w:spacing w:line="500" w:lineRule="exact"/>
        <w:ind w:firstLine="420" w:firstLineChars="200"/>
        <w:textAlignment w:val="auto"/>
        <w:rPr>
          <w:rFonts w:hint="default" w:ascii="宋体" w:hAnsi="宋体" w:eastAsia="宋体" w:cs="Times New Roman"/>
          <w:b/>
          <w:color w:val="auto"/>
          <w:sz w:val="21"/>
          <w:szCs w:val="21"/>
          <w:highlight w:val="none"/>
          <w:lang w:val="en-US" w:eastAsia="zh-CN"/>
        </w:rPr>
      </w:pPr>
      <w:r>
        <w:rPr>
          <w:rFonts w:hint="eastAsia"/>
          <w:color w:val="auto"/>
          <w:sz w:val="21"/>
          <w:szCs w:val="21"/>
          <w:lang w:eastAsia="zh-CN"/>
        </w:rPr>
        <w:t>本项目建设地点位于岳阳市巴陵东路263号（岳阳市人民医院），</w:t>
      </w:r>
      <w:r>
        <w:rPr>
          <w:rFonts w:hint="eastAsia"/>
          <w:color w:val="auto"/>
          <w:sz w:val="21"/>
          <w:szCs w:val="21"/>
          <w:lang w:val="en-US" w:eastAsia="zh-CN"/>
        </w:rPr>
        <w:t>本项目主要内容为装饰改造工程、建筑改造工程、强电工程、给排水工程、消防工程、智能化工程、暖通工程、医疗气体工程、抗震支架、拆除工程等，详见本项目工程量清单</w:t>
      </w:r>
      <w:r>
        <w:rPr>
          <w:rFonts w:hint="eastAsia"/>
          <w:color w:val="auto"/>
          <w:sz w:val="21"/>
          <w:szCs w:val="21"/>
          <w:lang w:eastAsia="zh-CN"/>
        </w:rPr>
        <w:t>。</w:t>
      </w:r>
    </w:p>
    <w:p w14:paraId="5FFA653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right="23" w:rightChars="11"/>
        <w:textAlignment w:val="auto"/>
        <w:rPr>
          <w:rFonts w:hint="eastAsia" w:ascii="宋体" w:hAnsi="宋体"/>
          <w:b/>
          <w:color w:val="0C0C0C"/>
          <w:sz w:val="21"/>
          <w:szCs w:val="21"/>
          <w:highlight w:val="none"/>
          <w:lang w:val="en-US" w:eastAsia="zh-CN"/>
        </w:rPr>
      </w:pPr>
      <w:r>
        <w:rPr>
          <w:rFonts w:hint="eastAsia" w:ascii="宋体" w:hAnsi="宋体"/>
          <w:b/>
          <w:color w:val="000000"/>
          <w:sz w:val="21"/>
          <w:szCs w:val="21"/>
          <w:highlight w:val="none"/>
          <w:lang w:val="en-US" w:eastAsia="zh-CN"/>
        </w:rPr>
        <w:t>四、工程承</w:t>
      </w:r>
      <w:r>
        <w:rPr>
          <w:rFonts w:hint="eastAsia" w:ascii="宋体" w:hAnsi="宋体"/>
          <w:b/>
          <w:color w:val="0C0C0C"/>
          <w:sz w:val="21"/>
          <w:szCs w:val="21"/>
          <w:highlight w:val="none"/>
          <w:lang w:val="en-US" w:eastAsia="zh-CN"/>
        </w:rPr>
        <w:t>包范围</w:t>
      </w:r>
    </w:p>
    <w:p w14:paraId="778F2266">
      <w:pPr>
        <w:keepNext w:val="0"/>
        <w:keepLines w:val="0"/>
        <w:pageBreakBefore w:val="0"/>
        <w:widowControl w:val="0"/>
        <w:numPr>
          <w:ilvl w:val="0"/>
          <w:numId w:val="0"/>
        </w:numPr>
        <w:kinsoku/>
        <w:wordWrap/>
        <w:overflowPunct/>
        <w:topLinePunct w:val="0"/>
        <w:autoSpaceDN/>
        <w:bidi w:val="0"/>
        <w:adjustRightInd w:val="0"/>
        <w:snapToGrid w:val="0"/>
        <w:spacing w:line="500" w:lineRule="exact"/>
        <w:ind w:firstLine="420" w:firstLineChars="200"/>
        <w:textAlignment w:val="auto"/>
        <w:rPr>
          <w:rFonts w:hint="default" w:ascii="宋体" w:hAnsi="宋体" w:eastAsia="宋体" w:cs="Times New Roman"/>
          <w:b/>
          <w:color w:val="0C0C0C"/>
          <w:sz w:val="21"/>
          <w:szCs w:val="21"/>
          <w:highlight w:val="none"/>
          <w:lang w:val="en-US" w:eastAsia="zh-CN"/>
        </w:rPr>
      </w:pPr>
      <w:r>
        <w:rPr>
          <w:rFonts w:hint="eastAsia"/>
          <w:color w:val="0C0C0C"/>
          <w:sz w:val="21"/>
          <w:szCs w:val="21"/>
          <w:lang w:eastAsia="zh-CN"/>
        </w:rPr>
        <w:t>岳阳市人民医院病房提质改造升级项目（一期工程）洁净手术部净化系统工程建设规模范围内的施工，包括工程施工等以及所有资料文件、施工阶段配合及缺陷责任期服务（具体以采购人按程序组织审定的施工图和工程量清单为准）</w:t>
      </w:r>
    </w:p>
    <w:p w14:paraId="07209049">
      <w:pPr>
        <w:keepNext w:val="0"/>
        <w:keepLines w:val="0"/>
        <w:pageBreakBefore w:val="0"/>
        <w:widowControl w:val="0"/>
        <w:numPr>
          <w:ilvl w:val="0"/>
          <w:numId w:val="2"/>
        </w:numPr>
        <w:kinsoku/>
        <w:wordWrap/>
        <w:overflowPunct/>
        <w:topLinePunct w:val="0"/>
        <w:autoSpaceDE/>
        <w:autoSpaceDN/>
        <w:bidi w:val="0"/>
        <w:adjustRightInd w:val="0"/>
        <w:snapToGrid w:val="0"/>
        <w:spacing w:line="500" w:lineRule="exact"/>
        <w:ind w:leftChars="0" w:right="23" w:rightChars="11"/>
        <w:textAlignment w:val="auto"/>
        <w:rPr>
          <w:rFonts w:hint="eastAsia" w:ascii="宋体" w:hAnsi="宋体" w:eastAsia="宋体" w:cs="Times New Roman"/>
          <w:b/>
          <w:color w:val="0C0C0C"/>
          <w:sz w:val="21"/>
          <w:szCs w:val="21"/>
          <w:highlight w:val="none"/>
          <w:lang w:val="en-US" w:eastAsia="zh-CN"/>
        </w:rPr>
      </w:pPr>
      <w:r>
        <w:rPr>
          <w:rFonts w:hint="eastAsia" w:ascii="宋体" w:hAnsi="宋体" w:eastAsia="宋体" w:cs="Times New Roman"/>
          <w:b/>
          <w:color w:val="000000"/>
          <w:sz w:val="21"/>
          <w:szCs w:val="21"/>
          <w:highlight w:val="none"/>
          <w:lang w:val="en-US" w:eastAsia="zh-CN"/>
        </w:rPr>
        <w:t>项目清</w:t>
      </w:r>
      <w:r>
        <w:rPr>
          <w:rFonts w:hint="eastAsia" w:ascii="宋体" w:hAnsi="宋体" w:eastAsia="宋体" w:cs="Times New Roman"/>
          <w:b/>
          <w:color w:val="0C0C0C"/>
          <w:sz w:val="21"/>
          <w:szCs w:val="21"/>
          <w:highlight w:val="none"/>
          <w:lang w:val="en-US" w:eastAsia="zh-CN"/>
        </w:rPr>
        <w:t>单及说明</w:t>
      </w:r>
    </w:p>
    <w:p w14:paraId="46B6ADDD">
      <w:pPr>
        <w:keepNext w:val="0"/>
        <w:keepLines w:val="0"/>
        <w:pageBreakBefore w:val="0"/>
        <w:widowControl w:val="0"/>
        <w:numPr>
          <w:ilvl w:val="0"/>
          <w:numId w:val="0"/>
        </w:numPr>
        <w:kinsoku/>
        <w:wordWrap/>
        <w:overflowPunct/>
        <w:topLinePunct w:val="0"/>
        <w:autoSpaceDN/>
        <w:bidi w:val="0"/>
        <w:adjustRightInd w:val="0"/>
        <w:snapToGrid w:val="0"/>
        <w:spacing w:line="500" w:lineRule="exact"/>
        <w:ind w:firstLine="420" w:firstLineChars="200"/>
        <w:textAlignment w:val="auto"/>
        <w:rPr>
          <w:rFonts w:hint="eastAsia" w:ascii="Times New Roman" w:hAnsi="Times New Roman" w:eastAsia="宋体" w:cs="Times New Roman"/>
          <w:color w:val="0C0C0C"/>
          <w:sz w:val="21"/>
          <w:szCs w:val="21"/>
          <w:lang w:val="en-US" w:eastAsia="zh-CN"/>
        </w:rPr>
      </w:pPr>
      <w:r>
        <w:rPr>
          <w:rFonts w:hint="eastAsia" w:ascii="Times New Roman" w:hAnsi="Times New Roman" w:eastAsia="宋体" w:cs="Times New Roman"/>
          <w:color w:val="0C0C0C"/>
          <w:sz w:val="21"/>
          <w:szCs w:val="21"/>
          <w:lang w:val="en-US" w:eastAsia="zh-CN"/>
        </w:rPr>
        <w:t>5.1清单效力：本项目工程量清单及清单说明作为磋商文件组成部分，与磋商文件、设计文件、合同条款具有同等法律效力，是供应商报价、工程施工、工程量计量、竣工结算的依据，供应商需仔细核对清单内容，确认无遗漏、无错误后再进行报价。</w:t>
      </w:r>
    </w:p>
    <w:p w14:paraId="3F48BDF4">
      <w:pPr>
        <w:keepNext w:val="0"/>
        <w:keepLines w:val="0"/>
        <w:pageBreakBefore w:val="0"/>
        <w:widowControl w:val="0"/>
        <w:numPr>
          <w:ilvl w:val="0"/>
          <w:numId w:val="0"/>
        </w:numPr>
        <w:kinsoku/>
        <w:wordWrap/>
        <w:overflowPunct/>
        <w:topLinePunct w:val="0"/>
        <w:autoSpaceDN/>
        <w:bidi w:val="0"/>
        <w:adjustRightInd w:val="0"/>
        <w:snapToGrid w:val="0"/>
        <w:spacing w:line="500" w:lineRule="exact"/>
        <w:ind w:firstLine="420" w:firstLineChars="200"/>
        <w:textAlignment w:val="auto"/>
        <w:rPr>
          <w:rFonts w:hint="eastAsia" w:ascii="Times New Roman" w:hAnsi="Times New Roman" w:eastAsia="宋体" w:cs="Times New Roman"/>
          <w:color w:val="0C0C0C"/>
          <w:sz w:val="21"/>
          <w:szCs w:val="21"/>
          <w:lang w:val="en-US" w:eastAsia="zh-CN"/>
        </w:rPr>
      </w:pPr>
      <w:r>
        <w:rPr>
          <w:rFonts w:hint="eastAsia" w:ascii="Times New Roman" w:hAnsi="Times New Roman" w:eastAsia="宋体" w:cs="Times New Roman"/>
          <w:color w:val="0C0C0C"/>
          <w:sz w:val="21"/>
          <w:szCs w:val="21"/>
          <w:lang w:val="en-US" w:eastAsia="zh-CN"/>
        </w:rPr>
        <w:t>5.2清单说明：</w:t>
      </w:r>
    </w:p>
    <w:p w14:paraId="26C6B81F">
      <w:pPr>
        <w:keepNext w:val="0"/>
        <w:keepLines w:val="0"/>
        <w:pageBreakBefore w:val="0"/>
        <w:widowControl w:val="0"/>
        <w:numPr>
          <w:ilvl w:val="0"/>
          <w:numId w:val="0"/>
        </w:numPr>
        <w:kinsoku/>
        <w:wordWrap/>
        <w:overflowPunct/>
        <w:topLinePunct w:val="0"/>
        <w:autoSpaceDN/>
        <w:bidi w:val="0"/>
        <w:adjustRightInd w:val="0"/>
        <w:snapToGrid w:val="0"/>
        <w:spacing w:line="500" w:lineRule="exact"/>
        <w:ind w:firstLine="420" w:firstLineChars="200"/>
        <w:textAlignment w:val="auto"/>
        <w:rPr>
          <w:rFonts w:hint="eastAsia" w:ascii="Times New Roman" w:hAnsi="Times New Roman" w:eastAsia="宋体" w:cs="Times New Roman"/>
          <w:color w:val="0C0C0C"/>
          <w:sz w:val="21"/>
          <w:szCs w:val="21"/>
          <w:lang w:val="en-US" w:eastAsia="zh-CN"/>
        </w:rPr>
      </w:pPr>
      <w:r>
        <w:rPr>
          <w:rFonts w:hint="eastAsia" w:ascii="Times New Roman" w:hAnsi="Times New Roman" w:eastAsia="宋体" w:cs="Times New Roman"/>
          <w:color w:val="0C0C0C"/>
          <w:sz w:val="21"/>
          <w:szCs w:val="21"/>
          <w:lang w:val="en-US" w:eastAsia="zh-CN"/>
        </w:rPr>
        <w:t>（1）供应商报价时需充分考虑施工过程中的合理损耗、现场实际施工条件等因素，损耗费用已包含在投标报价中，采购人不再额外支付；</w:t>
      </w:r>
    </w:p>
    <w:p w14:paraId="640A12B8">
      <w:pPr>
        <w:keepNext w:val="0"/>
        <w:keepLines w:val="0"/>
        <w:pageBreakBefore w:val="0"/>
        <w:widowControl w:val="0"/>
        <w:numPr>
          <w:ilvl w:val="0"/>
          <w:numId w:val="0"/>
        </w:numPr>
        <w:kinsoku/>
        <w:wordWrap/>
        <w:overflowPunct/>
        <w:topLinePunct w:val="0"/>
        <w:autoSpaceDN/>
        <w:bidi w:val="0"/>
        <w:adjustRightInd w:val="0"/>
        <w:snapToGrid w:val="0"/>
        <w:spacing w:line="500" w:lineRule="exact"/>
        <w:ind w:firstLine="420" w:firstLineChars="200"/>
        <w:textAlignment w:val="auto"/>
        <w:rPr>
          <w:rFonts w:hint="eastAsia" w:ascii="Times New Roman" w:hAnsi="Times New Roman" w:eastAsia="宋体" w:cs="Times New Roman"/>
          <w:color w:val="0C0C0C"/>
          <w:sz w:val="21"/>
          <w:szCs w:val="21"/>
          <w:lang w:val="en-US" w:eastAsia="zh-CN"/>
        </w:rPr>
      </w:pPr>
      <w:r>
        <w:rPr>
          <w:rFonts w:hint="eastAsia" w:ascii="Times New Roman" w:hAnsi="Times New Roman" w:eastAsia="宋体" w:cs="Times New Roman"/>
          <w:color w:val="0C0C0C"/>
          <w:sz w:val="21"/>
          <w:szCs w:val="21"/>
          <w:lang w:val="en-US" w:eastAsia="zh-CN"/>
        </w:rPr>
        <w:t>（2）清单未列明但为完成本工程所必需的辅助工作，均视为包含在相关项目报价中，供应商需完成，采购人不额外支付费用。</w:t>
      </w:r>
    </w:p>
    <w:p w14:paraId="7547C20C">
      <w:pPr>
        <w:keepNext w:val="0"/>
        <w:keepLines w:val="0"/>
        <w:pageBreakBefore w:val="0"/>
        <w:widowControl w:val="0"/>
        <w:numPr>
          <w:ilvl w:val="0"/>
          <w:numId w:val="0"/>
        </w:numPr>
        <w:kinsoku/>
        <w:wordWrap/>
        <w:overflowPunct/>
        <w:topLinePunct w:val="0"/>
        <w:autoSpaceDN/>
        <w:bidi w:val="0"/>
        <w:adjustRightInd w:val="0"/>
        <w:snapToGrid w:val="0"/>
        <w:spacing w:line="500" w:lineRule="exact"/>
        <w:ind w:firstLine="420" w:firstLineChars="200"/>
        <w:textAlignment w:val="auto"/>
        <w:rPr>
          <w:rFonts w:hint="eastAsia" w:ascii="Times New Roman" w:hAnsi="Times New Roman" w:eastAsia="宋体" w:cs="Times New Roman"/>
          <w:color w:val="0C0C0C"/>
          <w:sz w:val="21"/>
          <w:szCs w:val="21"/>
          <w:lang w:val="en-US" w:eastAsia="zh-CN"/>
        </w:rPr>
      </w:pPr>
      <w:r>
        <w:rPr>
          <w:rFonts w:hint="eastAsia" w:ascii="Times New Roman" w:hAnsi="Times New Roman" w:eastAsia="宋体" w:cs="Times New Roman"/>
          <w:color w:val="0C0C0C"/>
          <w:sz w:val="21"/>
          <w:szCs w:val="21"/>
          <w:lang w:val="en-US" w:eastAsia="zh-CN"/>
        </w:rPr>
        <w:t>5.3</w:t>
      </w:r>
      <w:r>
        <w:rPr>
          <w:rFonts w:hint="eastAsia" w:ascii="Times New Roman" w:hAnsi="Times New Roman" w:eastAsia="宋体" w:cs="Times New Roman"/>
          <w:b/>
          <w:bCs/>
          <w:color w:val="0C0C0C"/>
          <w:sz w:val="21"/>
          <w:szCs w:val="21"/>
          <w:lang w:val="en-US" w:eastAsia="zh-CN"/>
        </w:rPr>
        <w:t>工程量清单另册</w:t>
      </w:r>
      <w:r>
        <w:rPr>
          <w:rFonts w:hint="eastAsia" w:ascii="Times New Roman" w:hAnsi="Times New Roman" w:eastAsia="宋体" w:cs="Times New Roman"/>
          <w:color w:val="0C0C0C"/>
          <w:sz w:val="21"/>
          <w:szCs w:val="21"/>
          <w:lang w:val="en-US" w:eastAsia="zh-CN"/>
        </w:rPr>
        <w:t>。</w:t>
      </w:r>
    </w:p>
    <w:p w14:paraId="736C82C6">
      <w:pPr>
        <w:keepNext w:val="0"/>
        <w:keepLines w:val="0"/>
        <w:pageBreakBefore w:val="0"/>
        <w:widowControl w:val="0"/>
        <w:numPr>
          <w:ilvl w:val="0"/>
          <w:numId w:val="0"/>
        </w:numPr>
        <w:kinsoku/>
        <w:wordWrap/>
        <w:overflowPunct/>
        <w:topLinePunct w:val="0"/>
        <w:autoSpaceDN/>
        <w:bidi w:val="0"/>
        <w:adjustRightInd w:val="0"/>
        <w:snapToGrid w:val="0"/>
        <w:spacing w:line="500" w:lineRule="exact"/>
        <w:ind w:firstLine="422" w:firstLineChars="200"/>
        <w:jc w:val="center"/>
        <w:textAlignment w:val="auto"/>
        <w:rPr>
          <w:rFonts w:hint="default" w:ascii="Times New Roman" w:hAnsi="Times New Roman" w:eastAsia="宋体" w:cs="Times New Roman"/>
          <w:b/>
          <w:bCs/>
          <w:color w:val="0C0C0C"/>
          <w:sz w:val="21"/>
          <w:szCs w:val="21"/>
          <w:lang w:val="en-US" w:eastAsia="zh-CN"/>
        </w:rPr>
      </w:pPr>
      <w:r>
        <w:rPr>
          <w:rFonts w:hint="eastAsia" w:ascii="Times New Roman" w:hAnsi="Times New Roman" w:eastAsia="宋体" w:cs="Times New Roman"/>
          <w:b/>
          <w:bCs/>
          <w:color w:val="0C0C0C"/>
          <w:sz w:val="21"/>
          <w:szCs w:val="21"/>
          <w:lang w:val="en-US" w:eastAsia="zh-CN"/>
        </w:rPr>
        <w:t>5.4主要设备材料技术参数要求</w:t>
      </w:r>
    </w:p>
    <w:p w14:paraId="4878D687">
      <w:pPr>
        <w:pStyle w:val="6"/>
        <w:spacing w:line="360" w:lineRule="auto"/>
        <w:ind w:left="0" w:leftChars="0" w:firstLine="0" w:firstLineChars="0"/>
        <w:jc w:val="center"/>
        <w:outlineLvl w:val="1"/>
        <w:rPr>
          <w:rFonts w:hint="eastAsia"/>
          <w:b/>
          <w:bCs/>
          <w:sz w:val="28"/>
          <w:szCs w:val="28"/>
          <w:lang w:val="en-US" w:eastAsia="zh-CN"/>
        </w:rPr>
      </w:pPr>
    </w:p>
    <w:p w14:paraId="6591D942">
      <w:pPr>
        <w:pStyle w:val="6"/>
        <w:spacing w:line="360" w:lineRule="auto"/>
        <w:ind w:left="0" w:leftChars="0" w:firstLine="0" w:firstLineChars="0"/>
        <w:jc w:val="both"/>
        <w:outlineLvl w:val="1"/>
        <w:rPr>
          <w:rFonts w:hint="eastAsia"/>
          <w:b w:val="0"/>
          <w:bCs w:val="0"/>
          <w:sz w:val="28"/>
          <w:szCs w:val="28"/>
          <w:lang w:val="en-US" w:eastAsia="zh-CN"/>
        </w:rPr>
      </w:pPr>
      <w:r>
        <w:rPr>
          <w:rFonts w:hint="eastAsia"/>
          <w:b w:val="0"/>
          <w:bCs w:val="0"/>
          <w:strike w:val="0"/>
          <w:sz w:val="28"/>
          <w:szCs w:val="28"/>
          <w:lang w:val="en-US" w:eastAsia="zh-CN"/>
        </w:rPr>
        <w:t>一、医用橡胶卷材</w:t>
      </w:r>
      <w:r>
        <w:rPr>
          <w:rFonts w:hint="eastAsia"/>
          <w:b w:val="0"/>
          <w:bCs w:val="0"/>
          <w:sz w:val="28"/>
          <w:szCs w:val="28"/>
          <w:lang w:val="en-US" w:eastAsia="zh-CN"/>
        </w:rPr>
        <w:t>地板</w:t>
      </w:r>
    </w:p>
    <w:p w14:paraId="5029DE59">
      <w:pPr>
        <w:pStyle w:val="6"/>
        <w:ind w:left="0" w:leftChars="0" w:firstLine="0" w:firstLineChars="0"/>
        <w:rPr>
          <w:rFonts w:hint="eastAsia"/>
          <w:sz w:val="22"/>
          <w:szCs w:val="22"/>
          <w:lang w:val="en-US" w:eastAsia="en-US"/>
        </w:rPr>
      </w:pPr>
      <w:r>
        <w:rPr>
          <w:rFonts w:hint="eastAsia"/>
          <w:sz w:val="22"/>
          <w:szCs w:val="22"/>
          <w:lang w:val="en-US" w:eastAsia="zh-CN"/>
        </w:rPr>
        <w:t>1、</w:t>
      </w:r>
      <w:r>
        <w:rPr>
          <w:rFonts w:hint="eastAsia"/>
          <w:sz w:val="22"/>
          <w:szCs w:val="22"/>
          <w:lang w:val="en-US" w:eastAsia="en-US"/>
        </w:rPr>
        <w:t>找平层：</w:t>
      </w:r>
      <w:r>
        <w:rPr>
          <w:rFonts w:hint="eastAsia"/>
          <w:sz w:val="22"/>
          <w:szCs w:val="22"/>
          <w:lang w:val="en-US" w:eastAsia="zh-CN"/>
        </w:rPr>
        <w:t>≤50</w:t>
      </w:r>
      <w:r>
        <w:rPr>
          <w:rFonts w:hint="eastAsia"/>
          <w:sz w:val="22"/>
          <w:szCs w:val="22"/>
          <w:lang w:val="en-US" w:eastAsia="en-US"/>
        </w:rPr>
        <w:t>mm厚水泥砂浆</w:t>
      </w:r>
      <w:r>
        <w:rPr>
          <w:rFonts w:hint="eastAsia"/>
          <w:sz w:val="22"/>
          <w:szCs w:val="22"/>
          <w:lang w:val="en-US" w:eastAsia="zh-CN"/>
        </w:rPr>
        <w:t>；</w:t>
      </w:r>
      <w:r>
        <w:rPr>
          <w:rFonts w:hint="eastAsia"/>
          <w:sz w:val="22"/>
          <w:szCs w:val="22"/>
          <w:lang w:val="en-US" w:eastAsia="en-US"/>
        </w:rPr>
        <w:t xml:space="preserve"> </w:t>
      </w:r>
    </w:p>
    <w:p w14:paraId="5F12B49D">
      <w:pPr>
        <w:pStyle w:val="6"/>
        <w:ind w:left="0" w:leftChars="0" w:firstLine="0" w:firstLineChars="0"/>
        <w:rPr>
          <w:rFonts w:hint="eastAsia" w:eastAsia="宋体"/>
          <w:sz w:val="22"/>
          <w:szCs w:val="22"/>
          <w:lang w:val="en-US" w:eastAsia="zh-CN"/>
        </w:rPr>
      </w:pPr>
      <w:r>
        <w:rPr>
          <w:rFonts w:hint="eastAsia"/>
          <w:sz w:val="22"/>
          <w:szCs w:val="22"/>
          <w:lang w:val="en-US" w:eastAsia="zh-CN"/>
        </w:rPr>
        <w:t>2、</w:t>
      </w:r>
      <w:r>
        <w:rPr>
          <w:rFonts w:hint="eastAsia"/>
          <w:sz w:val="22"/>
          <w:szCs w:val="22"/>
          <w:lang w:val="en-US" w:eastAsia="en-US"/>
        </w:rPr>
        <w:t>自流平：3mm厚水泥基自流平砂浆</w:t>
      </w:r>
      <w:r>
        <w:rPr>
          <w:rFonts w:hint="eastAsia"/>
          <w:sz w:val="22"/>
          <w:szCs w:val="22"/>
          <w:lang w:val="en-US" w:eastAsia="zh-CN"/>
        </w:rPr>
        <w:t>；</w:t>
      </w:r>
    </w:p>
    <w:p w14:paraId="6F28FB97">
      <w:pPr>
        <w:pStyle w:val="6"/>
        <w:ind w:left="0" w:leftChars="0" w:firstLine="0" w:firstLineChars="0"/>
        <w:rPr>
          <w:rFonts w:hint="eastAsia" w:eastAsia="宋体"/>
          <w:sz w:val="22"/>
          <w:szCs w:val="22"/>
          <w:lang w:val="en-US" w:eastAsia="zh-CN"/>
        </w:rPr>
      </w:pPr>
      <w:r>
        <w:rPr>
          <w:rFonts w:hint="eastAsia"/>
          <w:sz w:val="22"/>
          <w:szCs w:val="22"/>
          <w:lang w:val="en-US" w:eastAsia="zh-CN"/>
        </w:rPr>
        <w:t>3、</w:t>
      </w:r>
      <w:r>
        <w:rPr>
          <w:rFonts w:hint="eastAsia"/>
          <w:sz w:val="22"/>
          <w:szCs w:val="22"/>
          <w:lang w:val="en-US" w:eastAsia="en-US"/>
        </w:rPr>
        <w:t>面层:</w:t>
      </w:r>
      <w:r>
        <w:rPr>
          <w:rFonts w:hint="eastAsia"/>
          <w:sz w:val="22"/>
          <w:szCs w:val="22"/>
          <w:lang w:val="en-US" w:eastAsia="zh-CN"/>
        </w:rPr>
        <w:t>3</w:t>
      </w:r>
      <w:r>
        <w:rPr>
          <w:rFonts w:hint="eastAsia"/>
          <w:sz w:val="22"/>
          <w:szCs w:val="22"/>
          <w:lang w:val="en-US" w:eastAsia="en-US"/>
        </w:rPr>
        <w:t>mm</w:t>
      </w:r>
      <w:r>
        <w:rPr>
          <w:rFonts w:hint="eastAsia"/>
          <w:sz w:val="22"/>
          <w:szCs w:val="22"/>
          <w:lang w:val="en-US" w:eastAsia="zh-CN"/>
        </w:rPr>
        <w:t>医用橡胶卷材</w:t>
      </w:r>
      <w:r>
        <w:rPr>
          <w:rFonts w:hint="eastAsia"/>
          <w:sz w:val="22"/>
          <w:szCs w:val="22"/>
          <w:lang w:val="en-US" w:eastAsia="en-US"/>
        </w:rPr>
        <w:t>地板粘结</w:t>
      </w:r>
      <w:r>
        <w:rPr>
          <w:rFonts w:hint="eastAsia"/>
          <w:sz w:val="22"/>
          <w:szCs w:val="22"/>
          <w:lang w:val="en-US" w:eastAsia="zh-CN"/>
        </w:rPr>
        <w:t>，防滑、耐磨、耐污、抗菌、防火；</w:t>
      </w:r>
    </w:p>
    <w:p w14:paraId="3B092D7E">
      <w:pPr>
        <w:pStyle w:val="6"/>
        <w:ind w:left="0" w:leftChars="0" w:firstLine="0" w:firstLineChars="0"/>
        <w:rPr>
          <w:rFonts w:hint="eastAsia"/>
          <w:sz w:val="22"/>
          <w:szCs w:val="22"/>
          <w:lang w:val="en-US" w:eastAsia="zh-CN"/>
        </w:rPr>
      </w:pPr>
      <w:r>
        <w:rPr>
          <w:rFonts w:hint="eastAsia"/>
          <w:sz w:val="22"/>
          <w:szCs w:val="22"/>
          <w:lang w:val="en-US" w:eastAsia="zh-CN"/>
        </w:rPr>
        <w:t>4、</w:t>
      </w:r>
      <w:r>
        <w:rPr>
          <w:rFonts w:hint="eastAsia"/>
          <w:sz w:val="22"/>
          <w:szCs w:val="22"/>
          <w:lang w:val="en-US" w:eastAsia="en-US"/>
        </w:rPr>
        <w:t>其他:未尽事宜详见施工图纸、招标文件及技术规范、验收规范</w:t>
      </w:r>
      <w:r>
        <w:rPr>
          <w:rFonts w:hint="eastAsia"/>
          <w:sz w:val="22"/>
          <w:szCs w:val="22"/>
          <w:lang w:val="en-US" w:eastAsia="zh-CN"/>
        </w:rPr>
        <w:t>。</w:t>
      </w:r>
    </w:p>
    <w:p w14:paraId="19AD39BF">
      <w:pPr>
        <w:pStyle w:val="6"/>
        <w:ind w:left="0" w:leftChars="0" w:firstLine="0" w:firstLineChars="0"/>
        <w:rPr>
          <w:rFonts w:hint="eastAsia"/>
          <w:lang w:val="en-US" w:eastAsia="zh-CN"/>
        </w:rPr>
      </w:pPr>
    </w:p>
    <w:p w14:paraId="4C0FC3C5">
      <w:pPr>
        <w:pStyle w:val="6"/>
        <w:numPr>
          <w:ilvl w:val="0"/>
          <w:numId w:val="0"/>
        </w:numPr>
        <w:spacing w:line="360" w:lineRule="auto"/>
        <w:ind w:left="0" w:leftChars="0" w:firstLine="0" w:firstLineChars="0"/>
        <w:jc w:val="both"/>
        <w:outlineLvl w:val="1"/>
        <w:rPr>
          <w:rFonts w:hint="eastAsia"/>
          <w:b w:val="0"/>
          <w:bCs w:val="0"/>
          <w:sz w:val="28"/>
          <w:szCs w:val="28"/>
          <w:lang w:val="en-US" w:eastAsia="zh-CN"/>
        </w:rPr>
      </w:pPr>
      <w:r>
        <w:rPr>
          <w:rFonts w:hint="eastAsia"/>
          <w:b w:val="0"/>
          <w:bCs w:val="0"/>
          <w:sz w:val="28"/>
          <w:szCs w:val="28"/>
          <w:lang w:val="en-US" w:eastAsia="zh-CN"/>
        </w:rPr>
        <w:t>二、玻化砖</w:t>
      </w:r>
    </w:p>
    <w:p w14:paraId="08F07B5D">
      <w:pPr>
        <w:pStyle w:val="6"/>
        <w:ind w:left="0" w:leftChars="0" w:firstLine="0" w:firstLineChars="0"/>
        <w:rPr>
          <w:rFonts w:hint="eastAsia"/>
          <w:sz w:val="22"/>
          <w:szCs w:val="22"/>
          <w:lang w:val="en-US" w:eastAsia="en-US"/>
        </w:rPr>
      </w:pPr>
      <w:r>
        <w:rPr>
          <w:rFonts w:hint="eastAsia"/>
          <w:sz w:val="22"/>
          <w:szCs w:val="22"/>
          <w:lang w:val="en-US" w:eastAsia="zh-CN"/>
        </w:rPr>
        <w:t xml:space="preserve">1、符合国标要求，并符合相关规定及环保要求，规格按设计要求。 </w:t>
      </w:r>
    </w:p>
    <w:p w14:paraId="2C6BF8BD">
      <w:pPr>
        <w:pStyle w:val="6"/>
        <w:ind w:left="0" w:leftChars="0" w:firstLine="0" w:firstLineChars="0"/>
        <w:rPr>
          <w:rFonts w:hint="eastAsia"/>
          <w:sz w:val="22"/>
          <w:szCs w:val="22"/>
          <w:lang w:val="en-US" w:eastAsia="en-US"/>
        </w:rPr>
      </w:pPr>
      <w:r>
        <w:rPr>
          <w:rFonts w:hint="eastAsia"/>
          <w:sz w:val="22"/>
          <w:szCs w:val="22"/>
          <w:lang w:val="en-US" w:eastAsia="zh-CN"/>
        </w:rPr>
        <w:t xml:space="preserve">2、聚合物水泥基防水涂料（地面2.0mm厚涂刷两遍，墙面1.5mm厚涂刷一遍）。 </w:t>
      </w:r>
    </w:p>
    <w:p w14:paraId="48F8B476">
      <w:pPr>
        <w:pStyle w:val="6"/>
        <w:ind w:left="0" w:leftChars="0" w:firstLine="0" w:firstLineChars="0"/>
        <w:rPr>
          <w:rFonts w:hint="eastAsia"/>
          <w:sz w:val="22"/>
          <w:szCs w:val="22"/>
          <w:lang w:val="en-US" w:eastAsia="zh-CN"/>
        </w:rPr>
      </w:pPr>
      <w:r>
        <w:rPr>
          <w:rFonts w:hint="eastAsia"/>
          <w:sz w:val="22"/>
          <w:szCs w:val="22"/>
          <w:lang w:val="en-US" w:eastAsia="zh-CN"/>
        </w:rPr>
        <w:t>3、地面：玻化砖 600*600mm。</w:t>
      </w:r>
    </w:p>
    <w:p w14:paraId="075B8847">
      <w:pPr>
        <w:pStyle w:val="6"/>
        <w:ind w:left="0" w:leftChars="0" w:firstLine="0" w:firstLineChars="0"/>
        <w:rPr>
          <w:rFonts w:hint="eastAsia"/>
          <w:sz w:val="22"/>
          <w:szCs w:val="22"/>
          <w:lang w:val="en-US" w:eastAsia="zh-CN"/>
        </w:rPr>
      </w:pPr>
      <w:r>
        <w:rPr>
          <w:rFonts w:hint="eastAsia"/>
          <w:sz w:val="22"/>
          <w:szCs w:val="22"/>
          <w:lang w:val="en-US" w:eastAsia="zh-CN"/>
        </w:rPr>
        <w:t>4、墙面：玻化砖 300*600mm。</w:t>
      </w:r>
    </w:p>
    <w:p w14:paraId="24D23FDD">
      <w:pPr>
        <w:pStyle w:val="6"/>
        <w:ind w:left="0" w:leftChars="0" w:firstLine="0" w:firstLineChars="0"/>
        <w:rPr>
          <w:rFonts w:hint="default"/>
          <w:sz w:val="22"/>
          <w:szCs w:val="22"/>
          <w:lang w:val="en-US" w:eastAsia="en-US"/>
        </w:rPr>
      </w:pPr>
      <w:r>
        <w:rPr>
          <w:rFonts w:hint="eastAsia"/>
          <w:sz w:val="22"/>
          <w:szCs w:val="22"/>
          <w:lang w:val="en-US" w:eastAsia="zh-CN"/>
        </w:rPr>
        <w:t>5、产品执行标准：GB/T4100-2006</w:t>
      </w:r>
    </w:p>
    <w:p w14:paraId="0DBA2D6F">
      <w:pPr>
        <w:pStyle w:val="6"/>
        <w:numPr>
          <w:ilvl w:val="0"/>
          <w:numId w:val="0"/>
        </w:numPr>
        <w:spacing w:line="360" w:lineRule="auto"/>
        <w:ind w:leftChars="0"/>
        <w:jc w:val="both"/>
        <w:outlineLvl w:val="9"/>
        <w:rPr>
          <w:rFonts w:hint="eastAsia"/>
          <w:b/>
          <w:bCs/>
          <w:sz w:val="28"/>
          <w:szCs w:val="28"/>
          <w:lang w:val="en-US" w:eastAsia="zh-CN"/>
        </w:rPr>
      </w:pPr>
    </w:p>
    <w:p w14:paraId="5655974D">
      <w:pPr>
        <w:pStyle w:val="6"/>
        <w:numPr>
          <w:ilvl w:val="0"/>
          <w:numId w:val="0"/>
        </w:numPr>
        <w:spacing w:line="360" w:lineRule="auto"/>
        <w:ind w:left="0" w:leftChars="0" w:firstLine="0" w:firstLineChars="0"/>
        <w:jc w:val="both"/>
        <w:outlineLvl w:val="1"/>
        <w:rPr>
          <w:rFonts w:hint="eastAsia" w:ascii="Times New Roman" w:hAnsi="Times New Roman" w:eastAsia="宋体" w:cs="Times New Roman"/>
          <w:b w:val="0"/>
          <w:bCs w:val="0"/>
          <w:kern w:val="0"/>
          <w:sz w:val="28"/>
          <w:szCs w:val="28"/>
          <w:lang w:val="en-US" w:eastAsia="zh-CN" w:bidi="ar-SA"/>
        </w:rPr>
      </w:pPr>
      <w:r>
        <w:rPr>
          <w:rFonts w:hint="eastAsia" w:cs="Times New Roman"/>
          <w:b w:val="0"/>
          <w:bCs w:val="0"/>
          <w:kern w:val="0"/>
          <w:sz w:val="28"/>
          <w:szCs w:val="28"/>
          <w:lang w:val="en-US" w:eastAsia="zh-CN" w:bidi="ar-SA"/>
        </w:rPr>
        <w:t>三、医用模块化</w:t>
      </w:r>
      <w:r>
        <w:rPr>
          <w:rFonts w:hint="eastAsia" w:ascii="Times New Roman" w:hAnsi="Times New Roman" w:eastAsia="宋体" w:cs="Times New Roman"/>
          <w:b w:val="0"/>
          <w:bCs w:val="0"/>
          <w:kern w:val="0"/>
          <w:sz w:val="28"/>
          <w:szCs w:val="28"/>
          <w:lang w:val="en-US" w:eastAsia="zh-CN" w:bidi="ar-SA"/>
        </w:rPr>
        <w:t>电解钢板</w:t>
      </w:r>
    </w:p>
    <w:p w14:paraId="631D3846">
      <w:pPr>
        <w:pStyle w:val="6"/>
        <w:ind w:left="0" w:leftChars="0" w:firstLine="0" w:firstLineChars="0"/>
        <w:rPr>
          <w:rFonts w:hint="eastAsia"/>
          <w:sz w:val="22"/>
          <w:szCs w:val="22"/>
          <w:lang w:val="en-US" w:eastAsia="zh-CN"/>
        </w:rPr>
      </w:pPr>
      <w:r>
        <w:rPr>
          <w:rFonts w:hint="eastAsia"/>
          <w:sz w:val="22"/>
          <w:szCs w:val="22"/>
          <w:lang w:val="en-US" w:eastAsia="zh-CN"/>
        </w:rPr>
        <w:t>1、承重骨架：镀锌方管龙骨30*50*1 .2mm ；</w:t>
      </w:r>
    </w:p>
    <w:p w14:paraId="067EA150">
      <w:pPr>
        <w:pStyle w:val="6"/>
        <w:ind w:left="0" w:leftChars="0" w:firstLine="0" w:firstLineChars="0"/>
        <w:rPr>
          <w:rFonts w:hint="eastAsia"/>
          <w:sz w:val="22"/>
          <w:szCs w:val="22"/>
          <w:lang w:val="en-US" w:eastAsia="zh-CN"/>
        </w:rPr>
      </w:pPr>
      <w:r>
        <w:rPr>
          <w:rFonts w:hint="eastAsia"/>
          <w:sz w:val="22"/>
          <w:szCs w:val="22"/>
          <w:lang w:val="en-US" w:eastAsia="zh-CN"/>
        </w:rPr>
        <w:t>2、墙面：医用模块化电解钢板1.2mm+防水石膏板12mm+预喷涂抗菌涂料 ；</w:t>
      </w:r>
    </w:p>
    <w:p w14:paraId="1958C039">
      <w:pPr>
        <w:pStyle w:val="6"/>
        <w:ind w:left="0" w:leftChars="0" w:firstLine="0" w:firstLineChars="0"/>
        <w:rPr>
          <w:rFonts w:hint="eastAsia"/>
          <w:sz w:val="22"/>
          <w:szCs w:val="22"/>
          <w:lang w:val="en-US" w:eastAsia="zh-CN"/>
        </w:rPr>
      </w:pPr>
      <w:r>
        <w:rPr>
          <w:rFonts w:hint="eastAsia"/>
          <w:sz w:val="22"/>
          <w:szCs w:val="22"/>
          <w:lang w:val="en-US" w:eastAsia="zh-CN"/>
        </w:rPr>
        <w:t>3、天棚：医用模块化电解钢板1. 0mm+防水石膏板9.5mm+预喷涂抗菌涂料 ；</w:t>
      </w:r>
    </w:p>
    <w:p w14:paraId="65CFD799">
      <w:pPr>
        <w:pStyle w:val="6"/>
        <w:ind w:left="0" w:leftChars="0" w:firstLine="0" w:firstLineChars="0"/>
        <w:rPr>
          <w:sz w:val="22"/>
          <w:szCs w:val="22"/>
        </w:rPr>
      </w:pPr>
      <w:r>
        <w:rPr>
          <w:rFonts w:hint="eastAsia"/>
          <w:sz w:val="22"/>
          <w:szCs w:val="22"/>
          <w:lang w:val="en-US" w:eastAsia="zh-CN"/>
        </w:rPr>
        <w:t>4、具有</w:t>
      </w:r>
      <w:r>
        <w:rPr>
          <w:spacing w:val="1"/>
          <w:sz w:val="22"/>
          <w:szCs w:val="22"/>
        </w:rPr>
        <w:t>抗菌：大肠杆菌</w:t>
      </w:r>
      <w:r>
        <w:rPr>
          <w:sz w:val="22"/>
          <w:szCs w:val="22"/>
        </w:rPr>
        <w:t>、金黄色葡萄球菌、肺炎克雷伯氏菌、 白色念珠菌、铜绿假单胞菌且抗菌率不小于99.9%</w:t>
      </w:r>
    </w:p>
    <w:p w14:paraId="662C4DD6">
      <w:pPr>
        <w:pStyle w:val="6"/>
        <w:ind w:left="0" w:leftChars="0" w:firstLine="0" w:firstLineChars="0"/>
        <w:rPr>
          <w:rFonts w:hint="default" w:eastAsia="宋体"/>
          <w:sz w:val="22"/>
          <w:szCs w:val="22"/>
          <w:lang w:val="en-US" w:eastAsia="zh-CN"/>
        </w:rPr>
      </w:pPr>
      <w:r>
        <w:rPr>
          <w:rFonts w:hint="eastAsia"/>
          <w:sz w:val="22"/>
          <w:szCs w:val="22"/>
          <w:lang w:val="en-US" w:eastAsia="zh-CN"/>
        </w:rPr>
        <w:t>5、安装要求：工厂定制化生产，施工现场模块化安装，不允许现场切割，杜绝动火作业。</w:t>
      </w:r>
    </w:p>
    <w:p w14:paraId="49946C99">
      <w:pPr>
        <w:pStyle w:val="6"/>
        <w:numPr>
          <w:ilvl w:val="0"/>
          <w:numId w:val="0"/>
        </w:numPr>
        <w:spacing w:line="360" w:lineRule="auto"/>
        <w:ind w:left="0" w:leftChars="0" w:firstLine="0" w:firstLineChars="0"/>
        <w:jc w:val="both"/>
        <w:outlineLvl w:val="1"/>
        <w:rPr>
          <w:rFonts w:hint="eastAsia" w:ascii="Times New Roman" w:hAnsi="Times New Roman" w:eastAsia="宋体" w:cs="Times New Roman"/>
          <w:b w:val="0"/>
          <w:bCs w:val="0"/>
          <w:kern w:val="0"/>
          <w:sz w:val="28"/>
          <w:szCs w:val="28"/>
          <w:lang w:val="en-US" w:eastAsia="zh-CN" w:bidi="ar-SA"/>
        </w:rPr>
      </w:pPr>
      <w:r>
        <w:rPr>
          <w:rFonts w:hint="eastAsia" w:cs="Times New Roman"/>
          <w:b w:val="0"/>
          <w:bCs w:val="0"/>
          <w:kern w:val="0"/>
          <w:sz w:val="28"/>
          <w:szCs w:val="28"/>
          <w:lang w:val="en-US" w:eastAsia="zh-CN" w:bidi="ar-SA"/>
        </w:rPr>
        <w:t>四、医用</w:t>
      </w:r>
      <w:r>
        <w:rPr>
          <w:rFonts w:hint="eastAsia" w:ascii="Times New Roman" w:hAnsi="Times New Roman" w:eastAsia="宋体" w:cs="Times New Roman"/>
          <w:b w:val="0"/>
          <w:bCs w:val="0"/>
          <w:kern w:val="0"/>
          <w:sz w:val="28"/>
          <w:szCs w:val="28"/>
          <w:lang w:val="en-US" w:eastAsia="zh-CN" w:bidi="ar-SA"/>
        </w:rPr>
        <w:t>铅板防护</w:t>
      </w:r>
    </w:p>
    <w:p w14:paraId="40A676D8">
      <w:pPr>
        <w:pStyle w:val="6"/>
        <w:ind w:left="0" w:leftChars="0" w:firstLine="0" w:firstLineChars="0"/>
        <w:rPr>
          <w:rFonts w:hint="eastAsia"/>
          <w:sz w:val="22"/>
          <w:szCs w:val="22"/>
          <w:lang w:val="en-US" w:eastAsia="zh-CN"/>
        </w:rPr>
      </w:pPr>
      <w:r>
        <w:rPr>
          <w:rFonts w:hint="eastAsia"/>
          <w:sz w:val="22"/>
          <w:szCs w:val="22"/>
          <w:lang w:val="en-US" w:eastAsia="zh-CN"/>
        </w:rPr>
        <w:t>1、 防辐射医用铅板2个铅当量；</w:t>
      </w:r>
    </w:p>
    <w:p w14:paraId="67F221CF">
      <w:pPr>
        <w:pStyle w:val="6"/>
        <w:numPr>
          <w:ilvl w:val="0"/>
          <w:numId w:val="0"/>
        </w:numPr>
        <w:ind w:left="0" w:leftChars="0" w:firstLine="0" w:firstLineChars="0"/>
        <w:rPr>
          <w:rFonts w:hint="eastAsia"/>
          <w:sz w:val="22"/>
          <w:szCs w:val="22"/>
          <w:lang w:val="en-US" w:eastAsia="en-US"/>
        </w:rPr>
      </w:pPr>
      <w:r>
        <w:rPr>
          <w:rFonts w:hint="eastAsia" w:ascii="Times New Roman" w:hAnsi="Times New Roman" w:eastAsia="宋体" w:cs="Times New Roman"/>
          <w:kern w:val="0"/>
          <w:sz w:val="22"/>
          <w:szCs w:val="22"/>
          <w:lang w:val="en-US" w:eastAsia="zh-CN" w:bidi="ar-SA"/>
        </w:rPr>
        <w:t>2、</w:t>
      </w:r>
      <w:r>
        <w:rPr>
          <w:rFonts w:hint="eastAsia" w:ascii="Times New Roman" w:eastAsia="宋体"/>
          <w:sz w:val="22"/>
          <w:szCs w:val="22"/>
          <w:lang w:val="en-US" w:eastAsia="zh-CN"/>
        </w:rPr>
        <w:t xml:space="preserve"> ▲</w:t>
      </w:r>
      <w:r>
        <w:rPr>
          <w:rFonts w:hint="eastAsia"/>
          <w:sz w:val="22"/>
          <w:szCs w:val="22"/>
          <w:lang w:val="en-US" w:eastAsia="zh-CN"/>
        </w:rPr>
        <w:t>所投产品铅板含铅量</w:t>
      </w:r>
      <w:r>
        <w:rPr>
          <w:rFonts w:hint="eastAsia" w:ascii="宋体" w:hAnsi="宋体" w:eastAsia="宋体" w:cs="宋体"/>
          <w:sz w:val="22"/>
          <w:szCs w:val="22"/>
          <w:lang w:val="en-US" w:eastAsia="zh-CN"/>
        </w:rPr>
        <w:t>≧</w:t>
      </w:r>
      <w:r>
        <w:rPr>
          <w:rFonts w:hint="eastAsia"/>
          <w:sz w:val="22"/>
          <w:szCs w:val="22"/>
          <w:lang w:val="en-US" w:eastAsia="zh-CN"/>
        </w:rPr>
        <w:t>99.99%；</w:t>
      </w:r>
      <w:r>
        <w:rPr>
          <w:rFonts w:hint="eastAsia"/>
          <w:sz w:val="22"/>
          <w:szCs w:val="22"/>
          <w:lang w:val="en-US" w:eastAsia="en-US"/>
        </w:rPr>
        <w:t>(</w:t>
      </w:r>
      <w:r>
        <w:rPr>
          <w:rFonts w:hint="eastAsia"/>
          <w:sz w:val="22"/>
          <w:szCs w:val="22"/>
          <w:lang w:val="en-US" w:eastAsia="zh-CN"/>
        </w:rPr>
        <w:t>须</w:t>
      </w:r>
      <w:r>
        <w:rPr>
          <w:rFonts w:hint="eastAsia"/>
          <w:sz w:val="22"/>
          <w:szCs w:val="22"/>
          <w:lang w:val="en-US" w:eastAsia="en-US"/>
        </w:rPr>
        <w:t>提供具有 CMA 或 CNAS 标识的检测报告扫描件并加盖制造商公章)</w:t>
      </w:r>
    </w:p>
    <w:p w14:paraId="4587CD3D">
      <w:pPr>
        <w:pStyle w:val="6"/>
        <w:ind w:left="0" w:leftChars="0" w:firstLine="0" w:firstLineChars="0"/>
        <w:rPr>
          <w:rFonts w:hint="eastAsia"/>
          <w:sz w:val="22"/>
          <w:szCs w:val="22"/>
          <w:lang w:val="en-US" w:eastAsia="en-US"/>
        </w:rPr>
      </w:pPr>
      <w:r>
        <w:rPr>
          <w:rFonts w:hint="eastAsia"/>
          <w:sz w:val="22"/>
          <w:szCs w:val="22"/>
          <w:lang w:val="en-US" w:eastAsia="zh-CN"/>
        </w:rPr>
        <w:t>3</w:t>
      </w:r>
      <w:r>
        <w:rPr>
          <w:rFonts w:hint="eastAsia"/>
          <w:sz w:val="22"/>
          <w:szCs w:val="22"/>
          <w:lang w:val="en-US" w:eastAsia="en-US"/>
        </w:rPr>
        <w:t>、</w:t>
      </w:r>
      <w:r>
        <w:rPr>
          <w:rFonts w:hint="eastAsia" w:ascii="Times New Roman" w:eastAsia="宋体"/>
          <w:sz w:val="22"/>
          <w:szCs w:val="22"/>
          <w:lang w:val="en-US" w:eastAsia="zh-CN"/>
        </w:rPr>
        <w:t xml:space="preserve"> ▲</w:t>
      </w:r>
      <w:r>
        <w:rPr>
          <w:rFonts w:hint="eastAsia"/>
          <w:sz w:val="22"/>
          <w:szCs w:val="22"/>
          <w:lang w:val="en-US" w:eastAsia="en-US"/>
        </w:rPr>
        <w:t>所投产品铅板满足以下化验项目</w:t>
      </w:r>
    </w:p>
    <w:p w14:paraId="6F96BD5D">
      <w:pPr>
        <w:pStyle w:val="6"/>
        <w:ind w:left="0" w:leftChars="0" w:firstLine="0" w:firstLineChars="0"/>
        <w:rPr>
          <w:rFonts w:hint="eastAsia"/>
          <w:sz w:val="22"/>
          <w:szCs w:val="22"/>
          <w:lang w:val="en-US" w:eastAsia="en-US"/>
        </w:rPr>
      </w:pPr>
      <w:r>
        <w:rPr>
          <w:rFonts w:hint="eastAsia"/>
          <w:sz w:val="22"/>
          <w:szCs w:val="22"/>
          <w:lang w:val="en-US" w:eastAsia="en-US"/>
        </w:rPr>
        <w:t>化验项目:禁用物质 ROSH2.0 检测;化学物质限制:镉&lt;100pm，其他物质&lt;1000mp 或者没有检出。</w:t>
      </w:r>
    </w:p>
    <w:p w14:paraId="1EE0931D">
      <w:pPr>
        <w:pStyle w:val="6"/>
        <w:ind w:left="0" w:leftChars="0" w:firstLine="0" w:firstLineChars="0"/>
        <w:rPr>
          <w:rFonts w:hint="eastAsia"/>
          <w:sz w:val="22"/>
          <w:szCs w:val="22"/>
          <w:lang w:val="en-US" w:eastAsia="en-US"/>
        </w:rPr>
      </w:pPr>
      <w:r>
        <w:rPr>
          <w:rFonts w:hint="eastAsia"/>
          <w:sz w:val="22"/>
          <w:szCs w:val="22"/>
          <w:lang w:val="en-US" w:eastAsia="en-US"/>
        </w:rPr>
        <w:t>化验项目:SVHC197;化学物质限制;满足 EC1907/2006 要求。</w:t>
      </w:r>
    </w:p>
    <w:p w14:paraId="593B7F7E">
      <w:pPr>
        <w:pStyle w:val="6"/>
        <w:ind w:left="0" w:leftChars="0" w:firstLine="0" w:firstLineChars="0"/>
        <w:rPr>
          <w:rFonts w:hint="eastAsia"/>
          <w:sz w:val="22"/>
          <w:szCs w:val="22"/>
          <w:lang w:val="en-US" w:eastAsia="en-US"/>
        </w:rPr>
      </w:pPr>
      <w:r>
        <w:rPr>
          <w:rFonts w:hint="eastAsia"/>
          <w:sz w:val="22"/>
          <w:szCs w:val="22"/>
          <w:lang w:val="en-US" w:eastAsia="en-US"/>
        </w:rPr>
        <w:t>化验项目:挥发性有机化合物(VOC)，无化学物质限制。</w:t>
      </w:r>
      <w:r>
        <w:rPr>
          <w:rFonts w:hint="eastAsia"/>
          <w:sz w:val="22"/>
          <w:szCs w:val="22"/>
          <w:lang w:val="en-US" w:eastAsia="zh-CN"/>
        </w:rPr>
        <w:t>（须</w:t>
      </w:r>
      <w:r>
        <w:rPr>
          <w:rFonts w:hint="eastAsia"/>
          <w:sz w:val="22"/>
          <w:szCs w:val="22"/>
          <w:lang w:val="en-US" w:eastAsia="en-US"/>
        </w:rPr>
        <w:t>提供具有 CMA 或 CNAS 标识的检测报告扫描件并加盖制造商公章)</w:t>
      </w:r>
    </w:p>
    <w:p w14:paraId="54328AE4">
      <w:pPr>
        <w:pStyle w:val="6"/>
        <w:ind w:left="0" w:leftChars="0" w:firstLine="0" w:firstLineChars="0"/>
        <w:rPr>
          <w:rFonts w:hint="eastAsia"/>
          <w:sz w:val="22"/>
          <w:szCs w:val="22"/>
          <w:lang w:val="en-US" w:eastAsia="zh-CN"/>
        </w:rPr>
      </w:pPr>
      <w:r>
        <w:rPr>
          <w:rFonts w:hint="eastAsia"/>
          <w:sz w:val="22"/>
          <w:szCs w:val="22"/>
          <w:lang w:val="en-US" w:eastAsia="zh-CN"/>
        </w:rPr>
        <w:t>4、铅板与梁搭接100mm 宽或包梁处理 ；</w:t>
      </w:r>
    </w:p>
    <w:p w14:paraId="2FB4C9F8">
      <w:pPr>
        <w:pStyle w:val="6"/>
        <w:ind w:left="0" w:leftChars="0" w:firstLine="0" w:firstLineChars="0"/>
        <w:rPr>
          <w:rFonts w:hint="eastAsia"/>
          <w:sz w:val="22"/>
          <w:szCs w:val="22"/>
          <w:lang w:val="en-US" w:eastAsia="zh-CN"/>
        </w:rPr>
      </w:pPr>
      <w:r>
        <w:rPr>
          <w:rFonts w:hint="eastAsia"/>
          <w:sz w:val="22"/>
          <w:szCs w:val="22"/>
          <w:lang w:val="en-US" w:eastAsia="zh-CN"/>
        </w:rPr>
        <w:t>5、钢龙骨骨架固定；</w:t>
      </w:r>
    </w:p>
    <w:p w14:paraId="5ED0390A">
      <w:pPr>
        <w:pStyle w:val="6"/>
        <w:numPr>
          <w:ilvl w:val="0"/>
          <w:numId w:val="0"/>
        </w:numPr>
        <w:spacing w:line="360" w:lineRule="auto"/>
        <w:ind w:left="0" w:leftChars="0" w:firstLine="0" w:firstLineChars="0"/>
        <w:jc w:val="left"/>
        <w:outlineLvl w:val="1"/>
        <w:rPr>
          <w:rFonts w:hint="eastAsia" w:cs="Times New Roman"/>
          <w:b w:val="0"/>
          <w:bCs w:val="0"/>
          <w:kern w:val="0"/>
          <w:sz w:val="28"/>
          <w:szCs w:val="28"/>
          <w:lang w:val="en-US" w:eastAsia="zh-CN" w:bidi="ar-SA"/>
        </w:rPr>
      </w:pPr>
    </w:p>
    <w:p w14:paraId="5E713E5C">
      <w:pPr>
        <w:pStyle w:val="6"/>
        <w:numPr>
          <w:ilvl w:val="0"/>
          <w:numId w:val="0"/>
        </w:numPr>
        <w:spacing w:line="360" w:lineRule="auto"/>
        <w:ind w:left="0" w:leftChars="0" w:firstLine="0" w:firstLineChars="0"/>
        <w:jc w:val="left"/>
        <w:outlineLvl w:val="1"/>
        <w:rPr>
          <w:rFonts w:hint="eastAsia" w:ascii="Times New Roman" w:hAnsi="Times New Roman" w:eastAsia="宋体" w:cs="Times New Roman"/>
          <w:b w:val="0"/>
          <w:bCs w:val="0"/>
          <w:kern w:val="0"/>
          <w:sz w:val="28"/>
          <w:szCs w:val="28"/>
          <w:lang w:val="en-US" w:eastAsia="zh-CN" w:bidi="ar-SA"/>
        </w:rPr>
      </w:pPr>
      <w:r>
        <w:rPr>
          <w:rFonts w:hint="eastAsia" w:cs="Times New Roman"/>
          <w:b w:val="0"/>
          <w:bCs w:val="0"/>
          <w:kern w:val="0"/>
          <w:sz w:val="28"/>
          <w:szCs w:val="28"/>
          <w:lang w:val="en-US" w:eastAsia="zh-CN" w:bidi="ar-SA"/>
        </w:rPr>
        <w:t>五、</w:t>
      </w:r>
      <w:r>
        <w:rPr>
          <w:rFonts w:hint="eastAsia" w:ascii="Times New Roman" w:hAnsi="Times New Roman" w:eastAsia="宋体" w:cs="Times New Roman"/>
          <w:b w:val="0"/>
          <w:bCs w:val="0"/>
          <w:kern w:val="0"/>
          <w:sz w:val="28"/>
          <w:szCs w:val="28"/>
          <w:lang w:val="en-US" w:eastAsia="zh-CN" w:bidi="ar-SA"/>
        </w:rPr>
        <w:t>硫酸钡</w:t>
      </w:r>
      <w:r>
        <w:rPr>
          <w:rFonts w:hint="eastAsia" w:cs="Times New Roman"/>
          <w:b w:val="0"/>
          <w:bCs w:val="0"/>
          <w:kern w:val="0"/>
          <w:sz w:val="28"/>
          <w:szCs w:val="28"/>
          <w:lang w:val="en-US" w:eastAsia="zh-CN" w:bidi="ar-SA"/>
        </w:rPr>
        <w:t>防护</w:t>
      </w:r>
      <w:r>
        <w:rPr>
          <w:rFonts w:hint="eastAsia" w:ascii="Times New Roman" w:hAnsi="Times New Roman" w:eastAsia="宋体" w:cs="Times New Roman"/>
          <w:b w:val="0"/>
          <w:bCs w:val="0"/>
          <w:kern w:val="0"/>
          <w:sz w:val="28"/>
          <w:szCs w:val="28"/>
          <w:lang w:val="en-US" w:eastAsia="zh-CN" w:bidi="ar-SA"/>
        </w:rPr>
        <w:t>地面</w:t>
      </w:r>
    </w:p>
    <w:p w14:paraId="02C7DB9E">
      <w:pPr>
        <w:pStyle w:val="6"/>
        <w:ind w:left="0" w:leftChars="0" w:firstLine="0" w:firstLineChars="0"/>
        <w:rPr>
          <w:rFonts w:hint="eastAsia" w:eastAsia="宋体"/>
          <w:sz w:val="22"/>
          <w:szCs w:val="22"/>
          <w:lang w:val="en-US" w:eastAsia="zh-CN"/>
        </w:rPr>
      </w:pPr>
      <w:r>
        <w:rPr>
          <w:rFonts w:hint="eastAsia"/>
          <w:sz w:val="22"/>
          <w:szCs w:val="22"/>
          <w:lang w:val="en-US" w:eastAsia="en-US"/>
        </w:rPr>
        <w:t>1、</w:t>
      </w:r>
      <w:r>
        <w:rPr>
          <w:rFonts w:hint="eastAsia" w:ascii="Times New Roman" w:eastAsia="宋体"/>
          <w:sz w:val="22"/>
          <w:szCs w:val="22"/>
          <w:lang w:val="en-US" w:eastAsia="zh-CN"/>
        </w:rPr>
        <w:t>▲</w:t>
      </w:r>
      <w:r>
        <w:rPr>
          <w:rFonts w:hint="eastAsia"/>
          <w:sz w:val="22"/>
          <w:szCs w:val="22"/>
          <w:lang w:val="en-US" w:eastAsia="en-US"/>
        </w:rPr>
        <w:t>所投产品防辐射施工主材“硫酸钡 ”</w:t>
      </w:r>
      <w:r>
        <w:rPr>
          <w:rFonts w:hint="eastAsia"/>
          <w:sz w:val="22"/>
          <w:szCs w:val="22"/>
          <w:lang w:val="en-US" w:eastAsia="zh-CN"/>
        </w:rPr>
        <w:t>须</w:t>
      </w:r>
      <w:r>
        <w:rPr>
          <w:rFonts w:hint="eastAsia"/>
          <w:sz w:val="22"/>
          <w:szCs w:val="22"/>
          <w:lang w:val="en-US" w:eastAsia="en-US"/>
        </w:rPr>
        <w:t>通过根据 SY/T 6240-2016 重晶石化学分析推荐做法，硫酸钡（BaSO4） ≥90%</w:t>
      </w:r>
      <w:r>
        <w:rPr>
          <w:rFonts w:hint="eastAsia"/>
          <w:sz w:val="22"/>
          <w:szCs w:val="22"/>
          <w:lang w:val="en-US" w:eastAsia="zh-CN"/>
        </w:rPr>
        <w:t>；</w:t>
      </w:r>
    </w:p>
    <w:p w14:paraId="72BD259C">
      <w:pPr>
        <w:pStyle w:val="6"/>
        <w:ind w:left="0" w:leftChars="0" w:firstLine="0" w:firstLineChars="0"/>
        <w:rPr>
          <w:rFonts w:hint="eastAsia"/>
          <w:sz w:val="22"/>
          <w:szCs w:val="22"/>
          <w:lang w:val="en-US" w:eastAsia="en-US"/>
        </w:rPr>
      </w:pPr>
      <w:r>
        <w:rPr>
          <w:rFonts w:hint="eastAsia"/>
          <w:sz w:val="22"/>
          <w:szCs w:val="22"/>
          <w:lang w:val="en-US" w:eastAsia="en-US"/>
        </w:rPr>
        <w:t>(</w:t>
      </w:r>
      <w:r>
        <w:rPr>
          <w:rFonts w:hint="eastAsia"/>
          <w:sz w:val="22"/>
          <w:szCs w:val="22"/>
          <w:lang w:val="en-US" w:eastAsia="zh-CN"/>
        </w:rPr>
        <w:t>须</w:t>
      </w:r>
      <w:r>
        <w:rPr>
          <w:rFonts w:hint="eastAsia"/>
          <w:sz w:val="22"/>
          <w:szCs w:val="22"/>
          <w:lang w:val="en-US" w:eastAsia="en-US"/>
        </w:rPr>
        <w:t>提供具有 CMA 或 CNAS 标识的检测报告扫描件并加盖制造商公章)</w:t>
      </w:r>
    </w:p>
    <w:p w14:paraId="1CA7F317">
      <w:pPr>
        <w:pStyle w:val="6"/>
        <w:numPr>
          <w:ilvl w:val="0"/>
          <w:numId w:val="0"/>
        </w:numPr>
        <w:ind w:left="0" w:leftChars="0" w:firstLine="0" w:firstLineChars="0"/>
        <w:rPr>
          <w:rFonts w:hint="eastAsia"/>
          <w:sz w:val="22"/>
          <w:szCs w:val="22"/>
          <w:lang w:val="en-US" w:eastAsia="zh-CN"/>
        </w:rPr>
      </w:pPr>
      <w:r>
        <w:rPr>
          <w:rFonts w:hint="eastAsia" w:cs="Times New Roman"/>
          <w:kern w:val="0"/>
          <w:sz w:val="22"/>
          <w:szCs w:val="22"/>
          <w:lang w:val="en-US" w:eastAsia="zh-CN" w:bidi="ar-SA"/>
        </w:rPr>
        <w:t>2</w:t>
      </w:r>
      <w:r>
        <w:rPr>
          <w:rFonts w:hint="eastAsia" w:ascii="Times New Roman" w:hAnsi="Times New Roman" w:eastAsia="宋体" w:cs="Times New Roman"/>
          <w:kern w:val="0"/>
          <w:sz w:val="22"/>
          <w:szCs w:val="22"/>
          <w:lang w:val="en-US" w:eastAsia="zh-CN" w:bidi="ar-SA"/>
        </w:rPr>
        <w:t>、</w:t>
      </w:r>
      <w:r>
        <w:rPr>
          <w:rFonts w:hint="eastAsia"/>
          <w:sz w:val="22"/>
          <w:szCs w:val="22"/>
          <w:lang w:val="en-US" w:eastAsia="en-US"/>
        </w:rPr>
        <w:t>防辐射施工主材“硫酸钡重晶石 ”铅当量≥</w:t>
      </w:r>
      <w:r>
        <w:rPr>
          <w:rFonts w:hint="eastAsia"/>
          <w:sz w:val="22"/>
          <w:szCs w:val="22"/>
          <w:lang w:val="en-US" w:eastAsia="zh-CN"/>
        </w:rPr>
        <w:t>1.0</w:t>
      </w:r>
      <w:r>
        <w:rPr>
          <w:rFonts w:hint="eastAsia"/>
          <w:sz w:val="22"/>
          <w:szCs w:val="22"/>
          <w:lang w:val="en-US" w:eastAsia="en-US"/>
        </w:rPr>
        <w:t>mmpb</w:t>
      </w:r>
      <w:r>
        <w:rPr>
          <w:rFonts w:hint="eastAsia"/>
          <w:sz w:val="22"/>
          <w:szCs w:val="22"/>
          <w:lang w:val="en-US" w:eastAsia="zh-CN"/>
        </w:rPr>
        <w:t>。</w:t>
      </w:r>
    </w:p>
    <w:p w14:paraId="27ADAD1D">
      <w:pPr>
        <w:pStyle w:val="6"/>
        <w:numPr>
          <w:ilvl w:val="0"/>
          <w:numId w:val="0"/>
        </w:numPr>
        <w:spacing w:line="360" w:lineRule="auto"/>
        <w:ind w:left="0" w:leftChars="0" w:firstLine="0" w:firstLineChars="0"/>
        <w:jc w:val="left"/>
        <w:outlineLvl w:val="1"/>
        <w:rPr>
          <w:rFonts w:hint="eastAsia" w:cs="Times New Roman"/>
          <w:b w:val="0"/>
          <w:bCs w:val="0"/>
          <w:kern w:val="0"/>
          <w:sz w:val="28"/>
          <w:szCs w:val="28"/>
          <w:lang w:val="en-US" w:eastAsia="zh-CN" w:bidi="ar-SA"/>
        </w:rPr>
      </w:pPr>
    </w:p>
    <w:p w14:paraId="0EA74599">
      <w:pPr>
        <w:pStyle w:val="6"/>
        <w:numPr>
          <w:ilvl w:val="0"/>
          <w:numId w:val="0"/>
        </w:numPr>
        <w:spacing w:line="360" w:lineRule="auto"/>
        <w:ind w:left="0" w:leftChars="0" w:firstLine="0" w:firstLineChars="0"/>
        <w:jc w:val="left"/>
        <w:outlineLvl w:val="1"/>
        <w:rPr>
          <w:rFonts w:hint="eastAsia" w:cs="Times New Roman"/>
          <w:b w:val="0"/>
          <w:bCs w:val="0"/>
          <w:kern w:val="0"/>
          <w:sz w:val="28"/>
          <w:szCs w:val="28"/>
          <w:lang w:val="en-US" w:eastAsia="zh-CN" w:bidi="ar-SA"/>
        </w:rPr>
      </w:pPr>
      <w:r>
        <w:rPr>
          <w:rFonts w:hint="eastAsia" w:cs="Times New Roman"/>
          <w:b w:val="0"/>
          <w:bCs w:val="0"/>
          <w:kern w:val="0"/>
          <w:sz w:val="28"/>
          <w:szCs w:val="28"/>
          <w:lang w:val="en-US" w:eastAsia="zh-CN" w:bidi="ar-SA"/>
        </w:rPr>
        <w:t>六、医用自</w:t>
      </w:r>
      <w:r>
        <w:rPr>
          <w:rFonts w:hint="eastAsia" w:ascii="Times New Roman" w:hAnsi="Times New Roman" w:eastAsia="宋体" w:cs="Times New Roman"/>
          <w:b w:val="0"/>
          <w:bCs w:val="0"/>
          <w:kern w:val="0"/>
          <w:sz w:val="28"/>
          <w:szCs w:val="28"/>
          <w:lang w:val="en-US" w:eastAsia="zh-CN" w:bidi="ar-SA"/>
        </w:rPr>
        <w:t>动</w:t>
      </w:r>
      <w:r>
        <w:rPr>
          <w:rFonts w:hint="eastAsia" w:cs="Times New Roman"/>
          <w:b w:val="0"/>
          <w:bCs w:val="0"/>
          <w:kern w:val="0"/>
          <w:sz w:val="28"/>
          <w:szCs w:val="28"/>
          <w:lang w:val="en-US" w:eastAsia="zh-CN" w:bidi="ar-SA"/>
        </w:rPr>
        <w:t>趟</w:t>
      </w:r>
      <w:r>
        <w:rPr>
          <w:rFonts w:hint="eastAsia" w:ascii="Times New Roman" w:hAnsi="Times New Roman" w:eastAsia="宋体" w:cs="Times New Roman"/>
          <w:b w:val="0"/>
          <w:bCs w:val="0"/>
          <w:kern w:val="0"/>
          <w:sz w:val="28"/>
          <w:szCs w:val="28"/>
          <w:lang w:val="en-US" w:eastAsia="zh-CN" w:bidi="ar-SA"/>
        </w:rPr>
        <w:t>门</w:t>
      </w:r>
    </w:p>
    <w:p w14:paraId="44C2C05A">
      <w:pPr>
        <w:pStyle w:val="6"/>
        <w:numPr>
          <w:ilvl w:val="0"/>
          <w:numId w:val="0"/>
        </w:numPr>
        <w:spacing w:line="360" w:lineRule="auto"/>
        <w:ind w:left="0" w:leftChars="0" w:firstLine="0" w:firstLineChars="0"/>
        <w:jc w:val="left"/>
        <w:outlineLvl w:val="1"/>
        <w:rPr>
          <w:rFonts w:hint="eastAsia" w:eastAsia="宋体"/>
          <w:sz w:val="22"/>
          <w:szCs w:val="22"/>
          <w:lang w:val="en-US" w:eastAsia="zh-CN"/>
        </w:rPr>
      </w:pPr>
      <w:r>
        <w:rPr>
          <w:rFonts w:hint="eastAsia"/>
          <w:sz w:val="22"/>
          <w:szCs w:val="22"/>
          <w:lang w:val="en-US" w:eastAsia="en-US"/>
        </w:rPr>
        <w:t>1</w:t>
      </w:r>
      <w:r>
        <w:rPr>
          <w:rFonts w:hint="eastAsia"/>
          <w:sz w:val="22"/>
          <w:szCs w:val="22"/>
          <w:lang w:val="en-US" w:eastAsia="zh-CN"/>
        </w:rPr>
        <w:t>、</w:t>
      </w:r>
      <w:r>
        <w:rPr>
          <w:rFonts w:hint="eastAsia"/>
          <w:sz w:val="22"/>
          <w:szCs w:val="22"/>
          <w:lang w:val="en-US" w:eastAsia="en-US"/>
        </w:rPr>
        <w:t>气密性能符合国家标准（GB/T 7106-2019） EN-12207，</w:t>
      </w:r>
      <w:r>
        <w:rPr>
          <w:rFonts w:hint="eastAsia"/>
          <w:sz w:val="22"/>
          <w:szCs w:val="22"/>
          <w:lang w:val="en-US" w:eastAsia="zh-CN"/>
        </w:rPr>
        <w:t>在</w:t>
      </w:r>
      <w:r>
        <w:rPr>
          <w:rFonts w:hint="eastAsia"/>
          <w:sz w:val="22"/>
          <w:szCs w:val="22"/>
          <w:lang w:val="en-US" w:eastAsia="en-US"/>
        </w:rPr>
        <w:t>10Pa下，单位缝长每小时空气渗透量</w:t>
      </w:r>
      <w:r>
        <w:rPr>
          <w:rFonts w:hint="eastAsia"/>
          <w:sz w:val="22"/>
          <w:szCs w:val="22"/>
          <w:lang w:val="en-US" w:eastAsia="zh-CN"/>
        </w:rPr>
        <w:t>低于</w:t>
      </w:r>
      <w:r>
        <w:rPr>
          <w:rFonts w:hint="eastAsia"/>
          <w:sz w:val="22"/>
          <w:szCs w:val="22"/>
          <w:lang w:val="en-US" w:eastAsia="en-US"/>
        </w:rPr>
        <w:t>0.2</w:t>
      </w:r>
      <w:r>
        <w:rPr>
          <w:rFonts w:hint="eastAsia"/>
          <w:sz w:val="22"/>
          <w:szCs w:val="22"/>
          <w:lang w:val="en-US" w:eastAsia="zh-CN"/>
        </w:rPr>
        <w:t>2</w:t>
      </w:r>
      <w:r>
        <w:rPr>
          <w:rFonts w:hint="eastAsia"/>
          <w:sz w:val="22"/>
          <w:szCs w:val="22"/>
          <w:lang w:val="en-US" w:eastAsia="en-US"/>
        </w:rPr>
        <w:t>m³/（</w:t>
      </w:r>
      <w:r>
        <w:rPr>
          <w:rFonts w:hint="eastAsia"/>
          <w:sz w:val="22"/>
          <w:szCs w:val="22"/>
          <w:lang w:val="en-US" w:eastAsia="zh-CN"/>
        </w:rPr>
        <w:t>㎡</w:t>
      </w:r>
      <w:r>
        <w:rPr>
          <w:rFonts w:hint="eastAsia"/>
          <w:sz w:val="22"/>
          <w:szCs w:val="22"/>
          <w:lang w:val="en-US" w:eastAsia="en-US"/>
        </w:rPr>
        <w:t>h）</w:t>
      </w:r>
      <w:r>
        <w:rPr>
          <w:rFonts w:hint="eastAsia"/>
          <w:sz w:val="22"/>
          <w:szCs w:val="22"/>
          <w:lang w:val="en-US" w:eastAsia="zh-CN"/>
        </w:rPr>
        <w:t>，单位面积每小时空气渗透量低于0.3m³/</w:t>
      </w:r>
      <w:r>
        <w:rPr>
          <w:rFonts w:hint="eastAsia"/>
          <w:sz w:val="22"/>
          <w:szCs w:val="22"/>
          <w:lang w:val="en-US" w:eastAsia="en-US"/>
        </w:rPr>
        <w:t>（</w:t>
      </w:r>
      <w:r>
        <w:rPr>
          <w:rFonts w:hint="eastAsia"/>
          <w:sz w:val="22"/>
          <w:szCs w:val="22"/>
          <w:lang w:val="en-US" w:eastAsia="zh-CN"/>
        </w:rPr>
        <w:t>㎡</w:t>
      </w:r>
      <w:r>
        <w:rPr>
          <w:rFonts w:hint="eastAsia"/>
          <w:sz w:val="22"/>
          <w:szCs w:val="22"/>
          <w:lang w:val="en-US" w:eastAsia="en-US"/>
        </w:rPr>
        <w:t>h）；</w:t>
      </w:r>
    </w:p>
    <w:p w14:paraId="6B399472">
      <w:pPr>
        <w:pStyle w:val="6"/>
        <w:numPr>
          <w:ilvl w:val="0"/>
          <w:numId w:val="0"/>
        </w:numPr>
        <w:spacing w:line="360" w:lineRule="auto"/>
        <w:ind w:left="0" w:leftChars="0" w:firstLine="0" w:firstLineChars="0"/>
        <w:jc w:val="left"/>
        <w:outlineLvl w:val="1"/>
        <w:rPr>
          <w:rFonts w:hint="eastAsia" w:eastAsia="宋体"/>
          <w:sz w:val="22"/>
          <w:szCs w:val="22"/>
          <w:lang w:val="en-US" w:eastAsia="zh-CN"/>
        </w:rPr>
      </w:pPr>
      <w:r>
        <w:rPr>
          <w:rFonts w:hint="eastAsia"/>
          <w:sz w:val="22"/>
          <w:szCs w:val="22"/>
          <w:lang w:val="en-US" w:eastAsia="en-US"/>
        </w:rPr>
        <w:t>2</w:t>
      </w:r>
      <w:r>
        <w:rPr>
          <w:rFonts w:hint="eastAsia"/>
          <w:sz w:val="22"/>
          <w:szCs w:val="22"/>
          <w:lang w:val="en-US" w:eastAsia="zh-CN"/>
        </w:rPr>
        <w:t>、</w:t>
      </w:r>
      <w:r>
        <w:rPr>
          <w:rFonts w:hint="eastAsia"/>
          <w:sz w:val="22"/>
          <w:szCs w:val="22"/>
          <w:lang w:val="en-US" w:eastAsia="en-US"/>
        </w:rPr>
        <w:t>气密门使用寿命</w:t>
      </w:r>
      <w:r>
        <w:rPr>
          <w:rFonts w:hint="eastAsia" w:ascii="宋体" w:hAnsi="宋体" w:eastAsia="宋体" w:cs="宋体"/>
          <w:sz w:val="22"/>
          <w:szCs w:val="22"/>
          <w:lang w:val="en-US" w:eastAsia="zh-CN"/>
        </w:rPr>
        <w:t>不低于50</w:t>
      </w:r>
      <w:r>
        <w:rPr>
          <w:rFonts w:hint="eastAsia"/>
          <w:sz w:val="22"/>
          <w:szCs w:val="22"/>
          <w:lang w:val="en-US" w:eastAsia="en-US"/>
        </w:rPr>
        <w:t>万次</w:t>
      </w:r>
      <w:r>
        <w:rPr>
          <w:rFonts w:hint="eastAsia"/>
          <w:sz w:val="22"/>
          <w:szCs w:val="22"/>
          <w:lang w:val="en-US" w:eastAsia="zh-CN"/>
        </w:rPr>
        <w:t>，</w:t>
      </w:r>
      <w:r>
        <w:rPr>
          <w:rFonts w:hint="eastAsia"/>
          <w:sz w:val="22"/>
          <w:szCs w:val="22"/>
          <w:lang w:val="en-US" w:eastAsia="en-US"/>
        </w:rPr>
        <w:t>气密门运行噪音低于60分贝</w:t>
      </w:r>
      <w:r>
        <w:rPr>
          <w:rFonts w:hint="eastAsia"/>
          <w:sz w:val="22"/>
          <w:szCs w:val="22"/>
          <w:lang w:val="en-US" w:eastAsia="zh-CN"/>
        </w:rPr>
        <w:t>。</w:t>
      </w:r>
    </w:p>
    <w:p w14:paraId="057A2E56">
      <w:pPr>
        <w:pStyle w:val="6"/>
        <w:ind w:left="0" w:leftChars="0" w:firstLine="0" w:firstLineChars="0"/>
        <w:rPr>
          <w:rFonts w:hint="eastAsia"/>
          <w:sz w:val="22"/>
          <w:szCs w:val="22"/>
          <w:lang w:val="en-US" w:eastAsia="en-US"/>
        </w:rPr>
      </w:pPr>
      <w:r>
        <w:rPr>
          <w:rFonts w:hint="eastAsia"/>
          <w:sz w:val="22"/>
          <w:szCs w:val="22"/>
          <w:lang w:val="en-US" w:eastAsia="en-US"/>
        </w:rPr>
        <w:t>3</w:t>
      </w:r>
      <w:r>
        <w:rPr>
          <w:rFonts w:hint="eastAsia"/>
          <w:sz w:val="22"/>
          <w:szCs w:val="22"/>
          <w:lang w:val="en-US" w:eastAsia="zh-CN"/>
        </w:rPr>
        <w:t>、</w:t>
      </w:r>
      <w:r>
        <w:rPr>
          <w:rFonts w:hint="eastAsia"/>
          <w:sz w:val="22"/>
          <w:szCs w:val="22"/>
          <w:lang w:val="en-US" w:eastAsia="en-US"/>
        </w:rPr>
        <w:t>控制装置在带电情况下能承受1250V 50HZ/60HZ电压，在1mim内无击穿或闪络现象。</w:t>
      </w:r>
    </w:p>
    <w:p w14:paraId="455122A8">
      <w:pPr>
        <w:pStyle w:val="6"/>
        <w:ind w:left="0" w:leftChars="0" w:firstLine="0" w:firstLineChars="0"/>
        <w:rPr>
          <w:rFonts w:hint="eastAsia"/>
          <w:sz w:val="22"/>
          <w:szCs w:val="22"/>
          <w:lang w:val="en-US" w:eastAsia="en-US"/>
        </w:rPr>
      </w:pPr>
      <w:r>
        <w:rPr>
          <w:rFonts w:hint="eastAsia"/>
          <w:sz w:val="22"/>
          <w:szCs w:val="22"/>
          <w:lang w:val="en-US" w:eastAsia="en-US"/>
        </w:rPr>
        <w:t>4</w:t>
      </w:r>
      <w:r>
        <w:rPr>
          <w:rFonts w:hint="eastAsia"/>
          <w:sz w:val="22"/>
          <w:szCs w:val="22"/>
          <w:lang w:val="en-US" w:eastAsia="zh-CN"/>
        </w:rPr>
        <w:t>、</w:t>
      </w:r>
      <w:r>
        <w:rPr>
          <w:rFonts w:hint="eastAsia"/>
          <w:sz w:val="22"/>
          <w:szCs w:val="22"/>
          <w:lang w:val="en-US" w:eastAsia="en-US"/>
        </w:rPr>
        <w:t>门体在运行过程中，反向阻力小于220。</w:t>
      </w:r>
    </w:p>
    <w:p w14:paraId="64103F66">
      <w:pPr>
        <w:pStyle w:val="6"/>
        <w:ind w:left="0" w:leftChars="0" w:firstLine="0" w:firstLineChars="0"/>
        <w:rPr>
          <w:rFonts w:hint="eastAsia"/>
          <w:sz w:val="22"/>
          <w:szCs w:val="22"/>
          <w:lang w:val="en-US" w:eastAsia="en-US"/>
        </w:rPr>
      </w:pPr>
      <w:r>
        <w:rPr>
          <w:rFonts w:hint="eastAsia"/>
          <w:sz w:val="22"/>
          <w:szCs w:val="22"/>
          <w:lang w:val="en-US" w:eastAsia="en-US"/>
        </w:rPr>
        <w:t>5</w:t>
      </w:r>
      <w:r>
        <w:rPr>
          <w:rFonts w:hint="eastAsia"/>
          <w:sz w:val="22"/>
          <w:szCs w:val="22"/>
          <w:lang w:val="en-US" w:eastAsia="zh-CN"/>
        </w:rPr>
        <w:t>、</w:t>
      </w:r>
      <w:r>
        <w:rPr>
          <w:rFonts w:hint="eastAsia"/>
          <w:sz w:val="22"/>
          <w:szCs w:val="22"/>
          <w:lang w:val="en-US" w:eastAsia="en-US"/>
        </w:rPr>
        <w:t>手动推力&lt;130N，开门保持时间在2S_20S可调。</w:t>
      </w:r>
    </w:p>
    <w:p w14:paraId="3B843D2F">
      <w:pPr>
        <w:pStyle w:val="6"/>
        <w:ind w:left="0" w:leftChars="0" w:firstLine="0" w:firstLineChars="0"/>
        <w:rPr>
          <w:rFonts w:hint="eastAsia"/>
          <w:sz w:val="22"/>
          <w:szCs w:val="22"/>
          <w:lang w:val="en-US" w:eastAsia="en-US"/>
        </w:rPr>
      </w:pPr>
      <w:r>
        <w:rPr>
          <w:rFonts w:hint="eastAsia"/>
          <w:sz w:val="22"/>
          <w:szCs w:val="22"/>
          <w:lang w:val="en-US" w:eastAsia="en-US"/>
        </w:rPr>
        <w:t>6</w:t>
      </w:r>
      <w:r>
        <w:rPr>
          <w:rFonts w:hint="eastAsia"/>
          <w:sz w:val="22"/>
          <w:szCs w:val="22"/>
          <w:lang w:val="en-US" w:eastAsia="zh-CN"/>
        </w:rPr>
        <w:t>、</w:t>
      </w:r>
      <w:r>
        <w:rPr>
          <w:rFonts w:hint="eastAsia"/>
          <w:sz w:val="22"/>
          <w:szCs w:val="22"/>
          <w:lang w:val="en-US" w:eastAsia="en-US"/>
        </w:rPr>
        <w:t>开闭门速度：250-550MM/S（可调）。</w:t>
      </w:r>
    </w:p>
    <w:p w14:paraId="6C1525AB">
      <w:pPr>
        <w:pStyle w:val="6"/>
        <w:ind w:left="0" w:leftChars="0" w:firstLine="0" w:firstLineChars="0"/>
        <w:rPr>
          <w:rFonts w:hint="eastAsia"/>
          <w:sz w:val="22"/>
          <w:szCs w:val="22"/>
          <w:lang w:val="en-US" w:eastAsia="en-US"/>
        </w:rPr>
      </w:pPr>
      <w:r>
        <w:rPr>
          <w:rFonts w:hint="eastAsia"/>
          <w:sz w:val="22"/>
          <w:szCs w:val="22"/>
          <w:lang w:val="en-US" w:eastAsia="en-US"/>
        </w:rPr>
        <w:t>7</w:t>
      </w:r>
      <w:r>
        <w:rPr>
          <w:rFonts w:hint="eastAsia"/>
          <w:sz w:val="22"/>
          <w:szCs w:val="22"/>
          <w:lang w:val="en-US" w:eastAsia="zh-CN"/>
        </w:rPr>
        <w:t>、</w:t>
      </w:r>
      <w:r>
        <w:rPr>
          <w:rFonts w:hint="eastAsia"/>
          <w:sz w:val="22"/>
          <w:szCs w:val="22"/>
          <w:lang w:val="en-US" w:eastAsia="en-US"/>
        </w:rPr>
        <w:t>门体和门套方面：</w:t>
      </w:r>
    </w:p>
    <w:p w14:paraId="79EC7666">
      <w:pPr>
        <w:pStyle w:val="6"/>
        <w:ind w:left="0" w:leftChars="0" w:firstLine="0" w:firstLineChars="0"/>
        <w:rPr>
          <w:rFonts w:hint="eastAsia"/>
          <w:sz w:val="22"/>
          <w:szCs w:val="22"/>
          <w:lang w:val="en-US" w:eastAsia="en-US"/>
        </w:rPr>
      </w:pPr>
      <w:r>
        <w:rPr>
          <w:rFonts w:hint="eastAsia"/>
          <w:sz w:val="22"/>
          <w:szCs w:val="22"/>
          <w:lang w:val="en-US" w:eastAsia="zh-CN"/>
        </w:rPr>
        <w:t>7.1、</w:t>
      </w:r>
      <w:r>
        <w:rPr>
          <w:rFonts w:hint="eastAsia"/>
          <w:sz w:val="22"/>
          <w:szCs w:val="22"/>
          <w:lang w:val="en-US" w:eastAsia="en-US"/>
        </w:rPr>
        <w:t>门体表面采用1mm厚度镀锌钢板静电喷塑，门体框边采用铝合气密型材，四周配套相应 的密封条，观察窗为圆角平面窗；</w:t>
      </w:r>
    </w:p>
    <w:p w14:paraId="5CFD24AD">
      <w:pPr>
        <w:pStyle w:val="6"/>
        <w:ind w:left="0" w:leftChars="0" w:firstLine="0" w:firstLineChars="0"/>
        <w:rPr>
          <w:rFonts w:hint="eastAsia" w:eastAsia="宋体"/>
          <w:sz w:val="22"/>
          <w:szCs w:val="22"/>
          <w:lang w:val="en-US" w:eastAsia="zh-CN"/>
        </w:rPr>
      </w:pPr>
      <w:r>
        <w:rPr>
          <w:rFonts w:hint="eastAsia"/>
          <w:sz w:val="22"/>
          <w:szCs w:val="22"/>
          <w:lang w:val="en-US" w:eastAsia="zh-CN"/>
        </w:rPr>
        <w:t>7.2、</w:t>
      </w:r>
      <w:r>
        <w:rPr>
          <w:rFonts w:hint="eastAsia"/>
          <w:sz w:val="22"/>
          <w:szCs w:val="22"/>
          <w:lang w:val="en-US" w:eastAsia="en-US"/>
        </w:rPr>
        <w:t>门套采用铝合金前后包套形式</w:t>
      </w:r>
      <w:r>
        <w:rPr>
          <w:rFonts w:hint="eastAsia"/>
          <w:sz w:val="22"/>
          <w:szCs w:val="22"/>
          <w:lang w:val="en-US" w:eastAsia="zh-CN"/>
        </w:rPr>
        <w:t>。</w:t>
      </w:r>
    </w:p>
    <w:p w14:paraId="78BD27B0">
      <w:pPr>
        <w:pStyle w:val="6"/>
        <w:numPr>
          <w:ilvl w:val="0"/>
          <w:numId w:val="0"/>
        </w:numPr>
        <w:spacing w:line="360" w:lineRule="auto"/>
        <w:ind w:left="0" w:leftChars="0" w:firstLine="0" w:firstLineChars="0"/>
        <w:jc w:val="left"/>
        <w:outlineLvl w:val="1"/>
        <w:rPr>
          <w:rFonts w:hint="eastAsia" w:ascii="Times New Roman" w:hAnsi="Times New Roman" w:eastAsia="宋体" w:cs="Times New Roman"/>
          <w:b w:val="0"/>
          <w:bCs w:val="0"/>
          <w:kern w:val="0"/>
          <w:sz w:val="28"/>
          <w:szCs w:val="28"/>
          <w:lang w:val="en-US" w:eastAsia="zh-CN" w:bidi="ar-SA"/>
        </w:rPr>
      </w:pPr>
      <w:r>
        <w:rPr>
          <w:rFonts w:hint="eastAsia" w:ascii="Times New Roman" w:hAnsi="Times New Roman" w:eastAsia="宋体" w:cs="Times New Roman"/>
          <w:b w:val="0"/>
          <w:bCs w:val="0"/>
          <w:kern w:val="0"/>
          <w:sz w:val="28"/>
          <w:szCs w:val="28"/>
          <w:lang w:val="en-US" w:eastAsia="zh-CN" w:bidi="ar-SA"/>
        </w:rPr>
        <w:t>七、医用器械柜、麻醉柜</w:t>
      </w:r>
    </w:p>
    <w:p w14:paraId="74DCCEEA">
      <w:pPr>
        <w:pStyle w:val="6"/>
        <w:numPr>
          <w:ilvl w:val="0"/>
          <w:numId w:val="0"/>
        </w:numPr>
        <w:spacing w:line="360" w:lineRule="auto"/>
        <w:ind w:left="0" w:leftChars="0" w:firstLine="0" w:firstLineChars="0"/>
        <w:jc w:val="left"/>
        <w:outlineLvl w:val="1"/>
        <w:rPr>
          <w:rFonts w:hint="eastAsia" w:ascii="宋体" w:hAnsi="宋体" w:eastAsia="宋体" w:cs="宋体"/>
          <w:sz w:val="22"/>
          <w:szCs w:val="22"/>
          <w:lang w:val="en-US" w:eastAsia="en-US"/>
        </w:rPr>
      </w:pPr>
      <w:r>
        <w:rPr>
          <w:rFonts w:hint="eastAsia" w:ascii="宋体" w:hAnsi="宋体" w:eastAsia="宋体" w:cs="宋体"/>
          <w:sz w:val="22"/>
          <w:szCs w:val="22"/>
          <w:lang w:val="en-US" w:eastAsia="zh-CN"/>
        </w:rPr>
        <w:t xml:space="preserve">1、门板喷涂,1200*1700*450mm,上部玻璃平开门，下部电解钢板平开门，中 </w:t>
      </w:r>
    </w:p>
    <w:p w14:paraId="61B09F51">
      <w:pPr>
        <w:pStyle w:val="6"/>
        <w:ind w:left="0" w:leftChars="0" w:firstLine="0" w:firstLineChars="0"/>
        <w:rPr>
          <w:rFonts w:hint="eastAsia" w:ascii="宋体" w:hAnsi="宋体" w:eastAsia="宋体" w:cs="宋体"/>
          <w:sz w:val="22"/>
          <w:szCs w:val="22"/>
          <w:lang w:val="en-US" w:eastAsia="en-US"/>
        </w:rPr>
      </w:pPr>
      <w:r>
        <w:rPr>
          <w:rFonts w:hint="eastAsia" w:ascii="宋体" w:hAnsi="宋体" w:eastAsia="宋体" w:cs="宋体"/>
          <w:sz w:val="22"/>
          <w:szCs w:val="22"/>
          <w:lang w:val="en-US" w:eastAsia="zh-CN"/>
        </w:rPr>
        <w:t xml:space="preserve">间两抽屉； </w:t>
      </w:r>
    </w:p>
    <w:p w14:paraId="36DFAA77">
      <w:pPr>
        <w:pStyle w:val="6"/>
        <w:ind w:left="0" w:leftChars="0" w:firstLine="0" w:firstLineChars="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2、嵌入式安装,翻边20mm；</w:t>
      </w:r>
    </w:p>
    <w:p w14:paraId="1981B818">
      <w:pPr>
        <w:pStyle w:val="6"/>
        <w:ind w:left="0" w:leftChars="0" w:firstLine="0" w:firstLineChars="0"/>
        <w:rPr>
          <w:rFonts w:hint="eastAsia" w:ascii="宋体" w:hAnsi="宋体" w:eastAsia="宋体" w:cs="宋体"/>
          <w:sz w:val="22"/>
          <w:szCs w:val="22"/>
          <w:lang w:val="en-US" w:eastAsia="en-US"/>
        </w:rPr>
      </w:pPr>
      <w:r>
        <w:rPr>
          <w:rFonts w:hint="eastAsia" w:ascii="宋体" w:hAnsi="宋体" w:eastAsia="宋体" w:cs="宋体"/>
          <w:sz w:val="22"/>
          <w:szCs w:val="22"/>
          <w:lang w:val="en-US" w:eastAsia="zh-CN"/>
        </w:rPr>
        <w:t xml:space="preserve">3、上部门:4mm厚钢化玻璃1.2 厚电解钢板包边外开门、带锁； </w:t>
      </w:r>
    </w:p>
    <w:p w14:paraId="3CDF5559">
      <w:pPr>
        <w:pStyle w:val="6"/>
        <w:numPr>
          <w:ilvl w:val="0"/>
          <w:numId w:val="0"/>
        </w:numPr>
        <w:ind w:left="0" w:leftChars="0" w:firstLine="0" w:firstLineChars="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4、下部门:1.2厚电解钢板外开门、带锁；</w:t>
      </w:r>
    </w:p>
    <w:p w14:paraId="2EADE413">
      <w:pPr>
        <w:pStyle w:val="6"/>
        <w:numPr>
          <w:ilvl w:val="0"/>
          <w:numId w:val="0"/>
        </w:numPr>
        <w:ind w:left="0" w:leftChars="0" w:firstLine="0" w:firstLineChars="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5、外框:1.2厚304不锈钢拉丝板制；</w:t>
      </w:r>
    </w:p>
    <w:p w14:paraId="4BCB5267">
      <w:pPr>
        <w:pStyle w:val="6"/>
        <w:numPr>
          <w:ilvl w:val="0"/>
          <w:numId w:val="0"/>
        </w:numPr>
        <w:ind w:left="0" w:leftChars="0" w:firstLine="0" w:firstLineChars="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6、内本体:1.0厚201不锈钢制镜面板制，内置三层8MM钢化玻璃托架，上下可调。</w:t>
      </w:r>
    </w:p>
    <w:p w14:paraId="0318D70A">
      <w:pPr>
        <w:pStyle w:val="6"/>
        <w:numPr>
          <w:ilvl w:val="0"/>
          <w:numId w:val="0"/>
        </w:numPr>
        <w:ind w:left="0" w:leftChars="0" w:firstLine="0" w:firstLineChars="0"/>
        <w:rPr>
          <w:rFonts w:hint="eastAsia"/>
          <w:lang w:val="en-US" w:eastAsia="zh-CN"/>
        </w:rPr>
      </w:pPr>
    </w:p>
    <w:p w14:paraId="21D59949">
      <w:pPr>
        <w:pStyle w:val="6"/>
        <w:numPr>
          <w:ilvl w:val="0"/>
          <w:numId w:val="0"/>
        </w:numPr>
        <w:spacing w:line="360" w:lineRule="auto"/>
        <w:ind w:left="0" w:leftChars="0" w:firstLine="0" w:firstLineChars="0"/>
        <w:jc w:val="left"/>
        <w:outlineLvl w:val="1"/>
        <w:rPr>
          <w:rFonts w:hint="eastAsia" w:cs="Times New Roman"/>
          <w:b w:val="0"/>
          <w:bCs w:val="0"/>
          <w:kern w:val="0"/>
          <w:sz w:val="28"/>
          <w:szCs w:val="28"/>
          <w:lang w:val="en-US" w:eastAsia="zh-CN" w:bidi="ar-SA"/>
        </w:rPr>
      </w:pPr>
      <w:r>
        <w:rPr>
          <w:rFonts w:hint="eastAsia" w:cs="Times New Roman"/>
          <w:b w:val="0"/>
          <w:bCs w:val="0"/>
          <w:kern w:val="0"/>
          <w:sz w:val="28"/>
          <w:szCs w:val="28"/>
          <w:lang w:val="en-US" w:eastAsia="zh-CN" w:bidi="ar-SA"/>
        </w:rPr>
        <w:t>八、给排水</w:t>
      </w:r>
    </w:p>
    <w:p w14:paraId="0E3231E6">
      <w:pPr>
        <w:pStyle w:val="6"/>
        <w:ind w:left="0" w:leftChars="0" w:firstLine="0" w:firstLineChars="0"/>
        <w:rPr>
          <w:rFonts w:hint="eastAsia"/>
          <w:sz w:val="22"/>
          <w:szCs w:val="22"/>
          <w:lang w:val="en-US" w:eastAsia="en-US"/>
        </w:rPr>
      </w:pPr>
      <w:r>
        <w:rPr>
          <w:rFonts w:hint="eastAsia"/>
          <w:sz w:val="22"/>
          <w:szCs w:val="22"/>
          <w:lang w:val="en-US" w:eastAsia="en-US"/>
        </w:rPr>
        <w:t>1、陶瓷洁具及配件</w:t>
      </w:r>
    </w:p>
    <w:p w14:paraId="71F69710">
      <w:pPr>
        <w:pStyle w:val="6"/>
        <w:ind w:left="0" w:leftChars="0" w:firstLine="440" w:firstLineChars="200"/>
        <w:rPr>
          <w:rFonts w:hint="eastAsia"/>
          <w:sz w:val="22"/>
          <w:szCs w:val="22"/>
          <w:lang w:val="en-US" w:eastAsia="en-US"/>
        </w:rPr>
      </w:pPr>
      <w:r>
        <w:rPr>
          <w:rFonts w:hint="eastAsia"/>
          <w:sz w:val="22"/>
          <w:szCs w:val="22"/>
          <w:lang w:val="en-US" w:eastAsia="en-US"/>
        </w:rPr>
        <w:t>给排水管道设置的检查口、清扫口、阻火圈、伸缩节符合设计及规范要求；洁具规格、安装 位置、偏差、高度、平整度、连接管坡度符合规范及装修做法要求。</w:t>
      </w:r>
    </w:p>
    <w:p w14:paraId="593E4ACA">
      <w:pPr>
        <w:pStyle w:val="6"/>
        <w:ind w:left="0" w:leftChars="0" w:firstLine="0" w:firstLineChars="0"/>
        <w:rPr>
          <w:rFonts w:hint="eastAsia"/>
          <w:sz w:val="22"/>
          <w:szCs w:val="22"/>
          <w:lang w:val="en-US" w:eastAsia="en-US"/>
        </w:rPr>
      </w:pPr>
      <w:r>
        <w:rPr>
          <w:rFonts w:hint="eastAsia"/>
          <w:sz w:val="22"/>
          <w:szCs w:val="22"/>
          <w:lang w:val="en-US" w:eastAsia="en-US"/>
        </w:rPr>
        <w:t>2、不锈钢医用刷手池</w:t>
      </w:r>
    </w:p>
    <w:p w14:paraId="5C321913">
      <w:pPr>
        <w:pStyle w:val="6"/>
        <w:ind w:left="0" w:leftChars="0" w:firstLine="440" w:firstLineChars="200"/>
        <w:rPr>
          <w:rFonts w:hint="eastAsia"/>
          <w:sz w:val="22"/>
          <w:szCs w:val="22"/>
          <w:lang w:val="en-US" w:eastAsia="en-US"/>
        </w:rPr>
      </w:pPr>
      <w:r>
        <w:rPr>
          <w:rFonts w:hint="eastAsia"/>
          <w:sz w:val="22"/>
          <w:szCs w:val="22"/>
          <w:lang w:val="en-US" w:eastAsia="zh-CN"/>
        </w:rPr>
        <w:t>医用不锈钢</w:t>
      </w:r>
      <w:r>
        <w:rPr>
          <w:rFonts w:hint="eastAsia"/>
          <w:sz w:val="22"/>
          <w:szCs w:val="22"/>
          <w:lang w:val="en-US" w:eastAsia="en-US"/>
        </w:rPr>
        <w:t>刷手池应采用1.2mm厚优质304#不锈钢磨砂板制作，内弧形设计令水花不易飞溅，采用</w:t>
      </w:r>
      <w:r>
        <w:rPr>
          <w:rFonts w:hint="eastAsia"/>
          <w:sz w:val="22"/>
          <w:szCs w:val="22"/>
          <w:lang w:val="en-US" w:eastAsia="zh-CN"/>
        </w:rPr>
        <w:t>冷热水</w:t>
      </w:r>
      <w:r>
        <w:rPr>
          <w:rFonts w:hint="eastAsia"/>
          <w:sz w:val="22"/>
          <w:szCs w:val="22"/>
          <w:lang w:val="en-US" w:eastAsia="en-US"/>
        </w:rPr>
        <w:t>红外线感应</w:t>
      </w:r>
      <w:r>
        <w:rPr>
          <w:rFonts w:hint="eastAsia"/>
          <w:sz w:val="22"/>
          <w:szCs w:val="22"/>
          <w:lang w:val="en-US" w:eastAsia="zh-CN"/>
        </w:rPr>
        <w:t>冲洗</w:t>
      </w:r>
      <w:r>
        <w:rPr>
          <w:rFonts w:hint="eastAsia"/>
          <w:sz w:val="22"/>
          <w:szCs w:val="22"/>
          <w:lang w:val="en-US" w:eastAsia="en-US"/>
        </w:rPr>
        <w:t>龙头，设置挡水板</w:t>
      </w:r>
      <w:r>
        <w:rPr>
          <w:rFonts w:hint="eastAsia"/>
          <w:sz w:val="22"/>
          <w:szCs w:val="22"/>
          <w:lang w:val="en-US" w:eastAsia="zh-CN"/>
        </w:rPr>
        <w:t>及热水器</w:t>
      </w:r>
      <w:r>
        <w:rPr>
          <w:rFonts w:hint="eastAsia"/>
          <w:sz w:val="22"/>
          <w:szCs w:val="22"/>
          <w:lang w:val="en-US" w:eastAsia="en-US"/>
        </w:rPr>
        <w:t>。</w:t>
      </w:r>
    </w:p>
    <w:p w14:paraId="210864AC">
      <w:pPr>
        <w:pStyle w:val="6"/>
        <w:ind w:left="0" w:leftChars="0" w:firstLine="480" w:firstLineChars="200"/>
        <w:rPr>
          <w:rFonts w:hint="eastAsia"/>
          <w:lang w:val="en-US" w:eastAsia="en-US"/>
        </w:rPr>
      </w:pPr>
    </w:p>
    <w:p w14:paraId="505CD6FB">
      <w:pPr>
        <w:pStyle w:val="6"/>
        <w:numPr>
          <w:ilvl w:val="0"/>
          <w:numId w:val="0"/>
        </w:numPr>
        <w:spacing w:line="360" w:lineRule="auto"/>
        <w:ind w:left="0" w:leftChars="0" w:firstLine="0" w:firstLineChars="0"/>
        <w:jc w:val="left"/>
        <w:outlineLvl w:val="1"/>
        <w:rPr>
          <w:rFonts w:hint="eastAsia" w:ascii="Times New Roman" w:hAnsi="Times New Roman" w:eastAsia="宋体" w:cs="Times New Roman"/>
          <w:b w:val="0"/>
          <w:bCs w:val="0"/>
          <w:kern w:val="0"/>
          <w:sz w:val="28"/>
          <w:szCs w:val="28"/>
          <w:lang w:val="en-US" w:eastAsia="zh-CN" w:bidi="ar-SA"/>
        </w:rPr>
      </w:pPr>
      <w:r>
        <w:rPr>
          <w:rFonts w:hint="eastAsia" w:cs="Times New Roman"/>
          <w:b w:val="0"/>
          <w:bCs w:val="0"/>
          <w:kern w:val="0"/>
          <w:sz w:val="28"/>
          <w:szCs w:val="28"/>
          <w:lang w:val="en-US" w:eastAsia="zh-CN" w:bidi="ar-SA"/>
        </w:rPr>
        <w:t>九、</w:t>
      </w:r>
      <w:r>
        <w:rPr>
          <w:rFonts w:hint="eastAsia" w:ascii="Times New Roman" w:hAnsi="Times New Roman" w:eastAsia="宋体" w:cs="Times New Roman"/>
          <w:b w:val="0"/>
          <w:bCs w:val="0"/>
          <w:kern w:val="0"/>
          <w:sz w:val="28"/>
          <w:szCs w:val="28"/>
          <w:lang w:val="en-US" w:eastAsia="zh-CN" w:bidi="ar-SA"/>
        </w:rPr>
        <w:t>强电</w:t>
      </w:r>
    </w:p>
    <w:p w14:paraId="2482CFCF">
      <w:pPr>
        <w:pStyle w:val="6"/>
        <w:ind w:left="0" w:leftChars="0" w:firstLine="0" w:firstLineChars="0"/>
        <w:rPr>
          <w:rFonts w:hint="eastAsia"/>
          <w:sz w:val="22"/>
          <w:szCs w:val="22"/>
          <w:lang w:val="en-US" w:eastAsia="zh-CN"/>
        </w:rPr>
      </w:pPr>
      <w:r>
        <w:rPr>
          <w:rFonts w:hint="eastAsia"/>
          <w:sz w:val="22"/>
          <w:szCs w:val="22"/>
          <w:lang w:val="en-US" w:eastAsia="zh-CN"/>
        </w:rPr>
        <w:t>1、区域采用LED密封洁净灯盘、独立配电箱及电源；</w:t>
      </w:r>
    </w:p>
    <w:p w14:paraId="6DE376EA">
      <w:pPr>
        <w:pStyle w:val="6"/>
        <w:ind w:left="0" w:leftChars="0" w:firstLine="0" w:firstLineChars="0"/>
        <w:rPr>
          <w:rFonts w:hint="eastAsia"/>
          <w:sz w:val="22"/>
          <w:szCs w:val="22"/>
          <w:lang w:val="en-US" w:eastAsia="zh-CN"/>
        </w:rPr>
      </w:pPr>
      <w:r>
        <w:rPr>
          <w:rFonts w:hint="eastAsia"/>
          <w:sz w:val="22"/>
          <w:szCs w:val="22"/>
          <w:lang w:val="en-US" w:eastAsia="zh-CN"/>
        </w:rPr>
        <w:t>1.1、</w:t>
      </w:r>
      <w:r>
        <w:rPr>
          <w:rFonts w:hint="eastAsia" w:ascii="Times New Roman" w:hAnsi="Times New Roman" w:eastAsia="宋体" w:cs="Times New Roman"/>
          <w:sz w:val="22"/>
          <w:szCs w:val="22"/>
          <w:lang w:val="en-US" w:eastAsia="zh-CN"/>
        </w:rPr>
        <w:t>配电箱的所有技术指标必须符合规范及设计要求，所包含器件等均须通过国家相应安全认证，具有“CCC”认证标志</w:t>
      </w:r>
      <w:r>
        <w:rPr>
          <w:rFonts w:hint="eastAsia"/>
          <w:sz w:val="22"/>
          <w:szCs w:val="22"/>
          <w:lang w:val="en-US" w:eastAsia="zh-CN"/>
        </w:rPr>
        <w:t>；</w:t>
      </w:r>
    </w:p>
    <w:p w14:paraId="365A0BB3">
      <w:pPr>
        <w:pStyle w:val="6"/>
        <w:ind w:left="0" w:leftChars="0" w:firstLine="0" w:firstLineChars="0"/>
        <w:rPr>
          <w:rFonts w:hint="eastAsia"/>
          <w:sz w:val="22"/>
          <w:szCs w:val="22"/>
          <w:lang w:val="en-US" w:eastAsia="zh-CN"/>
        </w:rPr>
      </w:pPr>
      <w:r>
        <w:rPr>
          <w:rFonts w:hint="eastAsia"/>
          <w:sz w:val="22"/>
          <w:szCs w:val="22"/>
          <w:lang w:val="en-US" w:eastAsia="zh-CN"/>
        </w:rPr>
        <w:t>2、配套开关插座、电线电缆、金属线槽等；</w:t>
      </w:r>
    </w:p>
    <w:p w14:paraId="73924F56">
      <w:pPr>
        <w:pStyle w:val="6"/>
        <w:ind w:left="0" w:leftChars="0" w:firstLine="0" w:firstLineChars="0"/>
        <w:rPr>
          <w:rFonts w:hint="eastAsia"/>
          <w:sz w:val="22"/>
          <w:szCs w:val="22"/>
          <w:lang w:val="en-US" w:eastAsia="en-US"/>
        </w:rPr>
      </w:pPr>
      <w:r>
        <w:rPr>
          <w:rFonts w:hint="eastAsia"/>
          <w:sz w:val="22"/>
          <w:szCs w:val="22"/>
          <w:lang w:val="en-US" w:eastAsia="zh-CN"/>
        </w:rPr>
        <w:t>2.1</w:t>
      </w:r>
      <w:r>
        <w:rPr>
          <w:rFonts w:hint="eastAsia"/>
          <w:sz w:val="22"/>
          <w:szCs w:val="22"/>
          <w:lang w:val="en-US" w:eastAsia="en-US"/>
        </w:rPr>
        <w:t>、开关、插座</w:t>
      </w:r>
    </w:p>
    <w:p w14:paraId="68BAD633">
      <w:pPr>
        <w:pStyle w:val="6"/>
        <w:ind w:left="0" w:leftChars="0" w:firstLine="0" w:firstLineChars="0"/>
        <w:rPr>
          <w:rFonts w:hint="eastAsia"/>
          <w:sz w:val="22"/>
          <w:szCs w:val="22"/>
          <w:lang w:val="en-US" w:eastAsia="en-US"/>
        </w:rPr>
      </w:pPr>
      <w:r>
        <w:rPr>
          <w:rFonts w:hint="eastAsia"/>
          <w:sz w:val="22"/>
          <w:szCs w:val="22"/>
          <w:lang w:val="en-US" w:eastAsia="en-US"/>
        </w:rPr>
        <w:t>1）所有产品必须按国家规定要求通过认证并获得证书。</w:t>
      </w:r>
    </w:p>
    <w:p w14:paraId="64E6993A">
      <w:pPr>
        <w:pStyle w:val="6"/>
        <w:ind w:left="0" w:leftChars="0" w:firstLine="0" w:firstLineChars="0"/>
        <w:rPr>
          <w:rFonts w:hint="eastAsia"/>
          <w:sz w:val="22"/>
          <w:szCs w:val="22"/>
          <w:lang w:val="en-US" w:eastAsia="zh-CN"/>
        </w:rPr>
      </w:pPr>
      <w:r>
        <w:rPr>
          <w:rFonts w:hint="eastAsia"/>
          <w:sz w:val="22"/>
          <w:szCs w:val="22"/>
          <w:lang w:val="en-US" w:eastAsia="en-US"/>
        </w:rPr>
        <w:t>2）</w:t>
      </w:r>
      <w:r>
        <w:rPr>
          <w:rFonts w:hint="eastAsia"/>
          <w:sz w:val="22"/>
          <w:szCs w:val="22"/>
          <w:lang w:val="en-US" w:eastAsia="zh-CN"/>
        </w:rPr>
        <w:t>暗装</w:t>
      </w:r>
      <w:r>
        <w:rPr>
          <w:rFonts w:hint="eastAsia"/>
          <w:sz w:val="22"/>
          <w:szCs w:val="22"/>
          <w:lang w:val="en-US" w:eastAsia="en-US"/>
        </w:rPr>
        <w:t>面板紧贴墙面，四周无缝隙，安装牢固，表面光滑整洁，无碎裂、划伤，装饰帽齐全</w:t>
      </w:r>
      <w:r>
        <w:rPr>
          <w:rFonts w:hint="eastAsia"/>
          <w:sz w:val="22"/>
          <w:szCs w:val="22"/>
          <w:lang w:val="en-US" w:eastAsia="zh-CN"/>
        </w:rPr>
        <w:t>；</w:t>
      </w:r>
    </w:p>
    <w:p w14:paraId="661B787C">
      <w:pPr>
        <w:pStyle w:val="6"/>
        <w:ind w:left="0" w:leftChars="0" w:firstLine="0" w:firstLineChars="0"/>
        <w:rPr>
          <w:rFonts w:hint="eastAsia"/>
          <w:sz w:val="22"/>
          <w:szCs w:val="22"/>
          <w:lang w:val="en-US" w:eastAsia="en-US"/>
        </w:rPr>
      </w:pPr>
      <w:r>
        <w:rPr>
          <w:rFonts w:hint="eastAsia"/>
          <w:sz w:val="22"/>
          <w:szCs w:val="22"/>
          <w:lang w:val="en-US" w:eastAsia="en-US"/>
        </w:rPr>
        <w:t>3）同一室内安装高度一致、相同型号并列安装高度一致，接线规范、牢固。</w:t>
      </w:r>
    </w:p>
    <w:p w14:paraId="4175F51B">
      <w:pPr>
        <w:pStyle w:val="6"/>
        <w:ind w:left="0" w:leftChars="0" w:firstLine="0" w:firstLineChars="0"/>
        <w:rPr>
          <w:rFonts w:hint="eastAsia"/>
          <w:sz w:val="22"/>
          <w:szCs w:val="22"/>
          <w:lang w:val="en-US" w:eastAsia="en-US"/>
        </w:rPr>
      </w:pPr>
      <w:r>
        <w:rPr>
          <w:rFonts w:hint="eastAsia"/>
          <w:sz w:val="22"/>
          <w:szCs w:val="22"/>
          <w:lang w:val="en-US" w:eastAsia="zh-CN"/>
        </w:rPr>
        <w:t>2.2</w:t>
      </w:r>
      <w:r>
        <w:rPr>
          <w:rFonts w:hint="eastAsia"/>
          <w:sz w:val="22"/>
          <w:szCs w:val="22"/>
          <w:lang w:val="en-US" w:eastAsia="en-US"/>
        </w:rPr>
        <w:t>、电线、电缆</w:t>
      </w:r>
    </w:p>
    <w:p w14:paraId="559386BA">
      <w:pPr>
        <w:pStyle w:val="6"/>
        <w:ind w:left="0" w:leftChars="0" w:firstLine="0" w:firstLineChars="0"/>
        <w:rPr>
          <w:rFonts w:hint="eastAsia"/>
          <w:sz w:val="22"/>
          <w:szCs w:val="22"/>
          <w:lang w:val="en-US" w:eastAsia="en-US"/>
        </w:rPr>
      </w:pPr>
      <w:r>
        <w:rPr>
          <w:rFonts w:hint="eastAsia"/>
          <w:sz w:val="22"/>
          <w:szCs w:val="22"/>
          <w:lang w:val="en-US" w:eastAsia="en-US"/>
        </w:rPr>
        <w:t>1）电线、电缆符合 GB/T12706、GB12666 等国家标准；</w:t>
      </w:r>
    </w:p>
    <w:p w14:paraId="4141A9C7">
      <w:pPr>
        <w:pStyle w:val="6"/>
        <w:ind w:left="0" w:leftChars="0" w:firstLine="0" w:firstLineChars="0"/>
        <w:rPr>
          <w:rFonts w:hint="eastAsia"/>
          <w:sz w:val="22"/>
          <w:szCs w:val="22"/>
          <w:lang w:val="en-US" w:eastAsia="en-US"/>
        </w:rPr>
      </w:pPr>
      <w:r>
        <w:rPr>
          <w:rFonts w:hint="eastAsia"/>
          <w:sz w:val="22"/>
          <w:szCs w:val="22"/>
          <w:lang w:val="en-US" w:eastAsia="en-US"/>
        </w:rPr>
        <w:t>2）所有电缆电线采用优质铜材，含铜量不低于 99.9%；</w:t>
      </w:r>
    </w:p>
    <w:p w14:paraId="31D59C7F">
      <w:pPr>
        <w:pStyle w:val="6"/>
        <w:ind w:left="0" w:leftChars="0" w:firstLine="0" w:firstLineChars="0"/>
        <w:rPr>
          <w:rFonts w:hint="eastAsia"/>
          <w:sz w:val="22"/>
          <w:szCs w:val="22"/>
          <w:lang w:val="en-US" w:eastAsia="en-US"/>
        </w:rPr>
      </w:pPr>
      <w:r>
        <w:rPr>
          <w:rFonts w:hint="eastAsia"/>
          <w:sz w:val="22"/>
          <w:szCs w:val="22"/>
          <w:lang w:val="en-US" w:eastAsia="en-US"/>
        </w:rPr>
        <w:t>3）其他要求及参数详见设计图纸及采购清单。</w:t>
      </w:r>
    </w:p>
    <w:p w14:paraId="50A53015">
      <w:pPr>
        <w:pStyle w:val="6"/>
        <w:numPr>
          <w:ilvl w:val="0"/>
          <w:numId w:val="0"/>
        </w:numPr>
        <w:spacing w:line="360" w:lineRule="auto"/>
        <w:jc w:val="left"/>
        <w:outlineLvl w:val="1"/>
        <w:rPr>
          <w:rFonts w:hint="eastAsia" w:ascii="Times New Roman" w:hAnsi="Times New Roman" w:eastAsia="宋体" w:cs="Times New Roman"/>
          <w:b w:val="0"/>
          <w:bCs w:val="0"/>
          <w:kern w:val="0"/>
          <w:sz w:val="28"/>
          <w:szCs w:val="28"/>
          <w:lang w:val="en-US" w:eastAsia="zh-CN" w:bidi="ar-SA"/>
        </w:rPr>
      </w:pPr>
      <w:r>
        <w:rPr>
          <w:rFonts w:hint="eastAsia" w:cs="Times New Roman"/>
          <w:b w:val="0"/>
          <w:bCs w:val="0"/>
          <w:kern w:val="0"/>
          <w:sz w:val="28"/>
          <w:szCs w:val="28"/>
          <w:lang w:val="en-US" w:eastAsia="zh-CN" w:bidi="ar-SA"/>
        </w:rPr>
        <w:t>十、</w:t>
      </w:r>
      <w:r>
        <w:rPr>
          <w:rFonts w:hint="eastAsia" w:ascii="Times New Roman" w:hAnsi="Times New Roman" w:eastAsia="宋体" w:cs="Times New Roman"/>
          <w:b w:val="0"/>
          <w:bCs w:val="0"/>
          <w:kern w:val="0"/>
          <w:sz w:val="28"/>
          <w:szCs w:val="28"/>
          <w:lang w:val="en-US" w:eastAsia="zh-CN" w:bidi="ar-SA"/>
        </w:rPr>
        <w:t>洁净空调</w:t>
      </w:r>
      <w:r>
        <w:rPr>
          <w:rFonts w:hint="eastAsia" w:cs="Times New Roman"/>
          <w:b w:val="0"/>
          <w:bCs w:val="0"/>
          <w:kern w:val="0"/>
          <w:sz w:val="28"/>
          <w:szCs w:val="28"/>
          <w:lang w:val="en-US" w:eastAsia="zh-CN" w:bidi="ar-SA"/>
        </w:rPr>
        <w:t>（核心产品）</w:t>
      </w:r>
    </w:p>
    <w:p w14:paraId="20D0B5A2">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default"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1、为保证空气处理机组的设计、生产能满足使用要求，并且达到一定的稳定性，制造商应有成熟的净化空气处理机组的设计选型软件；</w:t>
      </w:r>
    </w:p>
    <w:p w14:paraId="48377851">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2、整机结构应具有良好的隔热性能。发泡箱板应达到国家建筑防火要求，夹芯板泡沫燃烧性能等级为B1级；</w:t>
      </w:r>
    </w:p>
    <w:p w14:paraId="3FD82C81">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3、机组采用恒温恒湿一体化机型，机组由混风、风机、均流段；初效过滤、中效过滤、表冷(加热)、电极加湿、电加热、出风段、自控箱段组成，各功能段与控制系统一体化集成；正面及侧面维护，背面不需预留维修空间。因本项目机组安装空间有限，需提供符合本项目的机组生产图纸；</w:t>
      </w:r>
    </w:p>
    <w:p w14:paraId="57B6E816">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4、箱体要求：铝合金框架+双面保温箱板结构。框架选用铝合金框架，内、外金属板与发泡保温层一次发泡成型，形成高强度箱板，在±1000pa下，机组变形量≤0.6mm/m，机组的机械强度性能达到D1级；</w:t>
      </w:r>
    </w:p>
    <w:p w14:paraId="4A519537">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5、依据GB/T19569-2004、GB25130-2010检测标准，提供风量、机外静压、制冷量、噪声、电气强度、泄漏电流、接地、防触电保护均合格的一体化洁净空调机组的检测报告。</w:t>
      </w:r>
    </w:p>
    <w:p w14:paraId="481F86B8">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6、送风机要求：机组风机必须采用数字直流无刷EC风机，不得选用普通离心风机代替。加湿器要求：加湿器采用电极式加湿器，需内置于机组内部。</w:t>
      </w:r>
    </w:p>
    <w:p w14:paraId="35E62DC8">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7、▲依据GB50333-2013和GB/T17626.8-2015标准，电压总谐波畸变率和电流总谐波畸变率要求检验合格。（需提供国家压缩机制冷设备质量监督检验中心或国家空调设备质量监督检验中心或具备CMA或CNAS资质的第三方检测机构出具的检测报告复印件并加盖公章）</w:t>
      </w:r>
    </w:p>
    <w:p w14:paraId="1EEF3F4B">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8、▲依据GB/T19569-2004标准规定的试验方法,机组在静压1500Pa下，箱体的漏风率不大于0.04%。（需提供国家空调设备质量监督检验中心或国家压缩机制冷设备质量监督检验中心或具备CMA或CNAS资质的第三方检测机构出具的检测报告复印件并加盖公章）。</w:t>
      </w:r>
    </w:p>
    <w:p w14:paraId="617C4DFE">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9、表冷器采用铜管穿铝翅片结构，铝翅片表面必须有防腐涂层，铝翅片的形状要兼顾清洁和换热效率，所有换热器在安装于机组前必须进行检漏试验。</w:t>
      </w:r>
    </w:p>
    <w:p w14:paraId="01DF4EAF">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Calibri" w:hAnsi="Calibri" w:eastAsia="宋体"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10、空气处理机组的接水盘采用特种抗菌型304不锈钢材质，对大肠杆菌、金黄色葡萄球菌、铜绿假单胞菌和鼠伤寒沙门氏菌的抗菌率均达到99.9%以上，鼠伤寒沙门氏菌抗菌活性值大于5.5。（提供第三方产品检测报告复印件，并加盖公章）</w:t>
      </w:r>
    </w:p>
    <w:p w14:paraId="72BFE049">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default" w:ascii="Calibri" w:hAnsi="Calibri" w:eastAsia="微软雅黑" w:cs="Times New Roman"/>
          <w:kern w:val="2"/>
          <w:sz w:val="22"/>
          <w:szCs w:val="22"/>
          <w:highlight w:val="none"/>
          <w:lang w:val="en-US" w:eastAsia="zh-CN" w:bidi="ar-SA"/>
        </w:rPr>
      </w:pPr>
      <w:r>
        <w:rPr>
          <w:rFonts w:hint="eastAsia" w:ascii="Calibri" w:hAnsi="Calibri" w:eastAsia="宋体" w:cs="Times New Roman"/>
          <w:kern w:val="2"/>
          <w:sz w:val="22"/>
          <w:szCs w:val="22"/>
          <w:highlight w:val="none"/>
          <w:lang w:val="en-US" w:eastAsia="zh-CN" w:bidi="ar-SA"/>
        </w:rPr>
        <w:t>11、▲依据GB/T19569-2004检测标准，空调机组的断面风速均匀度为100%（需提供国家空调设备质量监督检验中心或国家压缩机制冷设备质量监督检验中心或具备CMA或CNAS资质的第三方检测机构出具的检测报告复印件并加盖公章）。</w:t>
      </w:r>
    </w:p>
    <w:p w14:paraId="6E32200A">
      <w:pPr>
        <w:jc w:val="left"/>
        <w:outlineLvl w:val="1"/>
        <w:rPr>
          <w:rFonts w:hint="default" w:cs="Times New Roman"/>
          <w:b w:val="0"/>
          <w:bCs w:val="0"/>
          <w:kern w:val="0"/>
          <w:sz w:val="28"/>
          <w:szCs w:val="28"/>
          <w:lang w:val="en-US" w:eastAsia="zh-CN" w:bidi="ar-SA"/>
        </w:rPr>
      </w:pPr>
      <w:r>
        <w:rPr>
          <w:rFonts w:hint="eastAsia" w:ascii="Times New Roman" w:hAnsi="Times New Roman" w:eastAsia="宋体" w:cs="Times New Roman"/>
          <w:b w:val="0"/>
          <w:bCs w:val="0"/>
          <w:kern w:val="0"/>
          <w:sz w:val="28"/>
          <w:szCs w:val="28"/>
          <w:lang w:val="en-US" w:eastAsia="zh-CN" w:bidi="ar-SA"/>
        </w:rPr>
        <w:t>十一、</w:t>
      </w:r>
      <w:r>
        <w:rPr>
          <w:rFonts w:hint="eastAsia" w:cs="Times New Roman"/>
          <w:b w:val="0"/>
          <w:bCs w:val="0"/>
          <w:kern w:val="0"/>
          <w:sz w:val="28"/>
          <w:szCs w:val="28"/>
          <w:lang w:val="en-US" w:eastAsia="zh-CN" w:bidi="ar-SA"/>
        </w:rPr>
        <w:t>数字化手术室</w:t>
      </w:r>
    </w:p>
    <w:p w14:paraId="6FE303BA">
      <w:pPr>
        <w:spacing w:line="360" w:lineRule="auto"/>
        <w:jc w:val="left"/>
        <w:rPr>
          <w:rFonts w:hint="eastAsia" w:ascii="Calibri" w:hAnsi="Calibri" w:eastAsia="宋体" w:cs="Times New Roman"/>
          <w:sz w:val="22"/>
          <w:szCs w:val="22"/>
          <w:highlight w:val="none"/>
        </w:rPr>
      </w:pPr>
      <w:r>
        <w:rPr>
          <w:rFonts w:hint="eastAsia" w:eastAsia="宋体" w:cs="Times New Roman"/>
          <w:sz w:val="22"/>
          <w:szCs w:val="22"/>
          <w:highlight w:val="none"/>
          <w:lang w:val="en-US" w:eastAsia="zh-CN"/>
        </w:rPr>
        <w:t>（</w:t>
      </w:r>
      <w:r>
        <w:rPr>
          <w:rFonts w:hint="eastAsia" w:ascii="Calibri" w:hAnsi="Calibri" w:eastAsia="宋体" w:cs="Times New Roman"/>
          <w:sz w:val="22"/>
          <w:szCs w:val="22"/>
          <w:highlight w:val="none"/>
          <w:lang w:val="en-US" w:eastAsia="zh-CN"/>
        </w:rPr>
        <w:t>一</w:t>
      </w:r>
      <w:r>
        <w:rPr>
          <w:rFonts w:hint="eastAsia" w:eastAsia="宋体" w:cs="Times New Roman"/>
          <w:sz w:val="22"/>
          <w:szCs w:val="22"/>
          <w:highlight w:val="none"/>
          <w:lang w:val="en-US" w:eastAsia="zh-CN"/>
        </w:rPr>
        <w:t>）</w:t>
      </w:r>
      <w:r>
        <w:rPr>
          <w:rFonts w:hint="eastAsia" w:ascii="Calibri" w:hAnsi="Calibri" w:eastAsia="宋体" w:cs="Times New Roman"/>
          <w:sz w:val="22"/>
          <w:szCs w:val="22"/>
          <w:highlight w:val="none"/>
        </w:rPr>
        <w:t>、通用技术要求</w:t>
      </w:r>
    </w:p>
    <w:p w14:paraId="104BB025">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rPr>
        <w:t>1</w:t>
      </w:r>
      <w:r>
        <w:rPr>
          <w:rFonts w:hint="eastAsia" w:ascii="Calibri" w:hAnsi="Calibri" w:eastAsia="宋体" w:cs="Times New Roman"/>
          <w:sz w:val="22"/>
          <w:szCs w:val="22"/>
          <w:highlight w:val="none"/>
          <w:lang w:eastAsia="zh-CN"/>
        </w:rPr>
        <w:t>、</w:t>
      </w:r>
      <w:r>
        <w:rPr>
          <w:rFonts w:hint="eastAsia" w:ascii="Calibri" w:hAnsi="Calibri" w:eastAsia="宋体" w:cs="Times New Roman"/>
          <w:sz w:val="22"/>
          <w:szCs w:val="22"/>
          <w:highlight w:val="none"/>
        </w:rPr>
        <w:t>手术室环境适配要求</w:t>
      </w:r>
    </w:p>
    <w:p w14:paraId="02B7EBC0">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eastAsia="zh-CN"/>
        </w:rPr>
        <w:t>1</w:t>
      </w:r>
      <w:r>
        <w:rPr>
          <w:rFonts w:hint="eastAsia" w:ascii="Calibri" w:hAnsi="Calibri" w:eastAsia="宋体" w:cs="Times New Roman"/>
          <w:sz w:val="22"/>
          <w:szCs w:val="22"/>
          <w:highlight w:val="none"/>
          <w:lang w:val="en-US" w:eastAsia="zh-CN"/>
        </w:rPr>
        <w:t>.1、</w:t>
      </w:r>
      <w:r>
        <w:rPr>
          <w:rFonts w:hint="eastAsia" w:ascii="Calibri" w:hAnsi="Calibri" w:eastAsia="宋体" w:cs="Times New Roman"/>
          <w:sz w:val="22"/>
          <w:szCs w:val="22"/>
          <w:highlight w:val="none"/>
        </w:rPr>
        <w:t>嵌装设备箱体、前面板防护等级≥IP65，外露终端面板防护≥IP22；设备外壳、支架采用抗菌喷涂/304不锈钢/医用钢化玻璃材质，可反复医用消毒液擦拭，无腐蚀掉色。</w:t>
      </w:r>
    </w:p>
    <w:p w14:paraId="1BCC4CB4">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eastAsia="zh-CN"/>
        </w:rPr>
        <w:t>1</w:t>
      </w:r>
      <w:r>
        <w:rPr>
          <w:rFonts w:hint="eastAsia" w:ascii="Calibri" w:hAnsi="Calibri" w:eastAsia="宋体" w:cs="Times New Roman"/>
          <w:sz w:val="22"/>
          <w:szCs w:val="22"/>
          <w:highlight w:val="none"/>
          <w:lang w:val="en-US" w:eastAsia="zh-CN"/>
        </w:rPr>
        <w:t>.2、</w:t>
      </w:r>
      <w:r>
        <w:rPr>
          <w:rFonts w:hint="eastAsia" w:ascii="Calibri" w:hAnsi="Calibri" w:eastAsia="宋体" w:cs="Times New Roman"/>
          <w:sz w:val="22"/>
          <w:szCs w:val="22"/>
          <w:highlight w:val="none"/>
        </w:rPr>
        <w:t>无风扇设备优先选用，有散热风扇设备必须为超静音款，运行噪音≤35dB，不干扰手术环境。</w:t>
      </w:r>
    </w:p>
    <w:p w14:paraId="5C2F0F7D">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val="en-US" w:eastAsia="zh-CN"/>
        </w:rPr>
        <w:t>1.3、</w:t>
      </w:r>
      <w:r>
        <w:rPr>
          <w:rFonts w:hint="eastAsia" w:ascii="Calibri" w:hAnsi="Calibri" w:eastAsia="宋体" w:cs="Times New Roman"/>
          <w:sz w:val="22"/>
          <w:szCs w:val="22"/>
          <w:highlight w:val="none"/>
        </w:rPr>
        <w:t> 所有悬臂、箱体内部集成线缆收纳通道，强弱电分离屏蔽布线，现场无杂乱外露线缆，满足百级手术室净化施工规范。</w:t>
      </w:r>
    </w:p>
    <w:p w14:paraId="6E8A0A0F">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eastAsia="zh-CN"/>
        </w:rPr>
        <w:t>1</w:t>
      </w:r>
      <w:r>
        <w:rPr>
          <w:rFonts w:hint="eastAsia" w:ascii="Calibri" w:hAnsi="Calibri" w:eastAsia="宋体" w:cs="Times New Roman"/>
          <w:sz w:val="22"/>
          <w:szCs w:val="22"/>
          <w:highlight w:val="none"/>
          <w:lang w:val="en-US" w:eastAsia="zh-CN"/>
        </w:rPr>
        <w:t>.4、</w:t>
      </w:r>
      <w:r>
        <w:rPr>
          <w:rFonts w:hint="eastAsia" w:ascii="Calibri" w:hAnsi="Calibri" w:eastAsia="宋体" w:cs="Times New Roman"/>
          <w:sz w:val="22"/>
          <w:szCs w:val="22"/>
          <w:highlight w:val="none"/>
        </w:rPr>
        <w:t> 整机电磁兼容达标，运行不干扰腔镜、超声、监护仪等医用高频设备。</w:t>
      </w:r>
    </w:p>
    <w:p w14:paraId="4EB4D806">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val="en-US" w:eastAsia="zh-CN"/>
        </w:rPr>
        <w:t>2、</w:t>
      </w:r>
      <w:r>
        <w:rPr>
          <w:rFonts w:hint="eastAsia" w:ascii="Calibri" w:hAnsi="Calibri" w:eastAsia="宋体" w:cs="Times New Roman"/>
          <w:sz w:val="22"/>
          <w:szCs w:val="22"/>
          <w:highlight w:val="none"/>
        </w:rPr>
        <w:t>音视频通用标准</w:t>
      </w:r>
    </w:p>
    <w:p w14:paraId="7B39686F">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eastAsia="zh-CN"/>
        </w:rPr>
        <w:t>2</w:t>
      </w:r>
      <w:r>
        <w:rPr>
          <w:rFonts w:hint="eastAsia" w:ascii="Calibri" w:hAnsi="Calibri" w:eastAsia="宋体" w:cs="Times New Roman"/>
          <w:sz w:val="22"/>
          <w:szCs w:val="22"/>
          <w:highlight w:val="none"/>
          <w:lang w:val="en-US" w:eastAsia="zh-CN"/>
        </w:rPr>
        <w:t>.1、</w:t>
      </w:r>
      <w:r>
        <w:rPr>
          <w:rFonts w:hint="eastAsia" w:ascii="Calibri" w:hAnsi="Calibri" w:eastAsia="宋体" w:cs="Times New Roman"/>
          <w:sz w:val="22"/>
          <w:szCs w:val="22"/>
          <w:highlight w:val="none"/>
        </w:rPr>
        <w:t>视频原生支持4K@60Hz编解码，向下兼容1080P、720P；录播格式MP4/TS/MOV通用可导出。</w:t>
      </w:r>
    </w:p>
    <w:p w14:paraId="184442DD">
      <w:pPr>
        <w:spacing w:line="360" w:lineRule="auto"/>
        <w:jc w:val="left"/>
        <w:rPr>
          <w:rFonts w:hint="default" w:ascii="Calibri" w:hAnsi="Calibri" w:eastAsia="宋体" w:cs="Times New Roman"/>
          <w:sz w:val="22"/>
          <w:szCs w:val="22"/>
          <w:highlight w:val="none"/>
          <w:lang w:val="en-US" w:eastAsia="zh-CN"/>
        </w:rPr>
      </w:pPr>
      <w:r>
        <w:rPr>
          <w:rFonts w:hint="eastAsia" w:ascii="Calibri" w:hAnsi="Calibri" w:eastAsia="宋体" w:cs="Times New Roman"/>
          <w:sz w:val="22"/>
          <w:szCs w:val="22"/>
          <w:highlight w:val="none"/>
          <w:lang w:val="en-US" w:eastAsia="zh-CN"/>
        </w:rPr>
        <w:t>2.2、</w:t>
      </w:r>
      <w:r>
        <w:rPr>
          <w:rFonts w:hint="eastAsia" w:ascii="Calibri" w:hAnsi="Calibri" w:eastAsia="宋体" w:cs="Times New Roman"/>
          <w:sz w:val="22"/>
          <w:szCs w:val="22"/>
          <w:highlight w:val="none"/>
        </w:rPr>
        <w:t>音频支持DANTE等主流数字音频协议，全向拾音、降噪处理，无回声杂音。</w:t>
      </w:r>
    </w:p>
    <w:p w14:paraId="159F8B78">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eastAsia="zh-CN"/>
        </w:rPr>
        <w:t>2</w:t>
      </w:r>
      <w:r>
        <w:rPr>
          <w:rFonts w:hint="eastAsia" w:ascii="Calibri" w:hAnsi="Calibri" w:eastAsia="宋体" w:cs="Times New Roman"/>
          <w:sz w:val="22"/>
          <w:szCs w:val="22"/>
          <w:highlight w:val="none"/>
          <w:lang w:val="en-US" w:eastAsia="zh-CN"/>
        </w:rPr>
        <w:t>.3、</w:t>
      </w:r>
      <w:r>
        <w:rPr>
          <w:rFonts w:hint="eastAsia" w:ascii="Calibri" w:hAnsi="Calibri" w:eastAsia="宋体" w:cs="Times New Roman"/>
          <w:sz w:val="22"/>
          <w:szCs w:val="22"/>
          <w:highlight w:val="none"/>
        </w:rPr>
        <w:t>信号切换延迟＜0.5s，手术主信号故障自动切换备用通道，保障手术不间断。</w:t>
      </w:r>
    </w:p>
    <w:p w14:paraId="2F5792AE">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val="en-US" w:eastAsia="zh-CN"/>
        </w:rPr>
        <w:t>3、</w:t>
      </w:r>
      <w:r>
        <w:rPr>
          <w:rFonts w:hint="eastAsia" w:ascii="Calibri" w:hAnsi="Calibri" w:eastAsia="宋体" w:cs="Times New Roman"/>
          <w:sz w:val="22"/>
          <w:szCs w:val="22"/>
          <w:highlight w:val="none"/>
        </w:rPr>
        <w:t>软件通用硬性要求</w:t>
      </w:r>
    </w:p>
    <w:p w14:paraId="579ADDFF">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val="en-US" w:eastAsia="zh-CN"/>
        </w:rPr>
        <w:t>3.1、</w:t>
      </w:r>
      <w:r>
        <w:rPr>
          <w:rFonts w:hint="eastAsia" w:ascii="Calibri" w:hAnsi="Calibri" w:eastAsia="宋体" w:cs="Times New Roman"/>
          <w:sz w:val="22"/>
          <w:szCs w:val="22"/>
          <w:highlight w:val="none"/>
        </w:rPr>
        <w:t>后台管理平台采用Linux系统保障医疗数据安全。</w:t>
      </w:r>
    </w:p>
    <w:p w14:paraId="4E22DFCC">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eastAsia="zh-CN"/>
        </w:rPr>
        <w:t>3</w:t>
      </w:r>
      <w:r>
        <w:rPr>
          <w:rFonts w:hint="eastAsia" w:ascii="Calibri" w:hAnsi="Calibri" w:eastAsia="宋体" w:cs="Times New Roman"/>
          <w:sz w:val="22"/>
          <w:szCs w:val="22"/>
          <w:highlight w:val="none"/>
          <w:lang w:val="en-US" w:eastAsia="zh-CN"/>
        </w:rPr>
        <w:t>.2、</w:t>
      </w:r>
      <w:r>
        <w:rPr>
          <w:rFonts w:hint="eastAsia" w:ascii="Calibri" w:hAnsi="Calibri" w:eastAsia="宋体" w:cs="Times New Roman"/>
          <w:sz w:val="22"/>
          <w:szCs w:val="22"/>
          <w:highlight w:val="none"/>
        </w:rPr>
        <w:t>全系统分级账号权限：管理员、主刀医师、护士、示教学员、家属，操作全程留痕日志，可追溯。</w:t>
      </w:r>
    </w:p>
    <w:p w14:paraId="6CB68881">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val="en-US" w:eastAsia="zh-CN"/>
        </w:rPr>
        <w:t>3.3、</w:t>
      </w:r>
      <w:r>
        <w:rPr>
          <w:rFonts w:hint="eastAsia" w:ascii="Calibri" w:hAnsi="Calibri" w:eastAsia="宋体" w:cs="Times New Roman"/>
          <w:sz w:val="22"/>
          <w:szCs w:val="22"/>
          <w:highlight w:val="none"/>
        </w:rPr>
        <w:t>全部系统开放WebService、数据库视图、标准API接口，可无缝对接医院HIS、手麻系统、PACS影像库。</w:t>
      </w:r>
    </w:p>
    <w:p w14:paraId="71DA3D31">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eastAsia="zh-CN"/>
        </w:rPr>
        <w:t>3</w:t>
      </w:r>
      <w:r>
        <w:rPr>
          <w:rFonts w:hint="eastAsia" w:ascii="Calibri" w:hAnsi="Calibri" w:eastAsia="宋体" w:cs="Times New Roman"/>
          <w:sz w:val="22"/>
          <w:szCs w:val="22"/>
          <w:highlight w:val="none"/>
          <w:lang w:val="en-US" w:eastAsia="zh-CN"/>
        </w:rPr>
        <w:t>.4、</w:t>
      </w:r>
      <w:r>
        <w:rPr>
          <w:rFonts w:hint="eastAsia" w:ascii="Calibri" w:hAnsi="Calibri" w:eastAsia="宋体" w:cs="Times New Roman"/>
          <w:sz w:val="22"/>
          <w:szCs w:val="22"/>
          <w:highlight w:val="none"/>
        </w:rPr>
        <w:t>支持多间手术室同步录播、直播，单系统最大并发观看≥300路。</w:t>
      </w:r>
    </w:p>
    <w:p w14:paraId="497F56BA">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val="en-US" w:eastAsia="zh-CN"/>
        </w:rPr>
        <w:t>4、</w:t>
      </w:r>
      <w:r>
        <w:rPr>
          <w:rFonts w:hint="eastAsia" w:ascii="Calibri" w:hAnsi="Calibri" w:eastAsia="宋体" w:cs="Times New Roman"/>
          <w:sz w:val="22"/>
          <w:szCs w:val="22"/>
          <w:highlight w:val="none"/>
        </w:rPr>
        <w:t>施工与配套通用要求</w:t>
      </w:r>
    </w:p>
    <w:p w14:paraId="6F375AD3">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val="en-US" w:eastAsia="zh-CN"/>
        </w:rPr>
        <w:t>4.1、</w:t>
      </w:r>
      <w:r>
        <w:rPr>
          <w:rFonts w:hint="eastAsia" w:ascii="Calibri" w:hAnsi="Calibri" w:eastAsia="宋体" w:cs="Times New Roman"/>
          <w:sz w:val="22"/>
          <w:szCs w:val="22"/>
          <w:highlight w:val="none"/>
        </w:rPr>
        <w:t>所有配套预埋件、支架、专用线缆、消毒辅材、安装耗材全部包含在投标总价内，招标人无需额外付费。</w:t>
      </w:r>
    </w:p>
    <w:p w14:paraId="56C5027E">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val="en-US" w:eastAsia="zh-CN"/>
        </w:rPr>
        <w:t>4.2、</w:t>
      </w:r>
      <w:r>
        <w:rPr>
          <w:rFonts w:hint="eastAsia" w:ascii="Calibri" w:hAnsi="Calibri" w:eastAsia="宋体" w:cs="Times New Roman"/>
          <w:sz w:val="22"/>
          <w:szCs w:val="22"/>
          <w:highlight w:val="none"/>
        </w:rPr>
        <w:t>嵌墙设备配合净化墙板同步预埋，完工后设备表面与墙面完全齐平，无凸起积灰死角。</w:t>
      </w:r>
    </w:p>
    <w:p w14:paraId="68BBA8D1">
      <w:pPr>
        <w:spacing w:line="360" w:lineRule="auto"/>
        <w:jc w:val="left"/>
        <w:rPr>
          <w:rFonts w:hint="eastAsia" w:ascii="Calibri" w:hAnsi="Calibri" w:eastAsia="宋体" w:cs="Times New Roman"/>
          <w:sz w:val="22"/>
          <w:szCs w:val="22"/>
          <w:highlight w:val="none"/>
        </w:rPr>
      </w:pPr>
      <w:r>
        <w:rPr>
          <w:rFonts w:hint="eastAsia" w:ascii="Calibri" w:hAnsi="Calibri" w:eastAsia="宋体" w:cs="Times New Roman"/>
          <w:sz w:val="22"/>
          <w:szCs w:val="22"/>
          <w:highlight w:val="none"/>
          <w:lang w:eastAsia="zh-CN"/>
        </w:rPr>
        <w:t>4</w:t>
      </w:r>
      <w:r>
        <w:rPr>
          <w:rFonts w:hint="eastAsia" w:ascii="Calibri" w:hAnsi="Calibri" w:eastAsia="宋体" w:cs="Times New Roman"/>
          <w:sz w:val="22"/>
          <w:szCs w:val="22"/>
          <w:highlight w:val="none"/>
          <w:lang w:val="en-US" w:eastAsia="zh-CN"/>
        </w:rPr>
        <w:t>.3、</w:t>
      </w:r>
      <w:r>
        <w:rPr>
          <w:rFonts w:hint="eastAsia" w:ascii="Calibri" w:hAnsi="Calibri" w:eastAsia="宋体" w:cs="Times New Roman"/>
          <w:sz w:val="22"/>
          <w:szCs w:val="22"/>
          <w:highlight w:val="none"/>
        </w:rPr>
        <w:t xml:space="preserve">安装完成提供全套竣工图纸：系统拓扑图、点位图、布线图、设备参数配置文档。 </w:t>
      </w:r>
    </w:p>
    <w:p w14:paraId="7386FC12">
      <w:pPr>
        <w:spacing w:line="360" w:lineRule="auto"/>
        <w:jc w:val="left"/>
        <w:rPr>
          <w:rFonts w:hint="eastAsia" w:ascii="Calibri" w:hAnsi="Calibri" w:eastAsia="宋体" w:cs="Times New Roman"/>
          <w:sz w:val="22"/>
          <w:szCs w:val="22"/>
          <w:highlight w:val="none"/>
        </w:rPr>
      </w:pPr>
      <w:r>
        <w:rPr>
          <w:rFonts w:hint="eastAsia" w:eastAsia="宋体" w:cs="Times New Roman"/>
          <w:sz w:val="22"/>
          <w:szCs w:val="22"/>
          <w:highlight w:val="none"/>
          <w:lang w:eastAsia="zh-CN"/>
        </w:rPr>
        <w:t>（</w:t>
      </w:r>
      <w:r>
        <w:rPr>
          <w:rFonts w:hint="eastAsia" w:ascii="Calibri" w:hAnsi="Calibri" w:eastAsia="宋体" w:cs="Times New Roman"/>
          <w:sz w:val="22"/>
          <w:szCs w:val="22"/>
          <w:highlight w:val="none"/>
          <w:lang w:eastAsia="zh-CN"/>
        </w:rPr>
        <w:t>二</w:t>
      </w:r>
      <w:r>
        <w:rPr>
          <w:rFonts w:hint="eastAsia" w:eastAsia="宋体" w:cs="Times New Roman"/>
          <w:sz w:val="22"/>
          <w:szCs w:val="22"/>
          <w:highlight w:val="none"/>
          <w:lang w:eastAsia="zh-CN"/>
        </w:rPr>
        <w:t>）</w:t>
      </w:r>
      <w:r>
        <w:rPr>
          <w:rFonts w:hint="eastAsia" w:ascii="Calibri" w:hAnsi="Calibri" w:eastAsia="宋体" w:cs="Times New Roman"/>
          <w:sz w:val="22"/>
          <w:szCs w:val="22"/>
          <w:highlight w:val="none"/>
        </w:rPr>
        <w:t>、</w:t>
      </w:r>
      <w:r>
        <w:rPr>
          <w:rFonts w:hint="eastAsia" w:ascii="Calibri" w:hAnsi="Calibri" w:eastAsia="宋体" w:cs="Times New Roman"/>
          <w:sz w:val="22"/>
          <w:szCs w:val="22"/>
          <w:highlight w:val="none"/>
          <w:lang w:eastAsia="zh-CN"/>
        </w:rPr>
        <w:t>主要</w:t>
      </w:r>
      <w:r>
        <w:rPr>
          <w:rFonts w:hint="eastAsia" w:ascii="Calibri" w:hAnsi="Calibri" w:eastAsia="宋体" w:cs="Times New Roman"/>
          <w:sz w:val="22"/>
          <w:szCs w:val="22"/>
          <w:highlight w:val="none"/>
        </w:rPr>
        <w:t>设备详细技术参数</w:t>
      </w:r>
    </w:p>
    <w:p w14:paraId="33ED2528">
      <w:pPr>
        <w:rPr>
          <w:rFonts w:hint="eastAsia" w:ascii="宋体" w:hAnsi="宋体" w:eastAsia="宋体" w:cs="宋体"/>
          <w:sz w:val="22"/>
          <w:szCs w:val="22"/>
        </w:rPr>
      </w:pPr>
      <w:r>
        <w:rPr>
          <w:rFonts w:hint="eastAsia" w:ascii="宋体" w:hAnsi="宋体" w:eastAsia="宋体" w:cs="宋体"/>
          <w:sz w:val="22"/>
          <w:szCs w:val="22"/>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19"/>
        <w:gridCol w:w="1607"/>
        <w:gridCol w:w="5920"/>
      </w:tblGrid>
      <w:tr w14:paraId="576C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top"/>
          </w:tcPr>
          <w:p w14:paraId="4CA8431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序号</w:t>
            </w:r>
          </w:p>
        </w:tc>
        <w:tc>
          <w:tcPr>
            <w:tcW w:w="940" w:type="pct"/>
            <w:noWrap w:val="0"/>
            <w:tcMar>
              <w:top w:w="60" w:type="dxa"/>
              <w:left w:w="120" w:type="dxa"/>
              <w:bottom w:w="30" w:type="dxa"/>
              <w:right w:w="120" w:type="dxa"/>
            </w:tcMar>
            <w:vAlign w:val="top"/>
          </w:tcPr>
          <w:p w14:paraId="054DC86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设备名称</w:t>
            </w:r>
          </w:p>
        </w:tc>
        <w:tc>
          <w:tcPr>
            <w:tcW w:w="3463" w:type="pct"/>
            <w:noWrap w:val="0"/>
            <w:tcMar>
              <w:top w:w="60" w:type="dxa"/>
              <w:left w:w="120" w:type="dxa"/>
              <w:bottom w:w="30" w:type="dxa"/>
              <w:right w:w="120" w:type="dxa"/>
            </w:tcMar>
            <w:vAlign w:val="top"/>
          </w:tcPr>
          <w:p w14:paraId="099C14F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详细技术参数</w:t>
            </w:r>
          </w:p>
        </w:tc>
      </w:tr>
      <w:tr w14:paraId="701F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1F0F842D">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w:t>
            </w:r>
          </w:p>
        </w:tc>
        <w:tc>
          <w:tcPr>
            <w:tcW w:w="940" w:type="pct"/>
            <w:noWrap w:val="0"/>
            <w:tcMar>
              <w:top w:w="60" w:type="dxa"/>
              <w:left w:w="120" w:type="dxa"/>
              <w:bottom w:w="30" w:type="dxa"/>
              <w:right w:w="120" w:type="dxa"/>
            </w:tcMar>
            <w:vAlign w:val="center"/>
          </w:tcPr>
          <w:p w14:paraId="7EF8BD8C">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65英寸4K医用影像交互平台</w:t>
            </w:r>
          </w:p>
        </w:tc>
        <w:tc>
          <w:tcPr>
            <w:tcW w:w="3463" w:type="pct"/>
            <w:noWrap w:val="0"/>
            <w:tcMar>
              <w:top w:w="60" w:type="dxa"/>
              <w:left w:w="120" w:type="dxa"/>
              <w:bottom w:w="30" w:type="dxa"/>
              <w:right w:w="120" w:type="dxa"/>
            </w:tcMar>
            <w:vAlign w:val="top"/>
          </w:tcPr>
          <w:p w14:paraId="19EC4EEA">
            <w:pPr>
              <w:pStyle w:val="7"/>
              <w:numPr>
                <w:ilvl w:val="0"/>
                <w:numId w:val="3"/>
              </w:num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整体功能:</w:t>
            </w:r>
            <w:r>
              <w:rPr>
                <w:rFonts w:hint="eastAsia" w:ascii="宋体" w:hAnsi="宋体" w:eastAsia="宋体" w:cs="宋体"/>
                <w:color w:val="000000"/>
                <w:sz w:val="22"/>
                <w:szCs w:val="22"/>
                <w:lang w:val="en-US" w:eastAsia="zh-CN"/>
              </w:rPr>
              <w:t xml:space="preserve">                           </w:t>
            </w:r>
          </w:p>
          <w:p w14:paraId="0A9E0AFC">
            <w:pPr>
              <w:pStyle w:val="7"/>
              <w:numPr>
                <w:ilvl w:val="0"/>
                <w:numId w:val="0"/>
              </w:numPr>
              <w:rPr>
                <w:rFonts w:hint="eastAsia" w:ascii="宋体" w:hAnsi="宋体" w:eastAsia="宋体" w:cs="宋体"/>
                <w:color w:val="000000"/>
                <w:sz w:val="22"/>
                <w:szCs w:val="22"/>
              </w:rPr>
            </w:pPr>
            <w:r>
              <w:rPr>
                <w:rFonts w:hint="eastAsia" w:ascii="宋体" w:hAnsi="宋体" w:eastAsia="宋体" w:cs="宋体"/>
                <w:color w:val="000000"/>
                <w:sz w:val="22"/>
                <w:szCs w:val="22"/>
              </w:rPr>
              <w:t>(1)支持智能软控交互:操作简单实用,无需键盘支持全触控菜单进行操作</w:t>
            </w:r>
          </w:p>
          <w:p w14:paraId="3BC1EF0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(2)显示终端需内置电子白板,随意书写和擦除、保存等,便于在手术室内调阅手术方案进行讨论和标注,便于手术过程中进行实时手术分析;</w:t>
            </w:r>
          </w:p>
          <w:p w14:paraId="18CE2DB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(3)批注模式,在手术过程中可以进入冻结画面并进行,书写,标注等操作,便于在手术过程中进行交流和沟通;</w:t>
            </w:r>
          </w:p>
          <w:p w14:paraId="73AEC36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(4)显示终端本身支持观片灯模式,可通过快捷菜单快速进入观片灯模式,观片灯可以任意改变尺寸以适应不同尺</w:t>
            </w:r>
          </w:p>
          <w:p w14:paraId="6727155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寸胶片;</w:t>
            </w:r>
          </w:p>
          <w:p w14:paraId="594C7F4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(5)显示器支持视频影像解码功能,解码分辨率最大支持</w:t>
            </w:r>
          </w:p>
          <w:p w14:paraId="3342BB6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3840×2160P60Hz</w:t>
            </w:r>
          </w:p>
          <w:p w14:paraId="5A5DCB3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,并向下兼容1080P60Hz、1080P30Hz等多种分辨率;</w:t>
            </w:r>
          </w:p>
          <w:p w14:paraId="41FC1E3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(6)多种显示模式,支持单画面、画中画,画外画、4画面等多种显示模式;</w:t>
            </w:r>
          </w:p>
          <w:p w14:paraId="23480F1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支持数字化手术室软件控制功能,在任何显示模式下可通过触控屏快捷调出数字化手术室控制画面并叠加显示在显示屏上,在不影响大屏影像显示的情况下可进行手术室内显示屏分屏模式切换、视频源切换、开启录像、录像视频源选择、停止录像、影像截图等操作。</w:t>
            </w:r>
          </w:p>
          <w:p w14:paraId="6E47125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(8)嵌入墙壁式安装,具备安装后密封能力,符合百级净化要求,屏幕且可擦拭消毒;</w:t>
            </w:r>
          </w:p>
          <w:p w14:paraId="4796105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二、显示单元:</w:t>
            </w:r>
          </w:p>
          <w:p w14:paraId="3FC86AB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(1)屏幕尺寸≥65英寸</w:t>
            </w:r>
          </w:p>
          <w:p w14:paraId="6BD93E8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(2)分辨率≥3840×2160;</w:t>
            </w:r>
          </w:p>
          <w:p w14:paraId="5E0A219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(3)对比度≥4000:1</w:t>
            </w:r>
          </w:p>
          <w:p w14:paraId="6E84EE7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(3)医用DICOM校准及快速图像模式调整功能,内置多种图像模式,DICOM模式、文本模式、影音模式、标准模式、自定义等</w:t>
            </w:r>
          </w:p>
          <w:p w14:paraId="6405ED2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(4)显示终端本身支持医用影像片观片灯模式,可通过快捷菜单快速进入观片灯模式</w:t>
            </w:r>
          </w:p>
          <w:p w14:paraId="68B09F2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(5)显示器支持视频影像解码功能,解码分辨率最大支持3840×2160,并向下兼容1080P60Hz、1080P30Hz等多种分辨率</w:t>
            </w:r>
          </w:p>
          <w:p w14:paraId="1E0F4FE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(6)接口:HDMI2.0≥3、Audio≥1、千兆网口≥2、OPS接口≥1,HDMIout≥1;</w:t>
            </w:r>
          </w:p>
          <w:p w14:paraId="56618D8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三、音频采集单元:</w:t>
            </w:r>
          </w:p>
          <w:p w14:paraId="19677DB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(1)采用内置一体化设计,节约手术室空间,提高系统可靠性;</w:t>
            </w:r>
          </w:p>
          <w:p w14:paraId="76E8D4D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(2)≥8阵列麦克风</w:t>
            </w:r>
          </w:p>
          <w:p w14:paraId="3F7EC62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(3)高灵敏度电容咪头,拾音距离≥8米</w:t>
            </w:r>
          </w:p>
          <w:p w14:paraId="736C1F0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(4)频率响应:20Hz~20kHz</w:t>
            </w:r>
          </w:p>
          <w:p w14:paraId="7F96DD3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(5)指向特性:全指向</w:t>
            </w:r>
          </w:p>
          <w:p w14:paraId="5B98A01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四、摄像采集单元:</w:t>
            </w:r>
          </w:p>
          <w:p w14:paraId="54174AC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(1)采用内置一体化设计,节约手术室空间,提高系统可靠性;</w:t>
            </w:r>
          </w:p>
          <w:p w14:paraId="2E11824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800万像素,支持人体识别自动跟踪;</w:t>
            </w:r>
          </w:p>
          <w:p w14:paraId="38100BD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五、触摸白板单元:</w:t>
            </w:r>
          </w:p>
          <w:p w14:paraId="4739688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(1)支持触摸控制,红外触控,触摸点数≥40点</w:t>
            </w:r>
          </w:p>
          <w:p w14:paraId="3AE75F8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(2)支持智能软控交互:操作简单实用,全触控菜单设置</w:t>
            </w:r>
          </w:p>
          <w:p w14:paraId="336E18A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(3)显示终端本机支持会议白板,随意批注和擦除、保存等,便于在手术室内调阅手术方案进行讨论和标注,便于手术过程中进行实时手术分析</w:t>
            </w:r>
          </w:p>
          <w:p w14:paraId="1B74C71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(4)响应时间≤15ms</w:t>
            </w:r>
          </w:p>
          <w:p w14:paraId="4452F03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(5)书写高度≤3.5mm</w:t>
            </w:r>
          </w:p>
          <w:p w14:paraId="5079900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(6)最小识别物≤2mm;</w:t>
            </w:r>
          </w:p>
          <w:p w14:paraId="0A7DF77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六、扩声单元:</w:t>
            </w:r>
          </w:p>
          <w:p w14:paraId="3C41563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(1)采用内置一体化设计,节约手术室空间,提高系统可靠性;</w:t>
            </w:r>
          </w:p>
          <w:p w14:paraId="7B09029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(2)声道:2.1</w:t>
            </w:r>
          </w:p>
          <w:p w14:paraId="01EBA2F6">
            <w:pPr>
              <w:pStyle w:val="7"/>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(3)功率:≥2X10W中高音+15W低音</w:t>
            </w:r>
            <w:r>
              <w:rPr>
                <w:rFonts w:hint="eastAsia" w:ascii="宋体" w:hAnsi="宋体" w:eastAsia="宋体" w:cs="宋体"/>
                <w:color w:val="000000"/>
                <w:sz w:val="22"/>
                <w:szCs w:val="22"/>
                <w:lang w:val="en-US" w:eastAsia="zh-CN"/>
              </w:rPr>
              <w:t xml:space="preserve">      </w:t>
            </w:r>
          </w:p>
          <w:p w14:paraId="0E9C9B7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七、▲所投产品需符合医疗电气设备电磁兼容性标准要求，并提供具有CMA或CNAS等检测标识的第三方检测报告复印件。需提供国家市场监督管理总局/全国认证认可信息公共服务平台http://cx.cnca.cn查询结果截图，查询不到视为无效报告。</w:t>
            </w:r>
          </w:p>
        </w:tc>
      </w:tr>
      <w:tr w14:paraId="4E7E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7332B1A1">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2</w:t>
            </w:r>
          </w:p>
        </w:tc>
        <w:tc>
          <w:tcPr>
            <w:tcW w:w="940" w:type="pct"/>
            <w:noWrap w:val="0"/>
            <w:tcMar>
              <w:top w:w="60" w:type="dxa"/>
              <w:left w:w="120" w:type="dxa"/>
              <w:bottom w:w="30" w:type="dxa"/>
              <w:right w:w="120" w:type="dxa"/>
            </w:tcMar>
            <w:vAlign w:val="center"/>
          </w:tcPr>
          <w:p w14:paraId="521843F2">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65英寸嵌墙式显示支撑系统(带键盘)</w:t>
            </w:r>
          </w:p>
        </w:tc>
        <w:tc>
          <w:tcPr>
            <w:tcW w:w="3463" w:type="pct"/>
            <w:noWrap w:val="0"/>
            <w:tcMar>
              <w:top w:w="60" w:type="dxa"/>
              <w:left w:w="120" w:type="dxa"/>
              <w:bottom w:w="30" w:type="dxa"/>
              <w:right w:w="120" w:type="dxa"/>
            </w:tcMar>
            <w:vAlign w:val="top"/>
          </w:tcPr>
          <w:p w14:paraId="37CFAC7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规格:(1)箱体尺寸:厚度≤19CM</w:t>
            </w:r>
          </w:p>
          <w:p w14:paraId="6B66D1F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(2)材质使用不低于1.5mm厚的碳钢</w:t>
            </w:r>
          </w:p>
          <w:p w14:paraId="0FA609F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(3)前维护伸缩支架;</w:t>
            </w:r>
          </w:p>
          <w:p w14:paraId="28915F6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(4)边框:采用磁吸式边框,安装后与手术室墙板平齐;</w:t>
            </w:r>
          </w:p>
          <w:p w14:paraId="2F25419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(5)散热:支持自然对流或者超静音风扇;</w:t>
            </w:r>
          </w:p>
          <w:p w14:paraId="29547A6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(6)箱体稳固,承重设计≥80KG;</w:t>
            </w:r>
          </w:p>
          <w:p w14:paraId="16EDB5F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(7)前面板密闭等级IP65,符合净化环境,可擦拭消毒;</w:t>
            </w:r>
          </w:p>
          <w:p w14:paraId="33AAC5F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(8)带有硅胶可折叠医用键盘及鼠标;键盘自带触摸板,并带有可调整亮度的背光灯,键盘可擦书消毒,鼠标支持浸泡式消毒;</w:t>
            </w:r>
          </w:p>
          <w:p w14:paraId="323F911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(9)前置USB接口不低于2个,支持护士身份认证UKEY</w:t>
            </w:r>
          </w:p>
        </w:tc>
      </w:tr>
      <w:tr w14:paraId="019A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267CE215">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3</w:t>
            </w:r>
          </w:p>
        </w:tc>
        <w:tc>
          <w:tcPr>
            <w:tcW w:w="940" w:type="pct"/>
            <w:noWrap w:val="0"/>
            <w:tcMar>
              <w:top w:w="60" w:type="dxa"/>
              <w:left w:w="120" w:type="dxa"/>
              <w:bottom w:w="30" w:type="dxa"/>
              <w:right w:w="120" w:type="dxa"/>
            </w:tcMar>
            <w:vAlign w:val="center"/>
          </w:tcPr>
          <w:p w14:paraId="33B95C5B">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32英寸4K外科显示器</w:t>
            </w:r>
          </w:p>
        </w:tc>
        <w:tc>
          <w:tcPr>
            <w:tcW w:w="3463" w:type="pct"/>
            <w:noWrap w:val="0"/>
            <w:tcMar>
              <w:top w:w="60" w:type="dxa"/>
              <w:left w:w="120" w:type="dxa"/>
              <w:bottom w:w="30" w:type="dxa"/>
              <w:right w:w="120" w:type="dxa"/>
            </w:tcMar>
            <w:vAlign w:val="top"/>
          </w:tcPr>
          <w:p w14:paraId="2BC05C4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1.医用级4K显示器,采用IPS-PRO面板技术,提供出色的清晰图像显示,屏幕玻璃必须带有AR+AF涂层以减少在手术室环境下的反光;</w:t>
            </w:r>
          </w:p>
          <w:p w14:paraId="7093FB9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2.屏幕对角线尺寸≥32英寸,物理分辨率≥3840*2160,对比度≥1300:1亮度≥1000cd/m2,显示格式16:9,垂直及水平有效视角范围≥178°</w:t>
            </w:r>
          </w:p>
          <w:p w14:paraId="49BDD17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3.支持校准色域空间:ITU709,BT.20204.符合DICOM3.14医用标准,显示曲线不低于原生,1.8,2.0,2.2,2.4,2.6,bypass,DICOM等。</w:t>
            </w:r>
          </w:p>
          <w:p w14:paraId="5970A66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5.采用背光稳定技术,保证背光稳定,具备五点亮度传感器,可自动实时监控亮度;</w:t>
            </w:r>
          </w:p>
          <w:p w14:paraId="2FF5E36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6.支持实时画面增强功能,能提升动态视频画面的真实感和临场感</w:t>
            </w:r>
          </w:p>
          <w:p w14:paraId="401908E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7.输入端口:12G-SDI不低于1个、3G-SDI不低于1个、HDMI2.0不低于1个、DP1.2不低于1个、DVI-D低于1个;</w:t>
            </w:r>
          </w:p>
          <w:p w14:paraId="44786E3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8.输出端口:12G-SDI不低于1个、DVI-D不低于1个</w:t>
            </w:r>
          </w:p>
          <w:p w14:paraId="6AF89DE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9.支持PIP和POP</w:t>
            </w:r>
          </w:p>
          <w:p w14:paraId="22D76E5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10.显示器屏幕采用双面防刮擦AR碱铝硅酸玻璃,具有出色的光学性能,为显示器提供持久保护,带有防指纹和防反射涂层;</w:t>
            </w:r>
          </w:p>
          <w:p w14:paraId="0EA85AC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11.采用电容触摸式按键,能够对键盘进行锁定</w:t>
            </w:r>
          </w:p>
          <w:p w14:paraId="4E447C2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12.塑料绝缘性外壳,全封闭设计,符合手术室净化和抗屏蔽要求</w:t>
            </w:r>
          </w:p>
          <w:p w14:paraId="55C2A0B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13.线缆可隐藏安装到外科支架和弹簧臂内,避免线缆缠绕,预防高频设备对屏幕干扰,确保环境整洁及使用安全</w:t>
            </w:r>
          </w:p>
          <w:p w14:paraId="5D9DE8E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14.显示器采用无风扇散热设计,拥有防溅外壳和全屏保护(面板防护等级达到IP22</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,符合手术室抗菌和层流环境的需求,方便清洁消毒</w:t>
            </w:r>
          </w:p>
          <w:p w14:paraId="0EDF480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15.具有失效保护模式,对重要设备采用双路信号连接,主路信号出现故障,屏幕会在</w:t>
            </w:r>
          </w:p>
          <w:p w14:paraId="103413F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0.5S的时间内启动切换备用信号,确保手术安全进行;</w:t>
            </w:r>
          </w:p>
        </w:tc>
      </w:tr>
      <w:tr w14:paraId="77C6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7E03DEA8">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4</w:t>
            </w:r>
          </w:p>
        </w:tc>
        <w:tc>
          <w:tcPr>
            <w:tcW w:w="940" w:type="pct"/>
            <w:noWrap w:val="0"/>
            <w:tcMar>
              <w:top w:w="60" w:type="dxa"/>
              <w:left w:w="120" w:type="dxa"/>
              <w:bottom w:w="30" w:type="dxa"/>
              <w:right w:w="120" w:type="dxa"/>
            </w:tcMar>
            <w:vAlign w:val="center"/>
          </w:tcPr>
          <w:p w14:paraId="7651CE67">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外科显示器悬臂</w:t>
            </w:r>
          </w:p>
        </w:tc>
        <w:tc>
          <w:tcPr>
            <w:tcW w:w="3463" w:type="pct"/>
            <w:noWrap w:val="0"/>
            <w:tcMar>
              <w:top w:w="60" w:type="dxa"/>
              <w:left w:w="120" w:type="dxa"/>
              <w:bottom w:w="30" w:type="dxa"/>
              <w:right w:w="120" w:type="dxa"/>
            </w:tcMar>
            <w:vAlign w:val="top"/>
          </w:tcPr>
          <w:p w14:paraId="245667F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1、悬臂预埋件基座主体采用国标角钢构造,且经过防锈处理。</w:t>
            </w:r>
          </w:p>
          <w:p w14:paraId="01C6A1F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2、悬臂主轴采用304不锈钢材料为主体。</w:t>
            </w:r>
          </w:p>
          <w:p w14:paraId="39F8EE3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3、悬吊系统横臂采用高强度铝合金材质,机械部分旋转方便轻巧,关节数≥5个,阻尼调节≥6个,关节能在水平方向无停顿移动,并且能自由旋转不缠绕,且无漂移。</w:t>
            </w:r>
          </w:p>
          <w:p w14:paraId="42BBFBF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4、悬臂设备表面喷涂采用环保抗菌粉末。</w:t>
            </w:r>
          </w:p>
          <w:p w14:paraId="0959F15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5、悬臂载重符合四倍承重设计要求。悬臂单根最大载重40公斤。</w:t>
            </w:r>
          </w:p>
          <w:p w14:paraId="3CDAD93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6、显示器系统能根据医生需要水平翻转调节视角,方便医生从不同角度和方向观看,保证医生手术舒适度。</w:t>
            </w:r>
          </w:p>
          <w:p w14:paraId="1784078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7、悬吊系统应可调节弹簧臂弹力系数,承重范围在13-18kg,并使终端设备能平稳停止在上下运动任意点,保持固定不动。</w:t>
            </w:r>
          </w:p>
          <w:p w14:paraId="64D750D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8、悬吊系统应可调节弹簧臂角度,可调节角度范围-50°-+45°。</w:t>
            </w:r>
          </w:p>
          <w:p w14:paraId="38DF97D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9、弹簧臂应配置线缆保护系统,防止线缆拧断。</w:t>
            </w:r>
          </w:p>
          <w:p w14:paraId="543E099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10、悬臂能独立旋转,不产生碰撞、缠绕现象,且与其他设备互不干扰,增加房间使用空间。</w:t>
            </w:r>
          </w:p>
          <w:p w14:paraId="1B7C5B4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11、悬挂系统带有线路收纳功能,并预留足够穿线空间。</w:t>
            </w:r>
          </w:p>
          <w:p w14:paraId="2D87C37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12、显示器悬吊臂应配置把手,方便操作人员把握移动</w:t>
            </w:r>
          </w:p>
        </w:tc>
      </w:tr>
      <w:tr w14:paraId="461D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5C0756BD">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5</w:t>
            </w:r>
          </w:p>
        </w:tc>
        <w:tc>
          <w:tcPr>
            <w:tcW w:w="940" w:type="pct"/>
            <w:noWrap w:val="0"/>
            <w:tcMar>
              <w:top w:w="60" w:type="dxa"/>
              <w:left w:w="120" w:type="dxa"/>
              <w:bottom w:w="30" w:type="dxa"/>
              <w:right w:w="120" w:type="dxa"/>
            </w:tcMar>
            <w:vAlign w:val="center"/>
          </w:tcPr>
          <w:p w14:paraId="5CA4C437">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27英寸一体化护士工作站</w:t>
            </w:r>
          </w:p>
        </w:tc>
        <w:tc>
          <w:tcPr>
            <w:tcW w:w="3463" w:type="pct"/>
            <w:noWrap w:val="0"/>
            <w:tcMar>
              <w:top w:w="60" w:type="dxa"/>
              <w:left w:w="120" w:type="dxa"/>
              <w:bottom w:w="30" w:type="dxa"/>
              <w:right w:w="120" w:type="dxa"/>
            </w:tcMar>
            <w:vAlign w:val="top"/>
          </w:tcPr>
          <w:p w14:paraId="7CF3300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1.嵌入式护士工作站,整机采用不低于1.5mm厚冷压钢板制作,采用上翻式方案,能够进行前维护。</w:t>
            </w:r>
          </w:p>
          <w:p w14:paraId="2FA1EB7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2.工作站采用嵌入式安装,工作站整体厚度不高于150mm,兼容各类手术室净化夹层;安装后与墙面齐平,无突出结构,便于清洁消毒,符合手术室净化规范。</w:t>
            </w:r>
          </w:p>
          <w:p w14:paraId="384C2DB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3.工作站需具备带门储物仓,能够存储无线耳麦,扫码枪等设备。</w:t>
            </w:r>
          </w:p>
          <w:p w14:paraId="02D6623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4.具备一键系统开关机按钮,自定义按钮,内网主机开关机按钮;按钮均需要带有状态指示灯。</w:t>
            </w:r>
          </w:p>
          <w:p w14:paraId="59B5306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5.接口:前面板USB接口不低于2个USB3.0;舱内USB2.0不低于一个,RJ11接口1个,220V~供电五孔插座不低于1个;USB接口支持在手术室内进行手术资料的下载,能够支持医护人员报告签名文件的接入。</w:t>
            </w:r>
          </w:p>
          <w:p w14:paraId="1B145B6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6.具备医用级可折叠硅胶键鼠。</w:t>
            </w:r>
          </w:p>
          <w:p w14:paraId="6513AC3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7.人机交互:采用不低于24英寸的电容投射式医用触摸显示器,显示尺寸≥27英寸;亮度≥300nit;分辨率≥1920*1080P60;触摸点数:≥10点,玻璃表面带有AR防眩光涂层。</w:t>
            </w:r>
          </w:p>
          <w:p w14:paraId="7121CB3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8.内置供电管理系统,能够实现工站内的设备的供电管理,带有散热风机,能够对设备进行热管理。</w:t>
            </w:r>
          </w:p>
          <w:p w14:paraId="2054E14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9.手术信息管理:通过触摸控制屏,可一键调阅病人的影像资料、病例信息、电子病例等。</w:t>
            </w:r>
          </w:p>
          <w:p w14:paraId="0115C84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10.数据管理:通过触摸控制屏,可对DSA、腔镜、超声、术中影像等数据、信息进行管理和集成应用。</w:t>
            </w:r>
          </w:p>
          <w:p w14:paraId="38A3072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11.配置独立高清光学镜头谈话摄像头,支持90度广角,1080p高清分辨率。</w:t>
            </w:r>
          </w:p>
          <w:p w14:paraId="1F2D273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12.集成控制:可控制手术室内术野摄像机和全景摄像机。</w:t>
            </w:r>
          </w:p>
          <w:p w14:paraId="5397B358">
            <w:pPr>
              <w:pStyle w:val="7"/>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13.信息查询:快速检索病人信息和医疗资源,提高工作效率。</w:t>
            </w:r>
            <w:r>
              <w:rPr>
                <w:rFonts w:hint="eastAsia" w:ascii="宋体" w:hAnsi="宋体" w:eastAsia="宋体" w:cs="宋体"/>
                <w:color w:val="000000"/>
                <w:sz w:val="22"/>
                <w:szCs w:val="22"/>
                <w:lang w:val="en-US" w:eastAsia="zh-CN"/>
              </w:rPr>
              <w:t xml:space="preserve">                            </w:t>
            </w:r>
          </w:p>
          <w:p w14:paraId="4D124A5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14、</w:t>
            </w:r>
            <w:r>
              <w:rPr>
                <w:rFonts w:hint="eastAsia" w:ascii="宋体" w:hAnsi="宋体" w:eastAsia="宋体" w:cs="宋体"/>
                <w:sz w:val="22"/>
                <w:szCs w:val="22"/>
              </w:rPr>
              <w:t>▲</w:t>
            </w:r>
            <w:r>
              <w:rPr>
                <w:rFonts w:hint="eastAsia" w:ascii="宋体" w:hAnsi="宋体" w:eastAsia="宋体" w:cs="宋体"/>
                <w:color w:val="000000"/>
                <w:sz w:val="22"/>
                <w:szCs w:val="22"/>
              </w:rPr>
              <w:t>所投产品需符合医疗电气设备电磁兼容性标准要求，并提供具有CMA或CNAS等检测标识的第三方检测报告复印件。需提供国家市场监督管理总局/全国认证认可信息公共服务平台http://cx.cnca.cn查询结果截图，查询不到视为无效报告。</w:t>
            </w:r>
          </w:p>
        </w:tc>
      </w:tr>
      <w:tr w14:paraId="0BC2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4ED407D8">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6</w:t>
            </w:r>
          </w:p>
        </w:tc>
        <w:tc>
          <w:tcPr>
            <w:tcW w:w="940" w:type="pct"/>
            <w:noWrap w:val="0"/>
            <w:tcMar>
              <w:top w:w="60" w:type="dxa"/>
              <w:left w:w="120" w:type="dxa"/>
              <w:bottom w:w="30" w:type="dxa"/>
              <w:right w:w="120" w:type="dxa"/>
            </w:tcMar>
            <w:vAlign w:val="center"/>
          </w:tcPr>
          <w:p w14:paraId="37C7060F">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高清全景摄像机</w:t>
            </w:r>
          </w:p>
        </w:tc>
        <w:tc>
          <w:tcPr>
            <w:tcW w:w="3463" w:type="pct"/>
            <w:noWrap w:val="0"/>
            <w:tcMar>
              <w:top w:w="60" w:type="dxa"/>
              <w:left w:w="120" w:type="dxa"/>
              <w:bottom w:w="30" w:type="dxa"/>
              <w:right w:w="120" w:type="dxa"/>
            </w:tcMar>
            <w:vAlign w:val="top"/>
          </w:tcPr>
          <w:p w14:paraId="23D457C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提供手术室的环境预览和监控</w:t>
            </w:r>
          </w:p>
          <w:p w14:paraId="5CE7F53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传感器类型:1/2.8"progressivescanCMOS</w:t>
            </w:r>
          </w:p>
          <w:p w14:paraId="1F68B7D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最低照度:彩色:0.005Lux@(F1.6,AGCON);黑白:0.001Lux@(F1.6,AGCON);0LuxwithIR</w:t>
            </w:r>
          </w:p>
          <w:p w14:paraId="190FF99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变倍:23倍光学变倍,16倍数字变倍</w:t>
            </w:r>
          </w:p>
          <w:p w14:paraId="07F24A1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焦距:4.8~110mm</w:t>
            </w:r>
          </w:p>
          <w:p w14:paraId="5DC64EC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视场角:57.6~2.7度(广角~望远)</w:t>
            </w:r>
          </w:p>
          <w:p w14:paraId="357549E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补光灯类型:红外补光</w:t>
            </w:r>
          </w:p>
          <w:p w14:paraId="447C69D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补光灯距离:50m</w:t>
            </w:r>
          </w:p>
          <w:p w14:paraId="52A78EB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防补光过曝:支持</w:t>
            </w:r>
          </w:p>
          <w:p w14:paraId="611970C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红外波长范围:850nm</w:t>
            </w:r>
          </w:p>
          <w:p w14:paraId="4D78B2D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水平范围:0°~360°</w:t>
            </w:r>
          </w:p>
          <w:p w14:paraId="298D968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垂直范围:-5°~90°</w:t>
            </w:r>
          </w:p>
          <w:p w14:paraId="2006CDF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水平速度:0.1°~300°/s</w:t>
            </w:r>
          </w:p>
          <w:p w14:paraId="1D242F1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,速度可设;水平预置点速度:350°/s</w:t>
            </w:r>
          </w:p>
          <w:p w14:paraId="6A1BC92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垂直速度:0.1°~160°/s,速度可设;垂直预置点速度:200°/s</w:t>
            </w:r>
          </w:p>
          <w:p w14:paraId="686F710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主码流帧率分辨率:50Hz:25fps(1920×1080);60Hz:30fps(1920×1080)</w:t>
            </w:r>
          </w:p>
          <w:p w14:paraId="68FC907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视频压缩标准:H.265/H.264/MJPEG</w:t>
            </w:r>
          </w:p>
          <w:p w14:paraId="04BB526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宽动态:120dB超宽动态</w:t>
            </w:r>
          </w:p>
          <w:p w14:paraId="6C17EA9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图像增强:背光补偿,强光抑制,3D数字降噪</w:t>
            </w:r>
          </w:p>
          <w:p w14:paraId="7E87542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网络接口:RJ45网口,自适应10M/100M网络数据</w:t>
            </w:r>
          </w:p>
          <w:p w14:paraId="5116A1D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SD卡扩展:内置MicroSD卡插槽,支持MicroSD(即TF卡)/MicroSDHC/MicroSDXC卡,最大支持256GB</w:t>
            </w:r>
          </w:p>
          <w:p w14:paraId="1DF0520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音频:1路音频输入,1路音频输出</w:t>
            </w:r>
          </w:p>
          <w:p w14:paraId="1CC28CE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报警:2路报警输入;2路报警输出</w:t>
            </w:r>
          </w:p>
          <w:p w14:paraId="7262BC5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电源:DC12V,最大功耗18W,PoE+(802.3at)</w:t>
            </w:r>
          </w:p>
          <w:p w14:paraId="4A62CBA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尺寸:?169.39×161mm</w:t>
            </w:r>
          </w:p>
          <w:p w14:paraId="2434DC8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重量:2.45kg</w:t>
            </w:r>
          </w:p>
          <w:p w14:paraId="7E12E3E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工作温湿度:-30℃~65℃;湿度小于90%</w:t>
            </w:r>
          </w:p>
          <w:p w14:paraId="4E59F3B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防护:IP66</w:t>
            </w:r>
          </w:p>
        </w:tc>
      </w:tr>
      <w:tr w14:paraId="0EB7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76E03676">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7</w:t>
            </w:r>
          </w:p>
        </w:tc>
        <w:tc>
          <w:tcPr>
            <w:tcW w:w="940" w:type="pct"/>
            <w:noWrap w:val="0"/>
            <w:tcMar>
              <w:top w:w="60" w:type="dxa"/>
              <w:left w:w="120" w:type="dxa"/>
              <w:bottom w:w="30" w:type="dxa"/>
              <w:right w:w="120" w:type="dxa"/>
            </w:tcMar>
            <w:vAlign w:val="center"/>
          </w:tcPr>
          <w:p w14:paraId="1315C87D">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4K术野摄像机</w:t>
            </w:r>
          </w:p>
        </w:tc>
        <w:tc>
          <w:tcPr>
            <w:tcW w:w="3463" w:type="pct"/>
            <w:noWrap w:val="0"/>
            <w:tcMar>
              <w:top w:w="60" w:type="dxa"/>
              <w:left w:w="120" w:type="dxa"/>
              <w:bottom w:w="30" w:type="dxa"/>
              <w:right w:w="120" w:type="dxa"/>
            </w:tcMar>
            <w:vAlign w:val="top"/>
          </w:tcPr>
          <w:p w14:paraId="40B6AA3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1、≥851万像素;≥1/2.5”CMOS</w:t>
            </w:r>
          </w:p>
          <w:p w14:paraId="57D05D2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2、≥20倍光学变焦,12倍数字变焦,焦距4.4-88.4mm</w:t>
            </w:r>
          </w:p>
          <w:p w14:paraId="412714A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3、分辨率≥4K30</w:t>
            </w:r>
          </w:p>
          <w:p w14:paraId="6053AE9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4、支持快速出图,从上电到出图时间不超过15s</w:t>
            </w:r>
          </w:p>
          <w:p w14:paraId="62ACBFE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5、在80-120cm的拍摄范围内聚焦快速、清晰</w:t>
            </w:r>
          </w:p>
          <w:p w14:paraId="00D1332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6、支持HDBaseT技术,通过超5类网线将4K图像输出至转接盒,传输距离达70米以上;</w:t>
            </w:r>
          </w:p>
          <w:p w14:paraId="6C57FB4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7、转接盒支持HDMI接口、RS485接口、RS232接口和红外接收功能;</w:t>
            </w:r>
          </w:p>
          <w:p w14:paraId="796F86F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8、支持在室内光线、无影灯环境下使用</w:t>
            </w:r>
          </w:p>
          <w:p w14:paraId="49CC8C4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9、支持遥控器、按键面板、远程配置等多种控制方式;支持变倍、调焦、冻结等一键操作</w:t>
            </w:r>
          </w:p>
          <w:p w14:paraId="1C475FB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10、铝合金壳体与专业涂装表面,支持酒精擦拭消毒;</w:t>
            </w:r>
          </w:p>
          <w:p w14:paraId="29B8127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11、▲所投产品需符合电磁兼容性相关要求，并提供具有CMA或CNAS等检测标识的第三方检测报告复印件。</w:t>
            </w:r>
          </w:p>
        </w:tc>
      </w:tr>
      <w:tr w14:paraId="43EB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707AC71F">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8</w:t>
            </w:r>
          </w:p>
        </w:tc>
        <w:tc>
          <w:tcPr>
            <w:tcW w:w="940" w:type="pct"/>
            <w:noWrap w:val="0"/>
            <w:tcMar>
              <w:top w:w="60" w:type="dxa"/>
              <w:left w:w="120" w:type="dxa"/>
              <w:bottom w:w="30" w:type="dxa"/>
              <w:right w:w="120" w:type="dxa"/>
            </w:tcMar>
            <w:vAlign w:val="center"/>
          </w:tcPr>
          <w:p w14:paraId="24D89A9E">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旁置术野悬臂</w:t>
            </w:r>
          </w:p>
        </w:tc>
        <w:tc>
          <w:tcPr>
            <w:tcW w:w="3463" w:type="pct"/>
            <w:noWrap w:val="0"/>
            <w:tcMar>
              <w:top w:w="60" w:type="dxa"/>
              <w:left w:w="120" w:type="dxa"/>
              <w:bottom w:w="30" w:type="dxa"/>
              <w:right w:w="120" w:type="dxa"/>
            </w:tcMar>
            <w:vAlign w:val="top"/>
          </w:tcPr>
          <w:p w14:paraId="3BE748C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1、悬臂预埋件基座主体采用国标角钢构造,且经过防锈处理。</w:t>
            </w:r>
          </w:p>
          <w:p w14:paraId="5AD43CF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2、悬臂主轴采用304不锈钢材料为主体。</w:t>
            </w:r>
          </w:p>
          <w:p w14:paraId="0D75E3E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3、悬吊系统横臂采用高强度铝合金材质,机械部分旋转方便轻巧,关节数≥5个,阻尼调节≥6个,关节能在水平方向无停顿移动,并且能自由旋转不缠绕,且无漂移。</w:t>
            </w:r>
          </w:p>
          <w:p w14:paraId="38AD154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4、悬臂设备表面喷涂采用环保抗菌粉末。</w:t>
            </w:r>
          </w:p>
          <w:p w14:paraId="6630546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5、悬臂载重符合四倍承重设计要求。悬臂单根最大载重40公斤。</w:t>
            </w:r>
          </w:p>
          <w:p w14:paraId="4F98A8C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6、显示器系统能根据医生需要水平翻转调节视角,方便医生从不同角度和方向观看,保证医生手术舒适度。</w:t>
            </w:r>
          </w:p>
          <w:p w14:paraId="2194F13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7、悬吊系统应可调节弹簧臂弹力系数,承重范围在13-18kg,并使终端设备能平稳停止在上下运动任意点,保持固定不动。</w:t>
            </w:r>
          </w:p>
          <w:p w14:paraId="61FCA80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8、悬吊系统应可调节弹簧臂角度,可调节角度范围-50°-+45°。</w:t>
            </w:r>
          </w:p>
          <w:p w14:paraId="3E176C4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9、弹簧臂应配置线缆保护系统,防止线缆拧断。</w:t>
            </w:r>
          </w:p>
          <w:p w14:paraId="7ADDE51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10、悬臂能独立旋转,不产生碰撞、缠绕现象,且与其他设备互不干扰,增加房间使用空间。</w:t>
            </w:r>
          </w:p>
          <w:p w14:paraId="629CB94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11、悬挂系统带有线路收纳功能,并预留足够穿线空间。</w:t>
            </w:r>
          </w:p>
          <w:p w14:paraId="45BF090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12、显示器悬吊臂应配置把手,方便操作人员把握移动</w:t>
            </w:r>
          </w:p>
        </w:tc>
      </w:tr>
      <w:tr w14:paraId="3DA9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69807F50">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9</w:t>
            </w:r>
          </w:p>
        </w:tc>
        <w:tc>
          <w:tcPr>
            <w:tcW w:w="940" w:type="pct"/>
            <w:noWrap w:val="0"/>
            <w:tcMar>
              <w:top w:w="60" w:type="dxa"/>
              <w:left w:w="120" w:type="dxa"/>
              <w:bottom w:w="30" w:type="dxa"/>
              <w:right w:w="120" w:type="dxa"/>
            </w:tcMar>
            <w:vAlign w:val="center"/>
          </w:tcPr>
          <w:p w14:paraId="40BD09F8">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无线耳麦</w:t>
            </w:r>
          </w:p>
        </w:tc>
        <w:tc>
          <w:tcPr>
            <w:tcW w:w="3463" w:type="pct"/>
            <w:noWrap w:val="0"/>
            <w:tcMar>
              <w:top w:w="60" w:type="dxa"/>
              <w:left w:w="120" w:type="dxa"/>
              <w:bottom w:w="30" w:type="dxa"/>
              <w:right w:w="120" w:type="dxa"/>
            </w:tcMar>
            <w:vAlign w:val="top"/>
          </w:tcPr>
          <w:p w14:paraId="5AE2441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1.名称:无线耳麦</w:t>
            </w:r>
          </w:p>
          <w:p w14:paraId="41438B5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2.规格:1、蓝牙连接,耳机到蓝牙设备通信距离最近不低于100米。</w:t>
            </w:r>
          </w:p>
          <w:p w14:paraId="3A4C889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2、内置数字信号处理(DSP)技术,消除背景噪音。</w:t>
            </w:r>
          </w:p>
          <w:p w14:paraId="0613C33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3、可物理调节音量、接听/挂断语音。</w:t>
            </w:r>
          </w:p>
          <w:p w14:paraId="61C910A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4、底座充电,充满一次可通话≥12小时。</w:t>
            </w:r>
          </w:p>
        </w:tc>
      </w:tr>
      <w:tr w14:paraId="2122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0B4F2E62">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10</w:t>
            </w:r>
          </w:p>
        </w:tc>
        <w:tc>
          <w:tcPr>
            <w:tcW w:w="940" w:type="pct"/>
            <w:noWrap w:val="0"/>
            <w:tcMar>
              <w:top w:w="60" w:type="dxa"/>
              <w:left w:w="120" w:type="dxa"/>
              <w:bottom w:w="30" w:type="dxa"/>
              <w:right w:w="120" w:type="dxa"/>
            </w:tcMar>
            <w:vAlign w:val="center"/>
          </w:tcPr>
          <w:p w14:paraId="74D6A7F1">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音频处理器</w:t>
            </w:r>
          </w:p>
        </w:tc>
        <w:tc>
          <w:tcPr>
            <w:tcW w:w="3463" w:type="pct"/>
            <w:noWrap w:val="0"/>
            <w:tcMar>
              <w:top w:w="60" w:type="dxa"/>
              <w:left w:w="120" w:type="dxa"/>
              <w:bottom w:w="30" w:type="dxa"/>
              <w:right w:w="120" w:type="dxa"/>
            </w:tcMar>
            <w:vAlign w:val="top"/>
          </w:tcPr>
          <w:p w14:paraId="4474302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(1)支持DANTE等主流数字音频协议;</w:t>
            </w:r>
          </w:p>
          <w:p w14:paraId="60F80BD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(2)支持IOS、Android、Windows系统的平板控制,支持RS232中控和UDP中控,UDP端口可自由设定,控制软件可查看控制代码;</w:t>
            </w:r>
          </w:p>
          <w:p w14:paraId="13DF583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(3)需内置两进两出USB声卡,支持录播和远程会议;</w:t>
            </w:r>
          </w:p>
          <w:p w14:paraId="18DCD82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(4)支持PoE供电与DC12V双电源</w:t>
            </w:r>
          </w:p>
          <w:p w14:paraId="5CF70E0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(5)模拟输入输出通道数量不少于4×4;</w:t>
            </w:r>
          </w:p>
          <w:p w14:paraId="6FDF8A9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(6)Dante输入输出通道数量不少于4×4;</w:t>
            </w:r>
          </w:p>
        </w:tc>
      </w:tr>
      <w:tr w14:paraId="38CE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2833FED5">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11</w:t>
            </w:r>
          </w:p>
        </w:tc>
        <w:tc>
          <w:tcPr>
            <w:tcW w:w="940" w:type="pct"/>
            <w:noWrap w:val="0"/>
            <w:tcMar>
              <w:top w:w="60" w:type="dxa"/>
              <w:left w:w="120" w:type="dxa"/>
              <w:bottom w:w="30" w:type="dxa"/>
              <w:right w:w="120" w:type="dxa"/>
            </w:tcMar>
            <w:vAlign w:val="center"/>
          </w:tcPr>
          <w:p w14:paraId="568EA4A2">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吸顶音箱</w:t>
            </w:r>
          </w:p>
        </w:tc>
        <w:tc>
          <w:tcPr>
            <w:tcW w:w="3463" w:type="pct"/>
            <w:noWrap w:val="0"/>
            <w:tcMar>
              <w:top w:w="60" w:type="dxa"/>
              <w:left w:w="120" w:type="dxa"/>
              <w:bottom w:w="30" w:type="dxa"/>
              <w:right w:w="120" w:type="dxa"/>
            </w:tcMar>
            <w:vAlign w:val="top"/>
          </w:tcPr>
          <w:p w14:paraId="3B6B778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低音:6.5寸同轴喇叭80磁25芯玻纤盆</w:t>
            </w:r>
          </w:p>
          <w:p w14:paraId="0AE7F16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高音:20芯钕铁盆</w:t>
            </w:r>
          </w:p>
          <w:p w14:paraId="68E6C4B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额定功率:30W</w:t>
            </w:r>
          </w:p>
          <w:p w14:paraId="317D132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峰值功率:60W</w:t>
            </w:r>
          </w:p>
          <w:p w14:paraId="2E93503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灵敏度:90dB</w:t>
            </w:r>
          </w:p>
          <w:p w14:paraId="7255934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频率响应:20Hz-20KHz</w:t>
            </w:r>
          </w:p>
          <w:p w14:paraId="01A7739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额定阻抗:8Ω</w:t>
            </w:r>
          </w:p>
          <w:p w14:paraId="0256CBD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输入方式:线柱。</w:t>
            </w:r>
          </w:p>
        </w:tc>
      </w:tr>
      <w:tr w14:paraId="79F3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27CF54DE">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12</w:t>
            </w:r>
          </w:p>
        </w:tc>
        <w:tc>
          <w:tcPr>
            <w:tcW w:w="940" w:type="pct"/>
            <w:noWrap w:val="0"/>
            <w:tcMar>
              <w:top w:w="60" w:type="dxa"/>
              <w:left w:w="120" w:type="dxa"/>
              <w:bottom w:w="30" w:type="dxa"/>
              <w:right w:w="120" w:type="dxa"/>
            </w:tcMar>
            <w:vAlign w:val="center"/>
          </w:tcPr>
          <w:p w14:paraId="139EBDF5">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功放</w:t>
            </w:r>
          </w:p>
        </w:tc>
        <w:tc>
          <w:tcPr>
            <w:tcW w:w="3463" w:type="pct"/>
            <w:noWrap w:val="0"/>
            <w:tcMar>
              <w:top w:w="60" w:type="dxa"/>
              <w:left w:w="120" w:type="dxa"/>
              <w:bottom w:w="30" w:type="dxa"/>
              <w:right w:w="120" w:type="dxa"/>
            </w:tcMar>
            <w:vAlign w:val="top"/>
          </w:tcPr>
          <w:p w14:paraId="489ACA7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1、输出功率:100W*2/8ohm。</w:t>
            </w:r>
          </w:p>
          <w:p w14:paraId="2A059E6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2、THD总谐波失真:0.03%。</w:t>
            </w:r>
          </w:p>
          <w:p w14:paraId="3201AC7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3、输入灵敏度:麦克风:6mv/600-ohm;TAPE,BGM,AUX,DVD:300mv/22-kohm</w:t>
            </w:r>
          </w:p>
          <w:p w14:paraId="0B648A3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4、输出位准/阻抗:ECHORECoutput:2.5V/1-kohm;RECoutput:300mv/1-kohm</w:t>
            </w:r>
          </w:p>
          <w:p w14:paraId="3874E9A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5、频率响应10Hz至20KHz+0/-3dB。</w:t>
            </w:r>
          </w:p>
        </w:tc>
      </w:tr>
      <w:tr w14:paraId="6113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1D7A2830">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13</w:t>
            </w:r>
          </w:p>
        </w:tc>
        <w:tc>
          <w:tcPr>
            <w:tcW w:w="940" w:type="pct"/>
            <w:noWrap w:val="0"/>
            <w:tcMar>
              <w:top w:w="60" w:type="dxa"/>
              <w:left w:w="120" w:type="dxa"/>
              <w:bottom w:w="30" w:type="dxa"/>
              <w:right w:w="120" w:type="dxa"/>
            </w:tcMar>
            <w:vAlign w:val="center"/>
          </w:tcPr>
          <w:p w14:paraId="729F5B33">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55寸术中公告显示器</w:t>
            </w:r>
          </w:p>
        </w:tc>
        <w:tc>
          <w:tcPr>
            <w:tcW w:w="3463" w:type="pct"/>
            <w:noWrap w:val="0"/>
            <w:tcMar>
              <w:top w:w="60" w:type="dxa"/>
              <w:left w:w="120" w:type="dxa"/>
              <w:bottom w:w="30" w:type="dxa"/>
              <w:right w:w="120" w:type="dxa"/>
            </w:tcMar>
            <w:vAlign w:val="top"/>
          </w:tcPr>
          <w:p w14:paraId="1DDA632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1、输出功率:100W*2/8ohm。</w:t>
            </w:r>
          </w:p>
          <w:p w14:paraId="5E3F60B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2、THD总谐波失真:0.03%。</w:t>
            </w:r>
          </w:p>
          <w:p w14:paraId="40ABD8F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3、输入灵敏度:麦克风:6mv/600-ohm;TAPE,BGM,AUX,DVD:300mv/22-kohm</w:t>
            </w:r>
          </w:p>
          <w:p w14:paraId="7CF082E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4、输出位准/阻抗:ECHORECoutput:2.5V/1-kohm;RECoutput:300mv/1-kohm</w:t>
            </w:r>
          </w:p>
          <w:p w14:paraId="6B27805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5、频率响应10Hz至20KHz+0/-3dB。</w:t>
            </w:r>
          </w:p>
        </w:tc>
      </w:tr>
      <w:tr w14:paraId="6E77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1B78F63D">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14</w:t>
            </w:r>
          </w:p>
        </w:tc>
        <w:tc>
          <w:tcPr>
            <w:tcW w:w="940" w:type="pct"/>
            <w:noWrap w:val="0"/>
            <w:tcMar>
              <w:top w:w="60" w:type="dxa"/>
              <w:left w:w="120" w:type="dxa"/>
              <w:bottom w:w="30" w:type="dxa"/>
              <w:right w:w="120" w:type="dxa"/>
            </w:tcMar>
            <w:vAlign w:val="center"/>
          </w:tcPr>
          <w:p w14:paraId="3DAD86F0">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家属谈话主机</w:t>
            </w:r>
          </w:p>
        </w:tc>
        <w:tc>
          <w:tcPr>
            <w:tcW w:w="3463" w:type="pct"/>
            <w:noWrap w:val="0"/>
            <w:tcMar>
              <w:top w:w="60" w:type="dxa"/>
              <w:left w:w="120" w:type="dxa"/>
              <w:bottom w:w="30" w:type="dxa"/>
              <w:right w:w="120" w:type="dxa"/>
            </w:tcMar>
            <w:vAlign w:val="top"/>
          </w:tcPr>
          <w:p w14:paraId="7D4E72C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1.显示器:23.8英寸,分辨率:1920*1080P60;</w:t>
            </w:r>
          </w:p>
          <w:p w14:paraId="20C2529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2.配置:CPUinteli5+16Gddr+512GSSD</w:t>
            </w:r>
          </w:p>
          <w:p w14:paraId="793CC22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3.1x麦克风接口;1x音频接口;1个HDMI输出;</w:t>
            </w:r>
          </w:p>
          <w:p w14:paraId="2CCF63F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4.包含一体机电脑+有线键盘+有线鼠标+鼠标垫+电源线</w:t>
            </w:r>
          </w:p>
        </w:tc>
      </w:tr>
      <w:tr w14:paraId="6A62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68608BE7">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15</w:t>
            </w:r>
          </w:p>
        </w:tc>
        <w:tc>
          <w:tcPr>
            <w:tcW w:w="940" w:type="pct"/>
            <w:noWrap w:val="0"/>
            <w:tcMar>
              <w:top w:w="60" w:type="dxa"/>
              <w:left w:w="120" w:type="dxa"/>
              <w:bottom w:w="30" w:type="dxa"/>
              <w:right w:w="120" w:type="dxa"/>
            </w:tcMar>
            <w:vAlign w:val="center"/>
          </w:tcPr>
          <w:p w14:paraId="68148AE6">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24寸显示器</w:t>
            </w:r>
          </w:p>
        </w:tc>
        <w:tc>
          <w:tcPr>
            <w:tcW w:w="3463" w:type="pct"/>
            <w:noWrap w:val="0"/>
            <w:tcMar>
              <w:top w:w="60" w:type="dxa"/>
              <w:left w:w="120" w:type="dxa"/>
              <w:bottom w:w="30" w:type="dxa"/>
              <w:right w:w="120" w:type="dxa"/>
            </w:tcMar>
            <w:vAlign w:val="top"/>
          </w:tcPr>
          <w:p w14:paraId="3CE3C1C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1、提供用户交互界面,实现对核心管理软件的控制和操作功能</w:t>
            </w:r>
          </w:p>
          <w:p w14:paraId="52B56DF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2、采用投影电容触屏技术,具有多点和单点触控功能。即使戴上手术手套,也能顺场地使用显示器上的用户界面</w:t>
            </w:r>
          </w:p>
          <w:p w14:paraId="3AE4811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3、专为医疗环境设计,符合医用级别要求,无边框设计便于清洁消毒,符合手术室内感控需求英寸显示</w:t>
            </w:r>
          </w:p>
          <w:p w14:paraId="15EE025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4、尺寸≥21.5英寸</w:t>
            </w:r>
          </w:p>
          <w:p w14:paraId="17F43A0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5、分辨率≥1920*1080@60HZ</w:t>
            </w:r>
          </w:p>
          <w:p w14:paraId="4897796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6、对比度≥1000:1</w:t>
            </w:r>
          </w:p>
          <w:p w14:paraId="5C50107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7、信号输入:VGA/DVI-D/DP1.2/HDMI</w:t>
            </w:r>
          </w:p>
          <w:p w14:paraId="2A4B5BC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8、亮度:≥250nit</w:t>
            </w:r>
          </w:p>
          <w:p w14:paraId="15948A5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9、内置2*2W扬声器</w:t>
            </w:r>
          </w:p>
        </w:tc>
      </w:tr>
      <w:tr w14:paraId="78B6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61E4B70C">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16</w:t>
            </w:r>
          </w:p>
        </w:tc>
        <w:tc>
          <w:tcPr>
            <w:tcW w:w="940" w:type="pct"/>
            <w:noWrap w:val="0"/>
            <w:tcMar>
              <w:top w:w="60" w:type="dxa"/>
              <w:left w:w="120" w:type="dxa"/>
              <w:bottom w:w="30" w:type="dxa"/>
              <w:right w:w="120" w:type="dxa"/>
            </w:tcMar>
            <w:vAlign w:val="center"/>
          </w:tcPr>
          <w:p w14:paraId="38F65A99">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无线全向麦克风</w:t>
            </w:r>
          </w:p>
        </w:tc>
        <w:tc>
          <w:tcPr>
            <w:tcW w:w="3463" w:type="pct"/>
            <w:noWrap w:val="0"/>
            <w:tcMar>
              <w:top w:w="60" w:type="dxa"/>
              <w:left w:w="120" w:type="dxa"/>
              <w:bottom w:w="30" w:type="dxa"/>
              <w:right w:w="120" w:type="dxa"/>
            </w:tcMar>
            <w:vAlign w:val="top"/>
          </w:tcPr>
          <w:p w14:paraId="0B4A8C3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(1)拾音面积:5~50㎡</w:t>
            </w:r>
          </w:p>
          <w:p w14:paraId="3694CB1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(2)频率响应:20Hz~20kHz</w:t>
            </w:r>
          </w:p>
          <w:p w14:paraId="5781134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(3)指向特性:全指向</w:t>
            </w:r>
          </w:p>
          <w:p w14:paraId="1DA9B5E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(4)输出阻抗:600欧姆非平衡</w:t>
            </w:r>
          </w:p>
          <w:p w14:paraId="376BBC0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(5)拾音器:高灵敏度电容咪头,拾音距离可达6米</w:t>
            </w:r>
          </w:p>
          <w:p w14:paraId="4F312ED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(6)防护:雷击保护、电源极性反转保护</w:t>
            </w:r>
          </w:p>
        </w:tc>
      </w:tr>
      <w:tr w14:paraId="77AA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3456D543">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17</w:t>
            </w:r>
          </w:p>
        </w:tc>
        <w:tc>
          <w:tcPr>
            <w:tcW w:w="940" w:type="pct"/>
            <w:noWrap w:val="0"/>
            <w:tcMar>
              <w:top w:w="60" w:type="dxa"/>
              <w:left w:w="120" w:type="dxa"/>
              <w:bottom w:w="30" w:type="dxa"/>
              <w:right w:w="120" w:type="dxa"/>
            </w:tcMar>
            <w:vAlign w:val="center"/>
          </w:tcPr>
          <w:p w14:paraId="4CF02626">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86英寸影像交互示教系统</w:t>
            </w:r>
          </w:p>
        </w:tc>
        <w:tc>
          <w:tcPr>
            <w:tcW w:w="3463" w:type="pct"/>
            <w:noWrap w:val="0"/>
            <w:tcMar>
              <w:top w:w="60" w:type="dxa"/>
              <w:left w:w="120" w:type="dxa"/>
              <w:bottom w:w="30" w:type="dxa"/>
              <w:right w:w="120" w:type="dxa"/>
            </w:tcMar>
            <w:vAlign w:val="top"/>
          </w:tcPr>
          <w:p w14:paraId="499DCCC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(1)屏幕尺寸≥86英寸</w:t>
            </w:r>
          </w:p>
          <w:p w14:paraId="72E8E9D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(2)分辨率≥3840×2160</w:t>
            </w:r>
          </w:p>
          <w:p w14:paraId="7332A5B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(4)接口:HDMI2.0≥3、Audio≥1、千兆网口≥2、OPS接口≥1,HDMIout≥1</w:t>
            </w:r>
          </w:p>
          <w:p w14:paraId="65C34F2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(5)色彩≥1.07亿色</w:t>
            </w:r>
          </w:p>
          <w:p w14:paraId="45351B6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(6)支持触摸控制,红外触控,触摸点数:40点</w:t>
            </w:r>
          </w:p>
          <w:p w14:paraId="2BCAD73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(7)支持智能软控交互:操作简单实用,全触控菜单设置</w:t>
            </w:r>
          </w:p>
          <w:p w14:paraId="7A8FCF0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(8)DICOM校准及快速图像模式调整功能,内置多种图像模式,DICOM模式、文本模式、影音模式、标准模式、自定义等</w:t>
            </w:r>
          </w:p>
          <w:p w14:paraId="7AA7092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(9)显示终端本机支持会议白板,随意批注和擦除、保存等</w:t>
            </w:r>
          </w:p>
          <w:p w14:paraId="27AC7F0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(10)支持无线传屏,通过无线传屏组件,无需连线即可实现电脑与影像交互示教系统的连接,支持通过影像交互示教系统触控屏对电脑控制</w:t>
            </w:r>
          </w:p>
          <w:p w14:paraId="3338C31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(11)显示器支持视频影像解码功能,解码分辨率最大支持3840×2160,并向下兼容</w:t>
            </w:r>
          </w:p>
          <w:p w14:paraId="03FFF8C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1080P60Hz、1080P30Hz等多种分辨率</w:t>
            </w:r>
          </w:p>
          <w:p w14:paraId="1CD1C00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(12)多种显示模式,支持单画面、画中画,画外画,四分屏等多种显示模式</w:t>
            </w:r>
          </w:p>
          <w:p w14:paraId="29B5D8B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(13)支持示教软件控制功能,在任何显示模式下可通过触控屏快捷调出示教控制界面并叠加显示在显示屏上,在不影响大屏影像显示的情况下可进行示教室内显示屏分屏模式切换、视频源切换等操作。(14)内置摄像机,将示教室的影像传输到手术室</w:t>
            </w:r>
          </w:p>
        </w:tc>
      </w:tr>
      <w:tr w14:paraId="70B0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416CB87F">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18</w:t>
            </w:r>
          </w:p>
        </w:tc>
        <w:tc>
          <w:tcPr>
            <w:tcW w:w="940" w:type="pct"/>
            <w:noWrap w:val="0"/>
            <w:tcMar>
              <w:top w:w="60" w:type="dxa"/>
              <w:left w:w="120" w:type="dxa"/>
              <w:bottom w:w="30" w:type="dxa"/>
              <w:right w:w="120" w:type="dxa"/>
            </w:tcMar>
            <w:vAlign w:val="center"/>
          </w:tcPr>
          <w:p w14:paraId="379B756A">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多路图像拼接控制器</w:t>
            </w:r>
          </w:p>
        </w:tc>
        <w:tc>
          <w:tcPr>
            <w:tcW w:w="3463" w:type="pct"/>
            <w:noWrap w:val="0"/>
            <w:tcMar>
              <w:top w:w="60" w:type="dxa"/>
              <w:left w:w="120" w:type="dxa"/>
              <w:bottom w:w="30" w:type="dxa"/>
              <w:right w:w="120" w:type="dxa"/>
            </w:tcMar>
            <w:vAlign w:val="top"/>
          </w:tcPr>
          <w:p w14:paraId="592D16B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(1)多种显示模式,支持单画面、3画面、4画面、6画面、画中画等多种显示模式,画中画模式支持窗口漫游</w:t>
            </w:r>
          </w:p>
          <w:p w14:paraId="5BCF085B">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(2)支持1920×1080p@60/50Hz、1920×1080p@30/25/24Hz分辨率的采集和编码,并可向下兼容常见分辨率</w:t>
            </w:r>
          </w:p>
          <w:p w14:paraId="28D666A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(3)支持视频叠加文字,时间,医院LOGO等信息;</w:t>
            </w:r>
          </w:p>
          <w:p w14:paraId="3AEB57A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(4)支持6路及以上的IP流输入,并支持至少6画面拼接</w:t>
            </w:r>
          </w:p>
          <w:p w14:paraId="4AE748F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(5)音频输入接口音频接口支持3.5mm模拟音频RCA;</w:t>
            </w:r>
          </w:p>
          <w:p w14:paraId="362AA17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(6)输出接口:HDMI2.0,需要支持4K60Hz;</w:t>
            </w:r>
          </w:p>
          <w:p w14:paraId="06EC6E8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(7)其他接口:RS485,可控制术野摄像机、全景摄像机等设备;具备USB3.0接口;可以直接插U盘,并将内窥镜内容和全景内容叠加为画中画进行录制;</w:t>
            </w:r>
          </w:p>
          <w:p w14:paraId="5E9E848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(8)网络接口:10/100/1000Mbps自适应网口,兼容POE供电</w:t>
            </w:r>
          </w:p>
          <w:p w14:paraId="5C5CD95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(9)编码方式:H.265(HEVC)、H.264、AVC、AAC-LC</w:t>
            </w:r>
          </w:p>
          <w:p w14:paraId="0C37598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(10)影像录制功能,支持4K60手术影像录制,录制格式支持:MP4/TS/MOV,支持将影像直接录制到USB存储设备;</w:t>
            </w:r>
          </w:p>
          <w:p w14:paraId="50B2A5A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(11)流协议:支持双码流输出;支持UDP、TCP协议,支持RTSP、RTMP、HTTP流服务模式输出;支持单播、组播</w:t>
            </w:r>
          </w:p>
          <w:p w14:paraId="0D322DD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(12)支持推流到互联网云平台用于互联网直播;</w:t>
            </w:r>
          </w:p>
        </w:tc>
      </w:tr>
      <w:tr w14:paraId="25D1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418C2721">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19</w:t>
            </w:r>
          </w:p>
        </w:tc>
        <w:tc>
          <w:tcPr>
            <w:tcW w:w="940" w:type="pct"/>
            <w:noWrap w:val="0"/>
            <w:tcMar>
              <w:top w:w="60" w:type="dxa"/>
              <w:left w:w="120" w:type="dxa"/>
              <w:bottom w:w="30" w:type="dxa"/>
              <w:right w:w="120" w:type="dxa"/>
            </w:tcMar>
            <w:vAlign w:val="center"/>
          </w:tcPr>
          <w:p w14:paraId="1F6C9EC9">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86寸大屏移动支架</w:t>
            </w:r>
          </w:p>
        </w:tc>
        <w:tc>
          <w:tcPr>
            <w:tcW w:w="3463" w:type="pct"/>
            <w:noWrap w:val="0"/>
            <w:tcMar>
              <w:top w:w="60" w:type="dxa"/>
              <w:left w:w="120" w:type="dxa"/>
              <w:bottom w:w="30" w:type="dxa"/>
              <w:right w:w="120" w:type="dxa"/>
            </w:tcMar>
            <w:vAlign w:val="top"/>
          </w:tcPr>
          <w:p w14:paraId="0E66104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(1)摄像头托盘承重:4.5kg;</w:t>
            </w:r>
          </w:p>
          <w:p w14:paraId="6131051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(2)升降高度:1200-1700mm;</w:t>
            </w:r>
          </w:p>
          <w:p w14:paraId="137E012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(3)承重范围:136.4KG;</w:t>
            </w:r>
          </w:p>
          <w:p w14:paraId="07F9994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(4)产品材质:铝材及冷轧钢板;</w:t>
            </w:r>
          </w:p>
          <w:p w14:paraId="5677B74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(5)适用尺寸:75-120英寸;</w:t>
            </w:r>
          </w:p>
          <w:p w14:paraId="2DE524F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(6)支持孔距200×200,300×300,400×200,400×400,500×400,600×400,800×500,1000</w:t>
            </w:r>
          </w:p>
          <w:p w14:paraId="312ABB9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×600(横向×纵向)mm</w:t>
            </w:r>
          </w:p>
        </w:tc>
      </w:tr>
      <w:tr w14:paraId="1E65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4543FB79">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20</w:t>
            </w:r>
          </w:p>
        </w:tc>
        <w:tc>
          <w:tcPr>
            <w:tcW w:w="940" w:type="pct"/>
            <w:noWrap w:val="0"/>
            <w:tcMar>
              <w:top w:w="60" w:type="dxa"/>
              <w:left w:w="120" w:type="dxa"/>
              <w:bottom w:w="30" w:type="dxa"/>
              <w:right w:w="120" w:type="dxa"/>
            </w:tcMar>
            <w:vAlign w:val="center"/>
          </w:tcPr>
          <w:p w14:paraId="3CB72EDD">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控制主机</w:t>
            </w:r>
          </w:p>
        </w:tc>
        <w:tc>
          <w:tcPr>
            <w:tcW w:w="3463" w:type="pct"/>
            <w:noWrap w:val="0"/>
            <w:tcMar>
              <w:top w:w="60" w:type="dxa"/>
              <w:left w:w="120" w:type="dxa"/>
              <w:bottom w:w="30" w:type="dxa"/>
              <w:right w:w="120" w:type="dxa"/>
            </w:tcMar>
            <w:vAlign w:val="top"/>
          </w:tcPr>
          <w:p w14:paraId="44E3DBB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1.无风扇,自散热设计主机。</w:t>
            </w:r>
          </w:p>
          <w:p w14:paraId="5313B24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2.USB接口:TypeCUSB*≥1;USB3.0≥4;</w:t>
            </w:r>
          </w:p>
          <w:p w14:paraId="1EB7AD38">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3.音频接口:支持3.5mm立体声MIC耳机输出口+双声道4Ω5W喇叭接口</w:t>
            </w:r>
          </w:p>
          <w:p w14:paraId="0691AC0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4.HDMIin:支持HDMI2.0_输入≥1;</w:t>
            </w:r>
          </w:p>
          <w:p w14:paraId="27EAA69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5.RS232输出口DB9≥2;RS485≥1</w:t>
            </w:r>
          </w:p>
          <w:p w14:paraId="7AB5810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6.HDMIOUT:HDMI2.0≥2支持HDMI4K60HZ输出</w:t>
            </w:r>
          </w:p>
          <w:p w14:paraId="03212461">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7.DPout:DP≥1最大支持8K@30Hz</w:t>
            </w:r>
          </w:p>
          <w:p w14:paraId="3346D3F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8.网口:千兆网口≥2(需要同时连接两个网络),4G-sim卡接口≥1</w:t>
            </w:r>
          </w:p>
          <w:p w14:paraId="0C82419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9.WIIFI:IEEE802.11a/b/g/n/ac</w:t>
            </w:r>
          </w:p>
          <w:p w14:paraId="1D85764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10.蓝牙5.0≥1</w:t>
            </w:r>
          </w:p>
          <w:p w14:paraId="23994F59">
            <w:pPr>
              <w:pStyle w:val="7"/>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rPr>
              <w:t>11.处理器性能不低于XX SPECINT评分，具备视频信号处理能力，支持多路视频信号接入与路由</w:t>
            </w:r>
          </w:p>
          <w:p w14:paraId="03C20AD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12.≥8GRAM+≥32GROM</w:t>
            </w:r>
          </w:p>
        </w:tc>
      </w:tr>
      <w:tr w14:paraId="2F00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440DAD03">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21</w:t>
            </w:r>
          </w:p>
        </w:tc>
        <w:tc>
          <w:tcPr>
            <w:tcW w:w="940" w:type="pct"/>
            <w:noWrap w:val="0"/>
            <w:tcMar>
              <w:top w:w="60" w:type="dxa"/>
              <w:left w:w="120" w:type="dxa"/>
              <w:bottom w:w="30" w:type="dxa"/>
              <w:right w:w="120" w:type="dxa"/>
            </w:tcMar>
            <w:vAlign w:val="center"/>
          </w:tcPr>
          <w:p w14:paraId="3263F6FC">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集成式工作站</w:t>
            </w:r>
          </w:p>
        </w:tc>
        <w:tc>
          <w:tcPr>
            <w:tcW w:w="3463" w:type="pct"/>
            <w:noWrap w:val="0"/>
            <w:tcMar>
              <w:top w:w="60" w:type="dxa"/>
              <w:left w:w="120" w:type="dxa"/>
              <w:bottom w:w="30" w:type="dxa"/>
              <w:right w:w="120" w:type="dxa"/>
            </w:tcMar>
            <w:vAlign w:val="top"/>
          </w:tcPr>
          <w:p w14:paraId="0B9768E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微型工控主机,支持安装医院HISPACS系统,用于手术室内调阅使用;</w:t>
            </w:r>
          </w:p>
          <w:p w14:paraId="06D3CFA0">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1.Intel酷睿I5第十一代处理器,四核八线程;内存不低于16GB,硬盘不低于512GSSD</w:t>
            </w:r>
          </w:p>
          <w:p w14:paraId="1CE0CC75">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2.10nm制作工艺,高显示核心,IntelHDGraphics630显卡</w:t>
            </w:r>
          </w:p>
          <w:p w14:paraId="1E7ECFD7">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3.显示接口同时具备:HDMI,(不低于4K30),VGA(不低于1080P60),DP(不低于4K60)</w:t>
            </w:r>
          </w:p>
          <w:p w14:paraId="2B619E4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支持三显更便于多屏处理</w:t>
            </w:r>
          </w:p>
          <w:p w14:paraId="11F292A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4.全金属外壳机身,外加风冷散热</w:t>
            </w:r>
          </w:p>
          <w:p w14:paraId="542ABDD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5.不低于6个USB接口,1个千兆网络接口</w:t>
            </w:r>
          </w:p>
          <w:p w14:paraId="61499B9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6.支持系统远程开关机;</w:t>
            </w:r>
          </w:p>
        </w:tc>
      </w:tr>
      <w:tr w14:paraId="0294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215E9A79">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22</w:t>
            </w:r>
          </w:p>
        </w:tc>
        <w:tc>
          <w:tcPr>
            <w:tcW w:w="940" w:type="pct"/>
            <w:noWrap w:val="0"/>
            <w:tcMar>
              <w:top w:w="60" w:type="dxa"/>
              <w:left w:w="120" w:type="dxa"/>
              <w:bottom w:w="30" w:type="dxa"/>
              <w:right w:w="120" w:type="dxa"/>
            </w:tcMar>
            <w:vAlign w:val="center"/>
          </w:tcPr>
          <w:p w14:paraId="16D21311">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中央控制器</w:t>
            </w:r>
          </w:p>
        </w:tc>
        <w:tc>
          <w:tcPr>
            <w:tcW w:w="3463" w:type="pct"/>
            <w:noWrap w:val="0"/>
            <w:tcMar>
              <w:top w:w="60" w:type="dxa"/>
              <w:left w:w="120" w:type="dxa"/>
              <w:bottom w:w="30" w:type="dxa"/>
              <w:right w:w="120" w:type="dxa"/>
            </w:tcMar>
            <w:vAlign w:val="top"/>
          </w:tcPr>
          <w:p w14:paraId="72F43AD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1.手术室中央控制器,提供视频信号的接入、路由和拼接显示等功能;</w:t>
            </w:r>
          </w:p>
          <w:p w14:paraId="56C64B3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2.输入接口:≥1路UHD-SDI(12G-SDI)、≥1路3G-SDI、≥1路HDMI2.0、≥3路HDMI</w:t>
            </w:r>
          </w:p>
          <w:p w14:paraId="25F2804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、≥2路DVI视频输入接口、≥1路3.5mm音频输入接口;</w:t>
            </w:r>
          </w:p>
          <w:p w14:paraId="1F667D5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3.输出接口:≥2路3G-SDI、≥1路HDMI1.4、≥1路HDMI2.0、≥2路DVI视频输出接口;</w:t>
            </w:r>
          </w:p>
          <w:p w14:paraId="2C5FF66D">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4.网络接口:≥5个RJ45网络接口,均具备网络数据交换功能,任一网口均可实现视频编码数据输出;</w:t>
            </w:r>
          </w:p>
          <w:p w14:paraId="7A9F8C74">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5.中控设备最高支持4K60HZ信号处理,实时观看4K手术视频,可以实现4K编码,4K传输,4K显示</w:t>
            </w:r>
          </w:p>
          <w:p w14:paraId="2BFE6F26">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6.支持4K编码和1080编码,同时支持录播功能;</w:t>
            </w:r>
          </w:p>
          <w:p w14:paraId="5356A26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7.控制方式灵活,具有前面板RS-232通讯插头和网络插头,方便用户快速切换音视频信号以及配合控制设备使用;</w:t>
            </w:r>
          </w:p>
          <w:p w14:paraId="3736023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8.支持通过手术室管理软件控制;</w:t>
            </w:r>
          </w:p>
          <w:p w14:paraId="7DBE202A">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9.▲主机控制器需满足电磁兼容相关性能标准要求；需提供国家认可的检测机构出具的带有CMA或CNAS标识的检测报告复印件加盖投标人公章佐证。并提供国家知识产权局发布的《手术室智能化管理平台》和《辅助诊疗系统》相关软件著作权证书复印件。</w:t>
            </w:r>
          </w:p>
        </w:tc>
      </w:tr>
      <w:tr w14:paraId="1ACC9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08C92E5E">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23</w:t>
            </w:r>
          </w:p>
        </w:tc>
        <w:tc>
          <w:tcPr>
            <w:tcW w:w="940" w:type="pct"/>
            <w:noWrap w:val="0"/>
            <w:tcMar>
              <w:top w:w="60" w:type="dxa"/>
              <w:left w:w="120" w:type="dxa"/>
              <w:bottom w:w="30" w:type="dxa"/>
              <w:right w:w="120" w:type="dxa"/>
            </w:tcMar>
            <w:vAlign w:val="center"/>
          </w:tcPr>
          <w:p w14:paraId="0D32DA65">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平台服务器</w:t>
            </w:r>
          </w:p>
        </w:tc>
        <w:tc>
          <w:tcPr>
            <w:tcW w:w="3463" w:type="pct"/>
            <w:noWrap w:val="0"/>
            <w:tcMar>
              <w:top w:w="60" w:type="dxa"/>
              <w:left w:w="120" w:type="dxa"/>
              <w:bottom w:w="30" w:type="dxa"/>
              <w:right w:w="120" w:type="dxa"/>
            </w:tcMar>
            <w:vAlign w:val="top"/>
          </w:tcPr>
          <w:p w14:paraId="6091059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CPU:lntelXeon4214(12C/24T85W.2.2GHz)*2</w:t>
            </w:r>
          </w:p>
          <w:p w14:paraId="2501645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内存:16GRDIMMDDR4内存*2磁盘:12TBSATA(企业级)*5</w:t>
            </w:r>
          </w:p>
          <w:p w14:paraId="67B8B6E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RAID:RAID控制器(大卡)</w:t>
            </w:r>
          </w:p>
          <w:p w14:paraId="0810887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电源:900W白金电源*2</w:t>
            </w:r>
          </w:p>
          <w:p w14:paraId="5A463883">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网口:集成2千兆网口,2个万兆光口</w:t>
            </w:r>
          </w:p>
          <w:p w14:paraId="4BA22C72">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导轨*1</w:t>
            </w:r>
          </w:p>
        </w:tc>
      </w:tr>
      <w:tr w14:paraId="0E21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96" w:type="pct"/>
            <w:noWrap w:val="0"/>
            <w:tcMar>
              <w:top w:w="60" w:type="dxa"/>
              <w:left w:w="120" w:type="dxa"/>
              <w:bottom w:w="30" w:type="dxa"/>
              <w:right w:w="120" w:type="dxa"/>
            </w:tcMar>
            <w:vAlign w:val="center"/>
          </w:tcPr>
          <w:p w14:paraId="19FEAB51">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24</w:t>
            </w:r>
          </w:p>
        </w:tc>
        <w:tc>
          <w:tcPr>
            <w:tcW w:w="940" w:type="pct"/>
            <w:noWrap w:val="0"/>
            <w:tcMar>
              <w:top w:w="60" w:type="dxa"/>
              <w:left w:w="120" w:type="dxa"/>
              <w:bottom w:w="30" w:type="dxa"/>
              <w:right w:w="120" w:type="dxa"/>
            </w:tcMar>
            <w:vAlign w:val="center"/>
          </w:tcPr>
          <w:p w14:paraId="7ACD2C09">
            <w:pPr>
              <w:pStyle w:val="7"/>
              <w:jc w:val="center"/>
              <w:rPr>
                <w:rFonts w:hint="eastAsia" w:ascii="宋体" w:hAnsi="宋体" w:eastAsia="宋体" w:cs="宋体"/>
                <w:color w:val="000000"/>
                <w:sz w:val="22"/>
                <w:szCs w:val="22"/>
              </w:rPr>
            </w:pPr>
            <w:r>
              <w:rPr>
                <w:rFonts w:hint="eastAsia" w:ascii="宋体" w:hAnsi="宋体" w:eastAsia="宋体" w:cs="宋体"/>
                <w:color w:val="000000"/>
                <w:sz w:val="22"/>
                <w:szCs w:val="22"/>
              </w:rPr>
              <w:t>POE交换机</w:t>
            </w:r>
          </w:p>
        </w:tc>
        <w:tc>
          <w:tcPr>
            <w:tcW w:w="3463" w:type="pct"/>
            <w:noWrap w:val="0"/>
            <w:tcMar>
              <w:top w:w="60" w:type="dxa"/>
              <w:left w:w="120" w:type="dxa"/>
              <w:bottom w:w="30" w:type="dxa"/>
              <w:right w:w="120" w:type="dxa"/>
            </w:tcMar>
            <w:vAlign w:val="top"/>
          </w:tcPr>
          <w:p w14:paraId="187D090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1、整机交换容量:256Gbps/2.56Tbps</w:t>
            </w:r>
          </w:p>
          <w:p w14:paraId="6603515E">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2、包转发率:132Mpps</w:t>
            </w:r>
          </w:p>
          <w:p w14:paraId="5B13EC4F">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3、48个10/100/1000Base-T电口,4个10GBASE-XSFP+万兆光口,48个10/100/1000Base-T电口,2个10GBASE-XSFP+万兆光口,2个10GBASE-T万兆电口</w:t>
            </w:r>
          </w:p>
          <w:p w14:paraId="3775A6BC">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4、尺寸440×260×43.6</w:t>
            </w:r>
          </w:p>
          <w:p w14:paraId="7072ADE9">
            <w:pPr>
              <w:pStyle w:val="7"/>
              <w:rPr>
                <w:rFonts w:hint="eastAsia" w:ascii="宋体" w:hAnsi="宋体" w:eastAsia="宋体" w:cs="宋体"/>
                <w:color w:val="000000"/>
                <w:sz w:val="22"/>
                <w:szCs w:val="22"/>
              </w:rPr>
            </w:pPr>
            <w:r>
              <w:rPr>
                <w:rFonts w:hint="eastAsia" w:ascii="宋体" w:hAnsi="宋体" w:eastAsia="宋体" w:cs="宋体"/>
                <w:color w:val="000000"/>
                <w:sz w:val="22"/>
                <w:szCs w:val="22"/>
              </w:rPr>
              <w:t>5、额定电压范围:AC:100V-240V50/60Hz,DC:-54V~-57V</w:t>
            </w:r>
          </w:p>
        </w:tc>
      </w:tr>
    </w:tbl>
    <w:p w14:paraId="5E00053D">
      <w:pPr>
        <w:rPr>
          <w:rFonts w:hint="eastAsia" w:ascii="宋体" w:hAnsi="宋体" w:eastAsia="宋体" w:cs="宋体"/>
          <w:sz w:val="22"/>
          <w:szCs w:val="22"/>
        </w:rPr>
      </w:pPr>
    </w:p>
    <w:p w14:paraId="561A4659">
      <w:pPr>
        <w:rPr>
          <w:rFonts w:hint="eastAsia" w:ascii="宋体" w:hAnsi="宋体" w:eastAsia="宋体" w:cs="宋体"/>
          <w:sz w:val="22"/>
          <w:szCs w:val="22"/>
        </w:rPr>
      </w:pPr>
      <w:r>
        <w:rPr>
          <w:rFonts w:hint="eastAsia" w:ascii="宋体" w:hAnsi="宋体" w:eastAsia="宋体" w:cs="宋体"/>
          <w:sz w:val="22"/>
          <w:szCs w:val="22"/>
        </w:rPr>
        <w:t xml:space="preserve"> </w:t>
      </w:r>
    </w:p>
    <w:p w14:paraId="5BEB7DC0">
      <w:pPr>
        <w:rPr>
          <w:rFonts w:hint="eastAsia" w:ascii="宋体" w:hAnsi="宋体" w:eastAsia="宋体" w:cs="宋体"/>
          <w:sz w:val="22"/>
          <w:szCs w:val="22"/>
        </w:rPr>
      </w:pPr>
      <w:r>
        <w:rPr>
          <w:rFonts w:hint="eastAsia" w:ascii="宋体" w:hAnsi="宋体" w:eastAsia="宋体" w:cs="宋体"/>
          <w:sz w:val="22"/>
          <w:szCs w:val="22"/>
        </w:rPr>
        <w:t xml:space="preserve"> </w:t>
      </w:r>
    </w:p>
    <w:p w14:paraId="2EC112C2">
      <w:pPr>
        <w:rPr>
          <w:rFonts w:hint="eastAsia" w:ascii="宋体" w:hAnsi="宋体" w:eastAsia="宋体" w:cs="宋体"/>
          <w:sz w:val="22"/>
          <w:szCs w:val="22"/>
        </w:rPr>
      </w:pP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三</w:t>
      </w:r>
      <w:r>
        <w:rPr>
          <w:rFonts w:hint="eastAsia" w:ascii="宋体" w:hAnsi="宋体" w:eastAsia="宋体" w:cs="宋体"/>
          <w:sz w:val="22"/>
          <w:szCs w:val="22"/>
          <w:lang w:eastAsia="zh-CN"/>
        </w:rPr>
        <w:t>）</w:t>
      </w:r>
      <w:r>
        <w:rPr>
          <w:rFonts w:hint="eastAsia" w:ascii="宋体" w:hAnsi="宋体" w:eastAsia="宋体" w:cs="宋体"/>
          <w:sz w:val="22"/>
          <w:szCs w:val="22"/>
        </w:rPr>
        <w:t>、软件系统技术要求（</w:t>
      </w:r>
      <w:r>
        <w:rPr>
          <w:rFonts w:hint="eastAsia" w:ascii="宋体" w:hAnsi="宋体" w:eastAsia="宋体" w:cs="宋体"/>
          <w:sz w:val="22"/>
          <w:szCs w:val="22"/>
          <w:lang w:val="en-US" w:eastAsia="zh-CN"/>
        </w:rPr>
        <w:t>软、硬件</w:t>
      </w:r>
      <w:r>
        <w:rPr>
          <w:rFonts w:hint="eastAsia" w:ascii="宋体" w:hAnsi="宋体" w:eastAsia="宋体" w:cs="宋体"/>
          <w:sz w:val="22"/>
          <w:szCs w:val="22"/>
        </w:rPr>
        <w:t>成套永久授权，</w:t>
      </w:r>
      <w:r>
        <w:rPr>
          <w:rFonts w:hint="eastAsia" w:ascii="宋体" w:hAnsi="宋体" w:eastAsia="宋体" w:cs="宋体"/>
          <w:sz w:val="22"/>
          <w:szCs w:val="22"/>
          <w:lang w:val="en-US" w:eastAsia="zh-CN"/>
        </w:rPr>
        <w:t>软件免费升级，</w:t>
      </w:r>
      <w:r>
        <w:rPr>
          <w:rFonts w:hint="eastAsia" w:ascii="宋体" w:hAnsi="宋体" w:eastAsia="宋体" w:cs="宋体"/>
          <w:sz w:val="22"/>
          <w:szCs w:val="22"/>
        </w:rPr>
        <w:t>无年度服务费）</w:t>
      </w:r>
    </w:p>
    <w:p w14:paraId="6C80EF43">
      <w:pPr>
        <w:rPr>
          <w:rFonts w:hint="eastAsia" w:ascii="宋体" w:hAnsi="宋体" w:eastAsia="宋体" w:cs="宋体"/>
          <w:sz w:val="22"/>
          <w:szCs w:val="22"/>
        </w:rPr>
      </w:pPr>
      <w:r>
        <w:rPr>
          <w:rFonts w:hint="eastAsia" w:ascii="宋体" w:hAnsi="宋体" w:eastAsia="宋体" w:cs="宋体"/>
          <w:sz w:val="22"/>
          <w:szCs w:val="22"/>
        </w:rPr>
        <w:t xml:space="preserve"> </w:t>
      </w:r>
    </w:p>
    <w:p w14:paraId="0BF989BB">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kern w:val="0"/>
          <w:sz w:val="22"/>
          <w:szCs w:val="22"/>
          <w:lang w:val="en-US" w:eastAsia="en-US" w:bidi="ar-SA"/>
        </w:rPr>
        <w:t>1、</w:t>
      </w:r>
      <w:r>
        <w:rPr>
          <w:rFonts w:hint="eastAsia" w:ascii="Times New Roman" w:hAnsi="Times New Roman" w:eastAsia="宋体" w:cs="Times New Roman"/>
          <w:sz w:val="22"/>
          <w:szCs w:val="22"/>
          <w:lang w:eastAsia="en-US"/>
        </w:rPr>
        <w:t>数字化手术室可视化综合管理软件</w:t>
      </w:r>
      <w:r>
        <w:rPr>
          <w:rFonts w:hint="eastAsia" w:ascii="Times New Roman" w:hAnsi="Times New Roman" w:eastAsia="宋体" w:cs="Times New Roman"/>
          <w:sz w:val="22"/>
          <w:szCs w:val="22"/>
          <w:lang w:val="en-US" w:eastAsia="en-US"/>
        </w:rPr>
        <w:t xml:space="preserve">  </w:t>
      </w:r>
    </w:p>
    <w:p w14:paraId="77CF96AA">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1）包含影像调度系统、手术直播与点播系统、手术文献记录系统、手术室便捷工具模块,数据对接模块,电子白板模块,音乐播放模块,设备控制模块等</w:t>
      </w:r>
    </w:p>
    <w:p w14:paraId="385D38B7">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2）软件要求运行在android系统或者鸿蒙系统之上,提供绝佳的操控体验,降低使用复杂度和学习成本,避免windows系统软件带来的卡顿和不稳定问题。</w:t>
      </w:r>
    </w:p>
    <w:p w14:paraId="29603717">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3）软件能够实现手术状态全局推送，全局适配触摸屏操作，视频路由画面切换响应时间不超过0.1 秒，切换无延迟、无黑屏，真正实现零延迟切换；本地视频支持4K60显示切换；支持在手术过程中通过触控屏、脚踏板以及内部截图接口实现对单一手术室内的多路手术视频进行高清图像同时抓拍并保存。此外，也可通过对应视频输入通道的专属截图按钮，实现单通道精准抓拍与保存。</w:t>
      </w:r>
    </w:p>
    <w:p w14:paraId="3EBE5546">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4）患者信息以卡片形式排列显示，能够根据手术类型或术中设定，自定义显示所需要的患者信息；需具备手术安全核查表、术中病程记录表、术后医嘱记录表，并支持主刀医生、助手、麻醉医生等手写签名及预览及打印功能，视频录制的文件及截取的图片会以列表和缩略图的方式展现出来；通过患者ID、姓名等关键词进行检索；对录制的视频及图片进行选中、回放、查看、下载和删除操作；支持对录像和图片添加文字备注；列表和缩略图展示支持翻页浏览。</w:t>
      </w:r>
    </w:p>
    <w:p w14:paraId="2A25473E">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5）支持不低于4路影像录制能力，包4K60、4K30、1080P等分辨率；支持视频打标（打点标记）功能，可在视频中添加标记或标签，便于对视频内容关键点进行标注、说明，可对同一时间所有录制视频统一打标标记，支持自定义名称，关联患者信息的存储视频回放时，可快速锁定位置并能查看标记内容。</w:t>
      </w:r>
    </w:p>
    <w:p w14:paraId="5C0413F9">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 xml:space="preserve">6）软件支持通过HL7、DICOM、CORBA、EJB、WEBSERVICE等协议与医院HIS、PACS、LIS、RIS、手术麻醉系统等进行数据对接，并支持二次开发。 </w:t>
      </w:r>
    </w:p>
    <w:p w14:paraId="1D08740E">
      <w:pPr>
        <w:pStyle w:val="6"/>
        <w:numPr>
          <w:ilvl w:val="0"/>
          <w:numId w:val="0"/>
        </w:numPr>
        <w:ind w:left="280" w:leftChars="0" w:firstLineChars="0"/>
        <w:rPr>
          <w:rFonts w:hint="eastAsia" w:ascii="Times New Roman" w:hAnsi="Times New Roman" w:eastAsia="宋体" w:cs="Times New Roman"/>
          <w:kern w:val="0"/>
          <w:sz w:val="22"/>
          <w:szCs w:val="22"/>
          <w:lang w:val="en-US" w:eastAsia="en-US" w:bidi="ar-SA"/>
        </w:rPr>
      </w:pPr>
      <w:r>
        <w:rPr>
          <w:rFonts w:hint="default" w:ascii="Times New Roman" w:hAnsi="Times New Roman" w:eastAsia="宋体" w:cs="Times New Roman"/>
          <w:kern w:val="0"/>
          <w:sz w:val="22"/>
          <w:szCs w:val="22"/>
          <w:lang w:val="en-US" w:eastAsia="en-US" w:bidi="ar-SA"/>
        </w:rPr>
        <w:t>2、</w:t>
      </w:r>
      <w:r>
        <w:rPr>
          <w:rFonts w:hint="default" w:ascii="Times New Roman" w:hAnsi="Times New Roman" w:eastAsia="宋体" w:cs="Times New Roman"/>
          <w:sz w:val="22"/>
          <w:szCs w:val="22"/>
          <w:lang w:eastAsia="en-US"/>
        </w:rPr>
        <w:t>术中公告系统</w:t>
      </w:r>
      <w:r>
        <w:rPr>
          <w:rFonts w:hint="eastAsia" w:ascii="Times New Roman" w:hAnsi="Times New Roman" w:eastAsia="宋体" w:cs="Times New Roman"/>
          <w:sz w:val="22"/>
          <w:szCs w:val="22"/>
          <w:lang w:val="en-US" w:eastAsia="en-US"/>
        </w:rPr>
        <w:t xml:space="preserve"> </w:t>
      </w:r>
    </w:p>
    <w:p w14:paraId="52A7560B">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val="en-US" w:eastAsia="en-US"/>
        </w:rPr>
        <w:t>1)</w:t>
      </w:r>
      <w:r>
        <w:rPr>
          <w:rFonts w:hint="eastAsia" w:ascii="Times New Roman" w:hAnsi="Times New Roman" w:eastAsia="宋体" w:cs="Times New Roman"/>
          <w:sz w:val="22"/>
          <w:szCs w:val="22"/>
          <w:lang w:eastAsia="en-US"/>
        </w:rPr>
        <w:t>对接医院信息系统；</w:t>
      </w:r>
    </w:p>
    <w:p w14:paraId="050E2278">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2</w:t>
      </w:r>
      <w:r>
        <w:rPr>
          <w:rFonts w:hint="eastAsia" w:ascii="Times New Roman" w:hAnsi="Times New Roman" w:eastAsia="宋体" w:cs="Times New Roman"/>
          <w:sz w:val="22"/>
          <w:szCs w:val="22"/>
          <w:lang w:val="en-US" w:eastAsia="en-US"/>
        </w:rPr>
        <w:t>)</w:t>
      </w:r>
      <w:r>
        <w:rPr>
          <w:rFonts w:hint="eastAsia" w:ascii="Times New Roman" w:hAnsi="Times New Roman" w:eastAsia="宋体" w:cs="Times New Roman"/>
          <w:sz w:val="22"/>
          <w:szCs w:val="22"/>
          <w:lang w:eastAsia="en-US"/>
        </w:rPr>
        <w:t>显示排班公告信息；</w:t>
      </w:r>
    </w:p>
    <w:p w14:paraId="74439EF0">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3</w:t>
      </w:r>
      <w:r>
        <w:rPr>
          <w:rFonts w:hint="eastAsia" w:ascii="Times New Roman" w:hAnsi="Times New Roman" w:eastAsia="宋体" w:cs="Times New Roman"/>
          <w:sz w:val="22"/>
          <w:szCs w:val="22"/>
          <w:lang w:val="en-US" w:eastAsia="en-US"/>
        </w:rPr>
        <w:t>)</w:t>
      </w:r>
      <w:r>
        <w:rPr>
          <w:rFonts w:hint="eastAsia" w:ascii="Times New Roman" w:hAnsi="Times New Roman" w:eastAsia="宋体" w:cs="Times New Roman"/>
          <w:sz w:val="22"/>
          <w:szCs w:val="22"/>
          <w:lang w:eastAsia="en-US"/>
        </w:rPr>
        <w:t>家属等候区展示手术进程公告信息；</w:t>
      </w:r>
    </w:p>
    <w:p w14:paraId="535B084E">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4</w:t>
      </w:r>
      <w:r>
        <w:rPr>
          <w:rFonts w:hint="eastAsia" w:ascii="Times New Roman" w:hAnsi="Times New Roman" w:eastAsia="宋体" w:cs="Times New Roman"/>
          <w:sz w:val="22"/>
          <w:szCs w:val="22"/>
          <w:lang w:val="en-US" w:eastAsia="en-US"/>
        </w:rPr>
        <w:t>)</w:t>
      </w:r>
      <w:r>
        <w:rPr>
          <w:rFonts w:hint="eastAsia" w:ascii="Times New Roman" w:hAnsi="Times New Roman" w:eastAsia="宋体" w:cs="Times New Roman"/>
          <w:sz w:val="22"/>
          <w:szCs w:val="22"/>
          <w:lang w:eastAsia="en-US"/>
        </w:rPr>
        <w:t>支持自定义节目播放时间和顺序；</w:t>
      </w:r>
    </w:p>
    <w:p w14:paraId="731A057E">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5</w:t>
      </w:r>
      <w:r>
        <w:rPr>
          <w:rFonts w:hint="eastAsia" w:ascii="Times New Roman" w:hAnsi="Times New Roman" w:eastAsia="宋体" w:cs="Times New Roman"/>
          <w:sz w:val="22"/>
          <w:szCs w:val="22"/>
          <w:lang w:val="en-US" w:eastAsia="en-US"/>
        </w:rPr>
        <w:t>)</w:t>
      </w:r>
      <w:r>
        <w:rPr>
          <w:rFonts w:hint="eastAsia" w:ascii="Times New Roman" w:hAnsi="Times New Roman" w:eastAsia="宋体" w:cs="Times New Roman"/>
          <w:sz w:val="22"/>
          <w:szCs w:val="22"/>
          <w:lang w:eastAsia="en-US"/>
        </w:rPr>
        <w:t>支持图片文字和视频的混合编排与播放,支持发布流程,自定义模板；</w:t>
      </w:r>
    </w:p>
    <w:p w14:paraId="36A14EF7">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3、终端授权、</w:t>
      </w:r>
      <w:r>
        <w:rPr>
          <w:rFonts w:hint="eastAsia" w:ascii="Times New Roman" w:hAnsi="Times New Roman" w:eastAsia="宋体" w:cs="Times New Roman"/>
          <w:sz w:val="22"/>
          <w:szCs w:val="22"/>
          <w:lang w:val="en-US" w:eastAsia="en-US"/>
        </w:rPr>
        <w:t xml:space="preserve"> </w:t>
      </w:r>
      <w:r>
        <w:rPr>
          <w:rFonts w:hint="eastAsia" w:ascii="Times New Roman" w:hAnsi="Times New Roman" w:eastAsia="宋体" w:cs="Times New Roman"/>
          <w:sz w:val="22"/>
          <w:szCs w:val="22"/>
          <w:lang w:eastAsia="en-US"/>
        </w:rPr>
        <w:t>硬件绑定加密授权，一机一码，配套9套终端授权，全系统终端正常解锁使用。</w:t>
      </w:r>
    </w:p>
    <w:p w14:paraId="6F6F58AA">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eastAsia="en-US"/>
        </w:rPr>
        <w:t>4、家属谈话软件</w:t>
      </w:r>
      <w:r>
        <w:rPr>
          <w:rFonts w:hint="eastAsia" w:ascii="Times New Roman" w:hAnsi="Times New Roman" w:eastAsia="宋体" w:cs="Times New Roman"/>
          <w:sz w:val="22"/>
          <w:szCs w:val="22"/>
          <w:lang w:val="en-US" w:eastAsia="en-US"/>
        </w:rPr>
        <w:t xml:space="preserve">    </w:t>
      </w:r>
    </w:p>
    <w:p w14:paraId="367F0693">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1）与手术室进行音视频通话,能够展示病理内容；</w:t>
      </w:r>
    </w:p>
    <w:p w14:paraId="05FB659C">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 xml:space="preserve">2）支持谈话过程记录,便于医院纠纷的取证；  </w:t>
      </w:r>
    </w:p>
    <w:p w14:paraId="32F42525">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 xml:space="preserve">3）家属呼叫功能,支持家属呼叫功。                                     </w:t>
      </w:r>
    </w:p>
    <w:p w14:paraId="336153BF">
      <w:pPr>
        <w:pStyle w:val="6"/>
        <w:ind w:firstLine="0"/>
        <w:jc w:val="both"/>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eastAsia="en-US"/>
        </w:rPr>
        <w:t>5、数字化手术室示教控制软件</w:t>
      </w:r>
      <w:r>
        <w:rPr>
          <w:rFonts w:hint="eastAsia" w:ascii="Times New Roman" w:hAnsi="Times New Roman" w:eastAsia="宋体" w:cs="Times New Roman"/>
          <w:sz w:val="22"/>
          <w:szCs w:val="22"/>
          <w:lang w:val="en-US" w:eastAsia="en-US"/>
        </w:rPr>
        <w:t xml:space="preserve">  </w:t>
      </w:r>
    </w:p>
    <w:p w14:paraId="4857B557">
      <w:pPr>
        <w:pStyle w:val="6"/>
        <w:ind w:firstLine="0"/>
        <w:jc w:val="both"/>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1）通过示教交互控制软件可对直播的手术室内全景、术野、内镜、监护仪、术中超声等影像进行切换和控制；</w:t>
      </w:r>
    </w:p>
    <w:p w14:paraId="25C6B28A">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2）可观看正在示教的手术室状态,手术室允许后即可观看手术并进行双向互动；</w:t>
      </w:r>
    </w:p>
    <w:p w14:paraId="2797F8EE">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3）支持多分屏模式,单画面、画中画、画外画、四画面可选；</w:t>
      </w:r>
    </w:p>
    <w:p w14:paraId="308B1B36">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 xml:space="preserve">4）支持一个手术室多显示器观看手术,并进行集中式调度。 </w:t>
      </w:r>
    </w:p>
    <w:p w14:paraId="4F45269C">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6、三维重建手术规划系统</w:t>
      </w:r>
    </w:p>
    <w:p w14:paraId="3F78F34B">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1）具备腹腔肝脏三维可视化处理分析模块；</w:t>
      </w:r>
    </w:p>
    <w:p w14:paraId="7C7A9C95">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2）支持病例数据库管理:具备病例数据库管理,支持对现有数据库数据进行数据添加、查询、修改、删除、导出及加载显示；</w:t>
      </w:r>
    </w:p>
    <w:p w14:paraId="659BA200">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3）CT影像智能分期:支持对现有CT影像进行智能分期,分离显示静脉期、动脉期、平衡期等；</w:t>
      </w:r>
    </w:p>
    <w:p w14:paraId="6498A73A">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4）支持腹腔内肝、胆、胰、脾、肝内病灶重建:精准、快速、自动化的腹腔CT影像分割重建解决方案,支持肝脏、肝内肿瘤、胆囊、脾脏的一键自动生成;具备多种分割,裁剪、绘制工具；三维重建手术规划系；</w:t>
      </w:r>
    </w:p>
    <w:p w14:paraId="65A9AE9D">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5）支持非解剖性切除模拟:支持三维模型的模拟切除,实时显示切除体积、及体积占比;具备多种切除功能,三维曲线、三维曲面、二维曲线;支持全部器官切除显示;具备切除方案保存功能,可进行多种切除方案的规划；</w:t>
      </w:r>
    </w:p>
    <w:p w14:paraId="412E4015">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6）支持解剖性切除模拟:具备肝脏门脉和静脉及流域分析功能。具备肝段分析,并实时调整分段透明度显示,实时显示分段体积及占比。具备切除方案保存功能,可进行多种切除方案的规划；</w:t>
      </w:r>
    </w:p>
    <w:p w14:paraId="736543A2">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7）支持二维、三维经皮入路手术模拟规划,测量穿刺点,穿刺角度,以及穿刺点到器官表面到肿瘤表面的距离。“虚拟消融范围设定”,调整消融作用范围,辅助消融手术模拟。“多针消融计划”,设计多进针方案,辅助多针消融计划的模拟；</w:t>
      </w:r>
    </w:p>
    <w:p w14:paraId="62CF0C38">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8）肝胆功能全部标签栏包括窗宽窗位选择、三维配准、选择要显示的组织、结果验证、旋转设置、恢复默认、切换颜色、导出、窗口布局、截屏、录像。</w:t>
      </w:r>
    </w:p>
    <w:p w14:paraId="44A73951">
      <w:pPr>
        <w:pStyle w:val="6"/>
        <w:tabs>
          <w:tab w:val="left" w:pos="312"/>
        </w:tabs>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kern w:val="0"/>
          <w:sz w:val="22"/>
          <w:szCs w:val="22"/>
          <w:lang w:val="en-US" w:eastAsia="en-US" w:bidi="ar-SA"/>
        </w:rPr>
        <w:t>7、</w:t>
      </w:r>
      <w:r>
        <w:rPr>
          <w:rFonts w:hint="eastAsia" w:ascii="Times New Roman" w:hAnsi="Times New Roman" w:eastAsia="宋体" w:cs="Times New Roman"/>
          <w:sz w:val="22"/>
          <w:szCs w:val="22"/>
          <w:lang w:eastAsia="en-US"/>
        </w:rPr>
        <w:t>手术室设备管理系统</w:t>
      </w:r>
    </w:p>
    <w:p w14:paraId="2CF9FB23">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1）平台操作系统采用LINUX操作系统,确保数据安全；</w:t>
      </w:r>
    </w:p>
    <w:p w14:paraId="257759FC">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2）用户管理:用户信息编辑,同步OA或HIS系统用户；</w:t>
      </w:r>
    </w:p>
    <w:p w14:paraId="1DDFE9ED">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3）基础信息维护:医院名称,科室名称,手术间名称；</w:t>
      </w:r>
    </w:p>
    <w:p w14:paraId="24741852">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4）设备信息管理:设备配置信息,设备类别,ID,数量,规格统计；</w:t>
      </w:r>
    </w:p>
    <w:p w14:paraId="1AC95B28">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5）角色管理:角色信息编辑,角色名称设置;角色权限分配:功能模块授权,功能操作授权,登录节点授权,设备使用授权,直播观看范围授权,手术记录访问范围授权；</w:t>
      </w:r>
    </w:p>
    <w:p w14:paraId="446D63AB">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6）手术资源管理:手术信息查询;手术录像资料查看播放;在线上传发布手术资料;在线下载导出手术录像；</w:t>
      </w:r>
    </w:p>
    <w:p w14:paraId="714AD350">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7）视频流媒体管理:实时视频流接入;视频流请求分发管理;示教直播管理；</w:t>
      </w:r>
    </w:p>
    <w:p w14:paraId="4E86EC2A">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val="en-US" w:eastAsia="en-US"/>
        </w:rPr>
        <w:t>8）要求带API,支持将直播信息,点播信息,以及手术对应的病人信息,主刀信息,提供SDK接口供第三方系统使用；</w:t>
      </w:r>
    </w:p>
    <w:p w14:paraId="4E9DA3A6">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eastAsia="en-US"/>
        </w:rPr>
        <w:t>8、4K流媒体系统</w:t>
      </w:r>
      <w:r>
        <w:rPr>
          <w:rFonts w:hint="eastAsia" w:ascii="Times New Roman" w:hAnsi="Times New Roman" w:eastAsia="宋体" w:cs="Times New Roman"/>
          <w:sz w:val="22"/>
          <w:szCs w:val="22"/>
          <w:lang w:val="en-US" w:eastAsia="en-US"/>
        </w:rPr>
        <w:t xml:space="preserve">  </w:t>
      </w:r>
    </w:p>
    <w:p w14:paraId="6C5EC88A">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1）直播转码:接收手术影像流并转码为直播流,最高支持4K60格式的直播,通过WEB页面进行分发,增加系统的带载能力,在网络允许的情况下,最大支持不低于300路的并发直播和观看；</w:t>
      </w:r>
    </w:p>
    <w:p w14:paraId="331FDF47">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2）录制处理:接收手术影像并打包存储,支持4K60格式流媒体。能够获取手术资源的相关信息与业务模块协同将手术资源进行分类,并做权限分级管理；</w:t>
      </w:r>
    </w:p>
    <w:p w14:paraId="2E736430">
      <w:pPr>
        <w:pStyle w:val="6"/>
        <w:ind w:firstLine="0"/>
        <w:rPr>
          <w:rFonts w:hint="eastAsia" w:ascii="Times New Roman" w:hAnsi="Times New Roman" w:eastAsia="宋体" w:cs="Times New Roman"/>
          <w:sz w:val="22"/>
          <w:szCs w:val="22"/>
          <w:lang w:val="en-US" w:eastAsia="en-US"/>
        </w:rPr>
      </w:pPr>
      <w:r>
        <w:rPr>
          <w:rFonts w:hint="eastAsia" w:ascii="Times New Roman" w:hAnsi="Times New Roman" w:eastAsia="宋体" w:cs="Times New Roman"/>
          <w:sz w:val="22"/>
          <w:szCs w:val="22"/>
          <w:lang w:val="en-US" w:eastAsia="en-US"/>
        </w:rPr>
        <w:t>3）快照处理:接收来自于手术是的快照影像并封存,与业务系模块协同进行资源分类,并做权限分级管理；</w:t>
      </w:r>
    </w:p>
    <w:p w14:paraId="5226CE4F">
      <w:pPr>
        <w:pStyle w:val="6"/>
        <w:ind w:firstLine="0" w:firstLineChars="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4K60实时转码直播，最大并发300路；手术录像、术中快照自动分类归档，分级权限管控存储资源。</w:t>
      </w:r>
    </w:p>
    <w:p w14:paraId="2B8E50DA">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9</w:t>
      </w:r>
      <w:r>
        <w:rPr>
          <w:rFonts w:hint="eastAsia" w:cs="Times New Roman"/>
          <w:sz w:val="22"/>
          <w:szCs w:val="22"/>
          <w:lang w:eastAsia="zh-CN"/>
        </w:rPr>
        <w:t>、</w:t>
      </w:r>
      <w:r>
        <w:rPr>
          <w:rFonts w:hint="eastAsia" w:ascii="Times New Roman" w:hAnsi="Times New Roman" w:eastAsia="宋体" w:cs="Times New Roman"/>
          <w:sz w:val="22"/>
          <w:szCs w:val="22"/>
          <w:lang w:eastAsia="en-US"/>
        </w:rPr>
        <w:t>手术室业务管理系统</w:t>
      </w:r>
    </w:p>
    <w:p w14:paraId="1A78503F">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1）系统采用BS架构,直播和点播无需安装任何插件及客户端软件,可以直接通过浏览器播放4K60格式的影像；</w:t>
      </w:r>
    </w:p>
    <w:p w14:paraId="2414C635">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2）支持多间手术室同时录制及直播,不限制同步录制的路数；</w:t>
      </w:r>
    </w:p>
    <w:p w14:paraId="12A68143">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3）支持录制视频发布,并设置发布权限和发布分类；</w:t>
      </w:r>
    </w:p>
    <w:p w14:paraId="14725561">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4）清晰的权限管理,可以根据用户角色控制直播,点播等模块的访问权限；</w:t>
      </w:r>
    </w:p>
    <w:p w14:paraId="263EEDBC">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5）开放直播,可以免登录进行全院范围内的直播,更易用；</w:t>
      </w:r>
    </w:p>
    <w:p w14:paraId="59BD1D67">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6）服务器监控,可以对服务器进行磁盘,内存,处理器等进行监控,并对磁盘容量进行预警,不再接受录制任务并提醒用户进行扩容；</w:t>
      </w:r>
    </w:p>
    <w:p w14:paraId="2E6603FC">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7）视频管理模块,支持上传第三方手术视频到平台；</w:t>
      </w:r>
    </w:p>
    <w:p w14:paraId="29FEB0AA">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8）节目管理:支持手术室环节患者情绪节目的上传,音乐上传；</w:t>
      </w:r>
    </w:p>
    <w:p w14:paraId="62A13122">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9）手术资源管理:手术信息查询、手术影像资料查看播放、在线上传发布手术资料、在线下载导出手术录像；</w:t>
      </w:r>
    </w:p>
    <w:p w14:paraId="5913FC87">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10）直播和点播支持同播,即可以同时直播和录制；</w:t>
      </w:r>
    </w:p>
    <w:p w14:paraId="1D085A98">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11）支持最高4K60手术影像录制、直播、及点播,且不限制路数；</w:t>
      </w:r>
    </w:p>
    <w:p w14:paraId="0DA8C4C4">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12）支持视频和快照下载、支持实时快照和上传快照；</w:t>
      </w:r>
    </w:p>
    <w:p w14:paraId="578D6A59">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13）日志记录:清晰的登录,操作等日志信息,有效确保操作的溯源；</w:t>
      </w:r>
    </w:p>
    <w:p w14:paraId="30A95B16">
      <w:pPr>
        <w:pStyle w:val="6"/>
        <w:ind w:firstLine="0"/>
        <w:rPr>
          <w:rFonts w:hint="eastAsia" w:ascii="Times New Roman" w:hAnsi="Times New Roman" w:eastAsia="宋体" w:cs="Times New Roman"/>
          <w:sz w:val="22"/>
          <w:szCs w:val="22"/>
          <w:lang w:eastAsia="en-US"/>
        </w:rPr>
      </w:pPr>
      <w:r>
        <w:rPr>
          <w:rFonts w:hint="eastAsia" w:ascii="Times New Roman" w:hAnsi="Times New Roman" w:eastAsia="宋体" w:cs="Times New Roman"/>
          <w:sz w:val="22"/>
          <w:szCs w:val="22"/>
          <w:lang w:eastAsia="en-US"/>
        </w:rPr>
        <w:t>10、音视频并发服务模块</w:t>
      </w:r>
      <w:r>
        <w:rPr>
          <w:rFonts w:hint="eastAsia" w:ascii="Times New Roman" w:hAnsi="Times New Roman" w:eastAsia="宋体" w:cs="Times New Roman"/>
          <w:sz w:val="22"/>
          <w:szCs w:val="22"/>
          <w:lang w:val="en-US" w:eastAsia="en-US"/>
        </w:rPr>
        <w:t xml:space="preserve"> </w:t>
      </w:r>
      <w:r>
        <w:rPr>
          <w:rFonts w:hint="eastAsia" w:ascii="Times New Roman" w:hAnsi="Times New Roman" w:eastAsia="宋体" w:cs="Times New Roman"/>
          <w:sz w:val="22"/>
          <w:szCs w:val="22"/>
          <w:lang w:eastAsia="en-US"/>
        </w:rPr>
        <w:t>共5套；音视频并发通讯服务,保障手术室和示教室的语音视频互通。</w:t>
      </w:r>
    </w:p>
    <w:p w14:paraId="1B743ADF">
      <w:pPr>
        <w:keepNext w:val="0"/>
        <w:keepLines w:val="0"/>
        <w:pageBreakBefore w:val="0"/>
        <w:widowControl w:val="0"/>
        <w:numPr>
          <w:ilvl w:val="0"/>
          <w:numId w:val="0"/>
        </w:numPr>
        <w:kinsoku/>
        <w:wordWrap/>
        <w:overflowPunct/>
        <w:topLinePunct w:val="0"/>
        <w:autoSpaceDN/>
        <w:bidi w:val="0"/>
        <w:adjustRightInd w:val="0"/>
        <w:snapToGrid w:val="0"/>
        <w:spacing w:line="500" w:lineRule="exact"/>
        <w:textAlignment w:val="auto"/>
        <w:rPr>
          <w:rFonts w:hint="default" w:ascii="Times New Roman" w:hAnsi="Times New Roman" w:eastAsia="宋体" w:cs="Times New Roman"/>
          <w:color w:val="0C0C0C"/>
          <w:sz w:val="21"/>
          <w:szCs w:val="21"/>
          <w:lang w:val="en-US" w:eastAsia="zh-CN"/>
        </w:rPr>
      </w:pPr>
      <w:r>
        <w:rPr>
          <w:rFonts w:hint="eastAsia" w:ascii="Times New Roman" w:hAnsi="Times New Roman" w:eastAsia="宋体" w:cs="Times New Roman"/>
          <w:sz w:val="22"/>
          <w:szCs w:val="22"/>
          <w:lang w:eastAsia="en-US"/>
        </w:rPr>
        <w:t>11、数据对接模块</w:t>
      </w:r>
      <w:r>
        <w:rPr>
          <w:rFonts w:hint="eastAsia" w:ascii="Times New Roman" w:hAnsi="Times New Roman" w:eastAsia="宋体" w:cs="Times New Roman"/>
          <w:sz w:val="22"/>
          <w:szCs w:val="22"/>
          <w:lang w:val="en-US" w:eastAsia="en-US"/>
        </w:rPr>
        <w:t xml:space="preserve">  以WebService,或者视图方式对接医院排班表既可以从HIS对接,也可从手麻系统对接。</w:t>
      </w:r>
    </w:p>
    <w:p w14:paraId="58BCB3B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right="23" w:rightChars="11"/>
        <w:textAlignment w:val="auto"/>
        <w:rPr>
          <w:rFonts w:hint="eastAsia" w:ascii="宋体" w:hAnsi="宋体"/>
          <w:b/>
          <w:color w:val="000000"/>
          <w:sz w:val="21"/>
          <w:szCs w:val="21"/>
          <w:highlight w:val="none"/>
          <w:lang w:val="en-US" w:eastAsia="zh-CN"/>
        </w:rPr>
      </w:pPr>
      <w:r>
        <w:rPr>
          <w:rFonts w:hint="eastAsia" w:ascii="宋体" w:hAnsi="宋体"/>
          <w:b/>
          <w:color w:val="000000"/>
          <w:sz w:val="21"/>
          <w:szCs w:val="21"/>
          <w:highlight w:val="none"/>
          <w:lang w:val="en-US" w:eastAsia="zh-CN"/>
        </w:rPr>
        <w:t>六、工期及质量要求</w:t>
      </w:r>
    </w:p>
    <w:p w14:paraId="33FCF4A5">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val="en-US" w:eastAsia="zh-CN" w:bidi="ar"/>
        </w:rPr>
        <w:t>6.1</w:t>
      </w:r>
      <w:r>
        <w:rPr>
          <w:rFonts w:hint="eastAsia" w:ascii="宋体" w:hAnsi="宋体" w:cs="宋体"/>
          <w:color w:val="auto"/>
          <w:kern w:val="0"/>
          <w:sz w:val="21"/>
          <w:szCs w:val="21"/>
          <w:highlight w:val="none"/>
          <w:lang w:bidi="ar"/>
        </w:rPr>
        <w:t>工</w:t>
      </w:r>
      <w:r>
        <w:rPr>
          <w:rFonts w:hint="eastAsia" w:ascii="宋体" w:hAnsi="宋体" w:cs="宋体"/>
          <w:color w:val="0C0C0C"/>
          <w:kern w:val="0"/>
          <w:sz w:val="21"/>
          <w:szCs w:val="21"/>
          <w:highlight w:val="none"/>
          <w:lang w:bidi="ar"/>
        </w:rPr>
        <w:t>期要求：</w:t>
      </w:r>
      <w:r>
        <w:rPr>
          <w:rFonts w:hint="eastAsia" w:ascii="宋体" w:hAnsi="宋体" w:cs="宋体"/>
          <w:color w:val="0C0C0C"/>
          <w:kern w:val="0"/>
          <w:sz w:val="21"/>
          <w:szCs w:val="21"/>
          <w:highlight w:val="none"/>
          <w:lang w:eastAsia="zh-CN" w:bidi="ar"/>
        </w:rPr>
        <w:t>自开工</w:t>
      </w:r>
      <w:r>
        <w:rPr>
          <w:rFonts w:hint="eastAsia" w:ascii="宋体" w:hAnsi="宋体" w:cs="宋体"/>
          <w:color w:val="0C0C0C"/>
          <w:kern w:val="0"/>
          <w:sz w:val="21"/>
          <w:szCs w:val="21"/>
          <w:highlight w:val="none"/>
          <w:lang w:bidi="ar"/>
        </w:rPr>
        <w:t>之日起</w:t>
      </w:r>
      <w:r>
        <w:rPr>
          <w:rFonts w:hint="eastAsia" w:ascii="宋体" w:hAnsi="宋体" w:cs="宋体"/>
          <w:color w:val="0C0C0C"/>
          <w:kern w:val="0"/>
          <w:sz w:val="21"/>
          <w:szCs w:val="21"/>
          <w:highlight w:val="none"/>
          <w:u w:val="single"/>
          <w:lang w:val="en-US" w:eastAsia="zh-CN" w:bidi="ar"/>
        </w:rPr>
        <w:t xml:space="preserve"> 120 </w:t>
      </w:r>
      <w:r>
        <w:rPr>
          <w:rFonts w:hint="eastAsia" w:ascii="宋体" w:hAnsi="宋体" w:cs="宋体"/>
          <w:color w:val="0C0C0C"/>
          <w:kern w:val="0"/>
          <w:sz w:val="21"/>
          <w:szCs w:val="21"/>
          <w:highlight w:val="none"/>
          <w:lang w:bidi="ar"/>
        </w:rPr>
        <w:t>日历天内</w:t>
      </w:r>
      <w:r>
        <w:rPr>
          <w:rFonts w:hint="eastAsia" w:ascii="宋体" w:hAnsi="宋体" w:cs="宋体"/>
          <w:color w:val="auto"/>
          <w:kern w:val="0"/>
          <w:sz w:val="21"/>
          <w:szCs w:val="21"/>
          <w:highlight w:val="none"/>
          <w:lang w:bidi="ar"/>
        </w:rPr>
        <w:t>；</w:t>
      </w:r>
    </w:p>
    <w:p w14:paraId="59765A3C">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cs="宋体"/>
          <w:color w:val="auto"/>
          <w:kern w:val="0"/>
          <w:sz w:val="21"/>
          <w:szCs w:val="21"/>
          <w:highlight w:val="none"/>
          <w:lang w:bidi="ar"/>
        </w:rPr>
      </w:pPr>
      <w:r>
        <w:rPr>
          <w:rFonts w:hint="eastAsia" w:ascii="宋体" w:hAnsi="宋体" w:cs="宋体"/>
          <w:kern w:val="0"/>
          <w:sz w:val="21"/>
          <w:szCs w:val="21"/>
          <w:highlight w:val="none"/>
          <w:lang w:val="en-US" w:eastAsia="zh-CN" w:bidi="ar"/>
        </w:rPr>
        <w:t>6</w:t>
      </w:r>
      <w:r>
        <w:rPr>
          <w:rFonts w:hint="eastAsia" w:ascii="宋体" w:hAnsi="宋体" w:cs="宋体"/>
          <w:color w:val="auto"/>
          <w:kern w:val="0"/>
          <w:sz w:val="21"/>
          <w:szCs w:val="21"/>
          <w:highlight w:val="none"/>
          <w:lang w:val="en-US" w:eastAsia="zh-CN" w:bidi="ar"/>
        </w:rPr>
        <w:t>.2</w:t>
      </w:r>
      <w:r>
        <w:rPr>
          <w:rFonts w:hint="eastAsia" w:ascii="宋体" w:hAnsi="宋体" w:cs="宋体"/>
          <w:color w:val="auto"/>
          <w:kern w:val="0"/>
          <w:sz w:val="21"/>
          <w:szCs w:val="21"/>
          <w:highlight w:val="none"/>
          <w:lang w:bidi="ar"/>
        </w:rPr>
        <w:t>质量要求：达到现行国家有关工程施工验收规范和标准的合格要求及建设单位提出的质量标准。</w:t>
      </w:r>
    </w:p>
    <w:p w14:paraId="056A8FF8">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6.3工程保修期：项目整体保修期壹年（防水工程质保期5年；洁卫型空调机组质保期2年）</w:t>
      </w:r>
    </w:p>
    <w:p w14:paraId="4A290930">
      <w:pPr>
        <w:keepNext w:val="0"/>
        <w:keepLines w:val="0"/>
        <w:pageBreakBefore w:val="0"/>
        <w:widowControl w:val="0"/>
        <w:numPr>
          <w:ilvl w:val="0"/>
          <w:numId w:val="4"/>
        </w:numPr>
        <w:kinsoku/>
        <w:wordWrap/>
        <w:overflowPunct/>
        <w:topLinePunct w:val="0"/>
        <w:autoSpaceDE/>
        <w:autoSpaceDN/>
        <w:bidi w:val="0"/>
        <w:adjustRightInd w:val="0"/>
        <w:snapToGrid w:val="0"/>
        <w:spacing w:line="500" w:lineRule="exact"/>
        <w:ind w:right="23" w:rightChars="11"/>
        <w:textAlignment w:val="auto"/>
        <w:rPr>
          <w:rFonts w:hint="eastAsia" w:ascii="宋体" w:hAnsi="宋体" w:eastAsia="宋体" w:cs="Times New Roman"/>
          <w:b/>
          <w:color w:val="000000"/>
          <w:sz w:val="21"/>
          <w:szCs w:val="21"/>
          <w:highlight w:val="none"/>
          <w:lang w:val="en-US" w:eastAsia="zh-CN"/>
        </w:rPr>
      </w:pPr>
      <w:r>
        <w:rPr>
          <w:rFonts w:hint="eastAsia" w:ascii="宋体" w:hAnsi="宋体" w:eastAsia="宋体" w:cs="Times New Roman"/>
          <w:b/>
          <w:color w:val="000000"/>
          <w:sz w:val="21"/>
          <w:szCs w:val="21"/>
          <w:highlight w:val="none"/>
          <w:lang w:val="en-US" w:eastAsia="zh-CN"/>
        </w:rPr>
        <w:t>项目实施要求</w:t>
      </w:r>
    </w:p>
    <w:p w14:paraId="0B1C6D9E">
      <w:pPr>
        <w:keepNext w:val="0"/>
        <w:keepLines w:val="0"/>
        <w:pageBreakBefore w:val="0"/>
        <w:widowControl w:val="0"/>
        <w:kinsoku/>
        <w:wordWrap/>
        <w:overflowPunct/>
        <w:topLinePunct w:val="0"/>
        <w:autoSpaceDE w:val="0"/>
        <w:autoSpaceDN/>
        <w:bidi w:val="0"/>
        <w:adjustRightInd w:val="0"/>
        <w:snapToGrid w:val="0"/>
        <w:spacing w:line="500" w:lineRule="exact"/>
        <w:ind w:firstLine="422" w:firstLineChars="200"/>
        <w:jc w:val="left"/>
        <w:textAlignment w:val="auto"/>
        <w:rPr>
          <w:color w:val="000000"/>
          <w:sz w:val="21"/>
          <w:szCs w:val="21"/>
          <w:highlight w:val="none"/>
        </w:rPr>
      </w:pPr>
      <w:r>
        <w:rPr>
          <w:rFonts w:hint="eastAsia" w:ascii="宋体" w:hAnsi="宋体" w:cs="宋体"/>
          <w:b/>
          <w:color w:val="000000"/>
          <w:kern w:val="0"/>
          <w:sz w:val="21"/>
          <w:szCs w:val="21"/>
          <w:highlight w:val="none"/>
          <w:lang w:val="en-US" w:eastAsia="zh-CN" w:bidi="ar"/>
        </w:rPr>
        <w:t>7.1</w:t>
      </w:r>
      <w:r>
        <w:rPr>
          <w:rFonts w:hint="eastAsia" w:ascii="宋体" w:hAnsi="宋体" w:cs="宋体"/>
          <w:b/>
          <w:color w:val="000000"/>
          <w:kern w:val="0"/>
          <w:sz w:val="21"/>
          <w:szCs w:val="21"/>
          <w:highlight w:val="none"/>
          <w:lang w:bidi="ar"/>
        </w:rPr>
        <w:t>建筑材料运输、保管及保险</w:t>
      </w:r>
    </w:p>
    <w:p w14:paraId="030B898C">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color w:val="000000"/>
          <w:sz w:val="21"/>
          <w:szCs w:val="21"/>
          <w:highlight w:val="none"/>
        </w:rPr>
      </w:pPr>
      <w:r>
        <w:rPr>
          <w:rFonts w:hint="eastAsia" w:ascii="宋体" w:hAnsi="宋体" w:cs="宋体"/>
          <w:color w:val="000000"/>
          <w:sz w:val="21"/>
          <w:szCs w:val="21"/>
          <w:highlight w:val="none"/>
          <w:lang w:val="en-US" w:eastAsia="zh-CN" w:bidi="ar"/>
        </w:rPr>
        <w:t>（1）</w:t>
      </w:r>
      <w:r>
        <w:rPr>
          <w:rFonts w:hint="eastAsia" w:ascii="宋体" w:hAnsi="宋体" w:cs="宋体"/>
          <w:color w:val="000000"/>
          <w:sz w:val="21"/>
          <w:szCs w:val="21"/>
          <w:highlight w:val="none"/>
          <w:lang w:bidi="ar"/>
        </w:rPr>
        <w:t>成交供应商负责建筑材料到施工地点的全部运输，包括装卸及现场搬运等。</w:t>
      </w:r>
    </w:p>
    <w:p w14:paraId="2F5E80B0">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color w:val="000000"/>
          <w:sz w:val="21"/>
          <w:szCs w:val="21"/>
          <w:highlight w:val="none"/>
        </w:rPr>
      </w:pPr>
      <w:r>
        <w:rPr>
          <w:rFonts w:hint="eastAsia" w:ascii="宋体" w:hAnsi="宋体" w:cs="宋体"/>
          <w:color w:val="000000"/>
          <w:sz w:val="21"/>
          <w:szCs w:val="21"/>
          <w:highlight w:val="none"/>
          <w:lang w:eastAsia="zh-CN" w:bidi="ar"/>
        </w:rPr>
        <w:t>（</w:t>
      </w:r>
      <w:r>
        <w:rPr>
          <w:rFonts w:hint="eastAsia" w:ascii="宋体" w:hAnsi="宋体" w:cs="宋体"/>
          <w:color w:val="000000"/>
          <w:sz w:val="21"/>
          <w:szCs w:val="21"/>
          <w:highlight w:val="none"/>
          <w:lang w:val="en-US" w:eastAsia="zh-CN" w:bidi="ar"/>
        </w:rPr>
        <w:t>2</w:t>
      </w:r>
      <w:r>
        <w:rPr>
          <w:rFonts w:hint="eastAsia" w:ascii="宋体" w:hAnsi="宋体" w:cs="宋体"/>
          <w:color w:val="000000"/>
          <w:sz w:val="21"/>
          <w:szCs w:val="21"/>
          <w:highlight w:val="none"/>
          <w:lang w:eastAsia="zh-CN" w:bidi="ar"/>
        </w:rPr>
        <w:t>）</w:t>
      </w:r>
      <w:r>
        <w:rPr>
          <w:rFonts w:hint="eastAsia" w:ascii="宋体" w:hAnsi="宋体" w:cs="宋体"/>
          <w:color w:val="000000"/>
          <w:sz w:val="21"/>
          <w:szCs w:val="21"/>
          <w:highlight w:val="none"/>
          <w:lang w:bidi="ar"/>
        </w:rPr>
        <w:t>成交供应商负责建筑材料在施工地点的保管，直至项目验收合格。</w:t>
      </w:r>
    </w:p>
    <w:p w14:paraId="44C112CA">
      <w:pPr>
        <w:keepNext w:val="0"/>
        <w:keepLines w:val="0"/>
        <w:pageBreakBefore w:val="0"/>
        <w:widowControl w:val="0"/>
        <w:kinsoku/>
        <w:wordWrap/>
        <w:overflowPunct/>
        <w:topLinePunct w:val="0"/>
        <w:autoSpaceDE w:val="0"/>
        <w:autoSpaceDN/>
        <w:bidi w:val="0"/>
        <w:spacing w:line="500" w:lineRule="exact"/>
        <w:ind w:firstLine="422" w:firstLineChars="200"/>
        <w:jc w:val="left"/>
        <w:textAlignment w:val="auto"/>
        <w:rPr>
          <w:color w:val="000000"/>
          <w:sz w:val="21"/>
          <w:szCs w:val="21"/>
          <w:highlight w:val="none"/>
        </w:rPr>
      </w:pPr>
      <w:r>
        <w:rPr>
          <w:rFonts w:hint="eastAsia" w:ascii="宋体" w:hAnsi="宋体" w:cs="宋体"/>
          <w:b/>
          <w:sz w:val="21"/>
          <w:szCs w:val="21"/>
          <w:highlight w:val="none"/>
          <w:lang w:val="en-US" w:eastAsia="zh-CN" w:bidi="ar"/>
        </w:rPr>
        <w:t>7.2</w:t>
      </w:r>
      <w:r>
        <w:rPr>
          <w:rFonts w:hint="eastAsia" w:ascii="宋体" w:hAnsi="宋体" w:cs="宋体"/>
          <w:b/>
          <w:color w:val="000000"/>
          <w:sz w:val="21"/>
          <w:szCs w:val="21"/>
          <w:highlight w:val="none"/>
          <w:lang w:bidi="ar"/>
        </w:rPr>
        <w:t>施工要求</w:t>
      </w:r>
    </w:p>
    <w:p w14:paraId="74C83BF5">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cs="宋体"/>
          <w:color w:val="auto"/>
          <w:sz w:val="21"/>
          <w:szCs w:val="21"/>
          <w:highlight w:val="none"/>
          <w:lang w:eastAsia="zh-CN" w:bidi="ar"/>
        </w:rPr>
      </w:pPr>
      <w:r>
        <w:rPr>
          <w:rFonts w:hint="eastAsia" w:ascii="宋体" w:hAnsi="宋体" w:cs="宋体"/>
          <w:color w:val="000000"/>
          <w:sz w:val="21"/>
          <w:szCs w:val="21"/>
          <w:highlight w:val="none"/>
          <w:lang w:eastAsia="zh-CN" w:bidi="ar"/>
        </w:rPr>
        <w:t>（</w:t>
      </w:r>
      <w:r>
        <w:rPr>
          <w:rFonts w:hint="eastAsia" w:ascii="宋体" w:hAnsi="宋体" w:cs="宋体"/>
          <w:color w:val="000000"/>
          <w:sz w:val="21"/>
          <w:szCs w:val="21"/>
          <w:highlight w:val="none"/>
          <w:lang w:val="en-US" w:eastAsia="zh-CN" w:bidi="ar"/>
        </w:rPr>
        <w:t>1</w:t>
      </w:r>
      <w:r>
        <w:rPr>
          <w:rFonts w:hint="eastAsia" w:ascii="宋体" w:hAnsi="宋体" w:cs="宋体"/>
          <w:color w:val="000000"/>
          <w:sz w:val="21"/>
          <w:szCs w:val="21"/>
          <w:highlight w:val="none"/>
          <w:lang w:eastAsia="zh-CN" w:bidi="ar"/>
        </w:rPr>
        <w:t>）</w:t>
      </w:r>
      <w:r>
        <w:rPr>
          <w:rFonts w:hint="eastAsia" w:ascii="宋体" w:hAnsi="宋体" w:cs="宋体"/>
          <w:color w:val="0C0C0C"/>
          <w:sz w:val="21"/>
          <w:szCs w:val="21"/>
          <w:highlight w:val="none"/>
          <w:lang w:bidi="ar"/>
        </w:rPr>
        <w:t>成交供应商须加强施工的组织管理，所有施工人员须遵守文明安全施工的有关规章制度，持证上岗。</w:t>
      </w:r>
    </w:p>
    <w:p w14:paraId="3AF00F34">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cs="宋体"/>
          <w:color w:val="FF0000"/>
          <w:sz w:val="21"/>
          <w:szCs w:val="21"/>
          <w:highlight w:val="none"/>
          <w:lang w:eastAsia="zh-CN" w:bidi="ar"/>
        </w:rPr>
      </w:pPr>
      <w:r>
        <w:rPr>
          <w:rFonts w:hint="eastAsia" w:ascii="宋体" w:hAnsi="宋体" w:cs="宋体"/>
          <w:color w:val="auto"/>
          <w:sz w:val="21"/>
          <w:szCs w:val="21"/>
          <w:highlight w:val="none"/>
          <w:lang w:eastAsia="zh-CN" w:bidi="ar"/>
        </w:rPr>
        <w:t>（</w:t>
      </w:r>
      <w:r>
        <w:rPr>
          <w:rFonts w:hint="eastAsia" w:ascii="宋体" w:hAnsi="宋体" w:cs="宋体"/>
          <w:color w:val="auto"/>
          <w:sz w:val="21"/>
          <w:szCs w:val="21"/>
          <w:highlight w:val="none"/>
          <w:lang w:val="en-US" w:eastAsia="zh-CN" w:bidi="ar"/>
        </w:rPr>
        <w:t>2</w:t>
      </w:r>
      <w:r>
        <w:rPr>
          <w:rFonts w:hint="eastAsia" w:ascii="宋体" w:hAnsi="宋体" w:cs="宋体"/>
          <w:color w:val="auto"/>
          <w:sz w:val="21"/>
          <w:szCs w:val="21"/>
          <w:highlight w:val="none"/>
          <w:lang w:eastAsia="zh-CN" w:bidi="ar"/>
        </w:rPr>
        <w:t>）</w:t>
      </w:r>
      <w:r>
        <w:rPr>
          <w:rFonts w:hint="eastAsia" w:ascii="宋体" w:hAnsi="宋体" w:cs="宋体"/>
          <w:color w:val="0C0C0C"/>
          <w:sz w:val="21"/>
          <w:szCs w:val="21"/>
          <w:highlight w:val="none"/>
          <w:lang w:eastAsia="zh-CN" w:bidi="ar"/>
        </w:rPr>
        <w:t>项目经理不得同时在其它建设工程项目中任职。关键岗位人员必须持有相应的岗位资格证书。</w:t>
      </w:r>
    </w:p>
    <w:p w14:paraId="4CF33DFB">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cs="宋体"/>
          <w:color w:val="000000"/>
          <w:sz w:val="21"/>
          <w:szCs w:val="21"/>
          <w:highlight w:val="none"/>
          <w:lang w:eastAsia="zh-CN" w:bidi="ar"/>
        </w:rPr>
      </w:pPr>
      <w:r>
        <w:rPr>
          <w:rFonts w:hint="eastAsia" w:ascii="宋体" w:hAnsi="宋体" w:cs="宋体"/>
          <w:color w:val="000000"/>
          <w:sz w:val="21"/>
          <w:szCs w:val="21"/>
          <w:highlight w:val="none"/>
          <w:lang w:eastAsia="zh-CN" w:bidi="ar"/>
        </w:rPr>
        <w:t>（</w:t>
      </w:r>
      <w:r>
        <w:rPr>
          <w:rFonts w:hint="eastAsia" w:ascii="宋体" w:hAnsi="宋体" w:cs="宋体"/>
          <w:color w:val="000000"/>
          <w:sz w:val="21"/>
          <w:szCs w:val="21"/>
          <w:highlight w:val="none"/>
          <w:lang w:val="en-US" w:eastAsia="zh-CN" w:bidi="ar"/>
        </w:rPr>
        <w:t>3</w:t>
      </w:r>
      <w:r>
        <w:rPr>
          <w:rFonts w:hint="eastAsia" w:ascii="宋体" w:hAnsi="宋体" w:cs="宋体"/>
          <w:color w:val="000000"/>
          <w:sz w:val="21"/>
          <w:szCs w:val="21"/>
          <w:highlight w:val="none"/>
          <w:lang w:eastAsia="zh-CN" w:bidi="ar"/>
        </w:rPr>
        <w:t>）成交供应商在参与本项目的全部过程中，应负责其所有工作人员的人身意外保险以及承担人身意外事故引发的责任、损失和所有费用。采购人不承担成交供应商工作人员因意外（包括但不限于：在施工现场工作中发生的意外以及抵达施工现场途中及返程中发生的意外）所致的任何责任。在施工现场由于成交供应商的原因导致给采购人带来的损失，由成交供应商承担。</w:t>
      </w:r>
    </w:p>
    <w:p w14:paraId="3AF65E6A">
      <w:pPr>
        <w:keepNext w:val="0"/>
        <w:keepLines w:val="0"/>
        <w:pageBreakBefore w:val="0"/>
        <w:widowControl w:val="0"/>
        <w:kinsoku/>
        <w:wordWrap/>
        <w:overflowPunct/>
        <w:topLinePunct w:val="0"/>
        <w:autoSpaceDE w:val="0"/>
        <w:autoSpaceDN/>
        <w:bidi w:val="0"/>
        <w:spacing w:line="500" w:lineRule="exact"/>
        <w:ind w:firstLine="422" w:firstLineChars="200"/>
        <w:jc w:val="left"/>
        <w:textAlignment w:val="auto"/>
        <w:rPr>
          <w:color w:val="000000"/>
          <w:sz w:val="21"/>
          <w:szCs w:val="21"/>
          <w:highlight w:val="none"/>
        </w:rPr>
      </w:pPr>
      <w:r>
        <w:rPr>
          <w:rFonts w:hint="eastAsia" w:ascii="宋体" w:hAnsi="宋体" w:cs="宋体"/>
          <w:b/>
          <w:sz w:val="21"/>
          <w:szCs w:val="21"/>
          <w:highlight w:val="none"/>
          <w:lang w:val="en-US" w:eastAsia="zh-CN" w:bidi="ar"/>
        </w:rPr>
        <w:t>7.3</w:t>
      </w:r>
      <w:r>
        <w:rPr>
          <w:rFonts w:hint="eastAsia" w:ascii="宋体" w:hAnsi="宋体" w:cs="宋体"/>
          <w:b/>
          <w:sz w:val="21"/>
          <w:szCs w:val="21"/>
          <w:highlight w:val="none"/>
          <w:lang w:bidi="ar"/>
        </w:rPr>
        <w:t>验收要</w:t>
      </w:r>
      <w:r>
        <w:rPr>
          <w:rFonts w:hint="eastAsia" w:ascii="宋体" w:hAnsi="宋体" w:cs="宋体"/>
          <w:b/>
          <w:color w:val="000000"/>
          <w:sz w:val="21"/>
          <w:szCs w:val="21"/>
          <w:highlight w:val="none"/>
          <w:lang w:bidi="ar"/>
        </w:rPr>
        <w:t>求</w:t>
      </w:r>
    </w:p>
    <w:p w14:paraId="7BE36563">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1、中标人配合和指导</w:t>
      </w:r>
      <w:r>
        <w:rPr>
          <w:rFonts w:hint="eastAsia" w:ascii="宋体" w:hAnsi="宋体" w:eastAsia="宋体" w:cs="宋体"/>
          <w:color w:val="auto"/>
          <w:sz w:val="21"/>
          <w:szCs w:val="21"/>
          <w:highlight w:val="none"/>
          <w:lang w:val="en-US" w:eastAsia="zh-CN" w:bidi="ar"/>
        </w:rPr>
        <w:t>医院</w:t>
      </w:r>
      <w:r>
        <w:rPr>
          <w:rFonts w:hint="eastAsia" w:ascii="宋体" w:hAnsi="宋体" w:eastAsia="宋体" w:cs="宋体"/>
          <w:color w:val="auto"/>
          <w:sz w:val="21"/>
          <w:szCs w:val="21"/>
          <w:highlight w:val="none"/>
          <w:lang w:eastAsia="zh-CN" w:bidi="ar"/>
        </w:rPr>
        <w:t>对货物储存、安装和使用场地的建设或改良（含配套设施及条件），确保货物达到规定的运行、安装、使用环境，保证使用条件安全。</w:t>
      </w:r>
    </w:p>
    <w:p w14:paraId="2161C198">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在货物到达使用单位，现场场地符合安装条件后，采购人</w:t>
      </w:r>
      <w:r>
        <w:rPr>
          <w:rFonts w:hint="eastAsia" w:ascii="宋体" w:hAnsi="宋体" w:eastAsia="宋体" w:cs="宋体"/>
          <w:color w:val="auto"/>
          <w:sz w:val="21"/>
          <w:szCs w:val="21"/>
          <w:highlight w:val="none"/>
          <w:lang w:val="en-US" w:eastAsia="zh-CN" w:bidi="ar"/>
        </w:rPr>
        <w:t>或医院</w:t>
      </w:r>
      <w:r>
        <w:rPr>
          <w:rFonts w:hint="eastAsia" w:ascii="宋体" w:hAnsi="宋体" w:eastAsia="宋体" w:cs="宋体"/>
          <w:color w:val="auto"/>
          <w:sz w:val="21"/>
          <w:szCs w:val="21"/>
          <w:highlight w:val="none"/>
          <w:lang w:eastAsia="zh-CN" w:bidi="ar"/>
        </w:rPr>
        <w:t>将通知中标人派技术人员对所投设备全面进行安装调试。中标人应派制造商技术人员在7日内到达采购人指定安装地点，并在</w:t>
      </w:r>
      <w:r>
        <w:rPr>
          <w:rFonts w:hint="eastAsia" w:ascii="宋体" w:hAnsi="宋体" w:eastAsia="宋体" w:cs="宋体"/>
          <w:color w:val="auto"/>
          <w:sz w:val="21"/>
          <w:szCs w:val="21"/>
          <w:highlight w:val="none"/>
          <w:lang w:val="en-US" w:eastAsia="zh-CN" w:bidi="ar"/>
        </w:rPr>
        <w:t>医院</w:t>
      </w:r>
      <w:r>
        <w:rPr>
          <w:rFonts w:hint="eastAsia" w:ascii="宋体" w:hAnsi="宋体" w:eastAsia="宋体" w:cs="宋体"/>
          <w:color w:val="auto"/>
          <w:sz w:val="21"/>
          <w:szCs w:val="21"/>
          <w:highlight w:val="none"/>
          <w:lang w:eastAsia="zh-CN" w:bidi="ar"/>
        </w:rPr>
        <w:t>技术人员在场的情况下开箱清点货物，组织安装、调试，并承担因此发生的一切费用。如中标人未在7日内到达采购人指定安装地点，采购人</w:t>
      </w:r>
      <w:r>
        <w:rPr>
          <w:rFonts w:hint="eastAsia" w:ascii="宋体" w:hAnsi="宋体" w:eastAsia="宋体" w:cs="宋体"/>
          <w:color w:val="auto"/>
          <w:sz w:val="21"/>
          <w:szCs w:val="21"/>
          <w:highlight w:val="none"/>
          <w:lang w:val="en-US" w:eastAsia="zh-CN" w:bidi="ar"/>
        </w:rPr>
        <w:t>或医院</w:t>
      </w:r>
      <w:r>
        <w:rPr>
          <w:rFonts w:hint="eastAsia" w:ascii="宋体" w:hAnsi="宋体" w:eastAsia="宋体" w:cs="宋体"/>
          <w:color w:val="auto"/>
          <w:sz w:val="21"/>
          <w:szCs w:val="21"/>
          <w:highlight w:val="none"/>
          <w:lang w:eastAsia="zh-CN" w:bidi="ar"/>
        </w:rPr>
        <w:t>有权自行开箱安装调试。开箱如有缺货、错装、损坏或技术问题，中标人应承担全部责任。</w:t>
      </w:r>
    </w:p>
    <w:p w14:paraId="74B78CB5">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在验收报告出具前，中标人需按相关规定，委托国内具备资格的单位对货物进行检验并出具报告，所有费用均由中标人承担。</w:t>
      </w:r>
    </w:p>
    <w:p w14:paraId="7EA570A8">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设备验收签字前如有任何质量问题，中标人必须无条件更换。</w:t>
      </w:r>
    </w:p>
    <w:p w14:paraId="061ADFAF">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中标人须承担货物验收前的财产保护责任，在验收前出现损坏由中标人负责。在安装运输过程中如出现人员伤亡及财产损坏由中标人承担赔偿责任。</w:t>
      </w:r>
    </w:p>
    <w:p w14:paraId="50D36605">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6、</w:t>
      </w:r>
      <w:r>
        <w:rPr>
          <w:rFonts w:hint="eastAsia" w:ascii="宋体" w:hAnsi="宋体" w:eastAsia="宋体" w:cs="宋体"/>
          <w:color w:val="auto"/>
          <w:sz w:val="21"/>
          <w:szCs w:val="21"/>
          <w:highlight w:val="none"/>
          <w:lang w:eastAsia="zh-CN" w:bidi="ar"/>
        </w:rPr>
        <w:t>设备安装后，采购人按国家标准、厂方标准、医院验收制度流程及合同要求如仪器设备需要特殊工作条件（如水、电源、磁场强度、温度、湿度、动强度等）进行验收。中标人应向采购人</w:t>
      </w:r>
      <w:r>
        <w:rPr>
          <w:rFonts w:hint="eastAsia" w:ascii="宋体" w:hAnsi="宋体" w:eastAsia="宋体" w:cs="宋体"/>
          <w:color w:val="auto"/>
          <w:sz w:val="21"/>
          <w:szCs w:val="21"/>
          <w:highlight w:val="none"/>
          <w:lang w:val="en-US" w:eastAsia="zh-CN" w:bidi="ar"/>
        </w:rPr>
        <w:t>或医院</w:t>
      </w:r>
      <w:r>
        <w:rPr>
          <w:rFonts w:hint="eastAsia" w:ascii="宋体" w:hAnsi="宋体" w:eastAsia="宋体" w:cs="宋体"/>
          <w:color w:val="auto"/>
          <w:sz w:val="21"/>
          <w:szCs w:val="21"/>
          <w:highlight w:val="none"/>
          <w:lang w:eastAsia="zh-CN" w:bidi="ar"/>
        </w:rPr>
        <w:t>提供详细的验收标准，验收手册和部分验收专用仪器，并承担相关费用。设备各项技术性能、指标必须达到合同和技术文件规定的要求。投标文件中提供详细的验收说明。</w:t>
      </w:r>
    </w:p>
    <w:p w14:paraId="37546407">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val="en-US" w:eastAsia="zh-CN" w:bidi="ar"/>
        </w:rPr>
        <w:t>7、</w:t>
      </w:r>
      <w:r>
        <w:rPr>
          <w:rFonts w:hint="eastAsia" w:ascii="宋体" w:hAnsi="宋体" w:eastAsia="宋体" w:cs="宋体"/>
          <w:color w:val="auto"/>
          <w:sz w:val="21"/>
          <w:szCs w:val="21"/>
          <w:highlight w:val="none"/>
          <w:lang w:eastAsia="zh-CN" w:bidi="ar"/>
        </w:rPr>
        <w:t>供应商需承诺负责成交设备接入医院对应的信息系统，负责设备的软件更新升级，与之相关的所有费用均已包含在投标报价中（</w:t>
      </w:r>
      <w:r>
        <w:rPr>
          <w:rFonts w:hint="eastAsia" w:ascii="宋体" w:hAnsi="宋体" w:eastAsia="宋体" w:cs="宋体"/>
          <w:color w:val="auto"/>
          <w:sz w:val="21"/>
          <w:szCs w:val="21"/>
          <w:highlight w:val="none"/>
          <w:lang w:val="en-US" w:eastAsia="zh-CN" w:bidi="ar"/>
        </w:rPr>
        <w:t>如需）</w:t>
      </w:r>
      <w:r>
        <w:rPr>
          <w:rFonts w:hint="eastAsia" w:ascii="宋体" w:hAnsi="宋体" w:eastAsia="宋体" w:cs="宋体"/>
          <w:color w:val="auto"/>
          <w:sz w:val="21"/>
          <w:szCs w:val="21"/>
          <w:highlight w:val="none"/>
          <w:lang w:eastAsia="zh-CN" w:bidi="ar"/>
        </w:rPr>
        <w:t>。</w:t>
      </w:r>
    </w:p>
    <w:p w14:paraId="481B09DF">
      <w:pPr>
        <w:keepNext w:val="0"/>
        <w:keepLines w:val="0"/>
        <w:pageBreakBefore w:val="0"/>
        <w:widowControl w:val="0"/>
        <w:kinsoku/>
        <w:wordWrap/>
        <w:overflowPunct/>
        <w:topLinePunct w:val="0"/>
        <w:autoSpaceDE w:val="0"/>
        <w:autoSpaceDN/>
        <w:bidi w:val="0"/>
        <w:spacing w:line="500" w:lineRule="exact"/>
        <w:ind w:firstLine="422" w:firstLineChars="200"/>
        <w:jc w:val="left"/>
        <w:textAlignment w:val="auto"/>
        <w:rPr>
          <w:color w:val="0C0C0C"/>
          <w:sz w:val="21"/>
          <w:szCs w:val="21"/>
          <w:highlight w:val="none"/>
        </w:rPr>
      </w:pPr>
      <w:r>
        <w:rPr>
          <w:rFonts w:hint="eastAsia" w:ascii="宋体" w:hAnsi="宋体" w:cs="宋体"/>
          <w:b/>
          <w:sz w:val="21"/>
          <w:szCs w:val="21"/>
          <w:highlight w:val="none"/>
          <w:lang w:val="en-US" w:eastAsia="zh-CN" w:bidi="ar"/>
        </w:rPr>
        <w:t>7.4</w:t>
      </w:r>
      <w:r>
        <w:rPr>
          <w:rFonts w:hint="eastAsia" w:ascii="宋体" w:hAnsi="宋体" w:cs="宋体"/>
          <w:b/>
          <w:color w:val="0C0C0C"/>
          <w:sz w:val="21"/>
          <w:szCs w:val="21"/>
          <w:highlight w:val="none"/>
          <w:lang w:bidi="ar"/>
        </w:rPr>
        <w:t>质量保证</w:t>
      </w:r>
    </w:p>
    <w:p w14:paraId="26FC0CC9">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color w:val="0C0C0C"/>
          <w:sz w:val="21"/>
          <w:szCs w:val="21"/>
          <w:highlight w:val="none"/>
          <w:lang w:eastAsia="zh-CN" w:bidi="ar"/>
        </w:rPr>
      </w:pPr>
      <w:r>
        <w:rPr>
          <w:rFonts w:hint="eastAsia" w:ascii="宋体" w:hAnsi="宋体" w:eastAsia="宋体" w:cs="宋体"/>
          <w:color w:val="0C0C0C"/>
          <w:sz w:val="21"/>
          <w:szCs w:val="21"/>
          <w:highlight w:val="none"/>
          <w:lang w:eastAsia="zh-CN" w:bidi="ar"/>
        </w:rPr>
        <w:t>（</w:t>
      </w:r>
      <w:r>
        <w:rPr>
          <w:rFonts w:hint="eastAsia" w:ascii="宋体" w:hAnsi="宋体" w:eastAsia="宋体" w:cs="宋体"/>
          <w:color w:val="0C0C0C"/>
          <w:sz w:val="21"/>
          <w:szCs w:val="21"/>
          <w:highlight w:val="none"/>
          <w:lang w:val="en-US" w:eastAsia="zh-CN" w:bidi="ar"/>
        </w:rPr>
        <w:t>1</w:t>
      </w:r>
      <w:r>
        <w:rPr>
          <w:rFonts w:hint="eastAsia" w:ascii="宋体" w:hAnsi="宋体" w:eastAsia="宋体" w:cs="宋体"/>
          <w:color w:val="0C0C0C"/>
          <w:sz w:val="21"/>
          <w:szCs w:val="21"/>
          <w:highlight w:val="none"/>
          <w:lang w:eastAsia="zh-CN" w:bidi="ar"/>
        </w:rPr>
        <w:t>）本工程质量符合国务院2000年发布的第279号令《建设工程质量管理条例》相关规定。</w:t>
      </w:r>
    </w:p>
    <w:p w14:paraId="0C4E075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right="23" w:rightChars="11"/>
        <w:textAlignment w:val="auto"/>
        <w:rPr>
          <w:rFonts w:hint="eastAsia" w:ascii="宋体" w:hAnsi="宋体" w:eastAsia="宋体" w:cs="Times New Roman"/>
          <w:b/>
          <w:color w:val="000000"/>
          <w:sz w:val="21"/>
          <w:szCs w:val="21"/>
          <w:highlight w:val="none"/>
          <w:lang w:val="en-US" w:eastAsia="zh-CN"/>
        </w:rPr>
      </w:pPr>
      <w:r>
        <w:rPr>
          <w:rFonts w:hint="eastAsia" w:ascii="宋体" w:hAnsi="宋体" w:eastAsia="宋体" w:cs="Times New Roman"/>
          <w:b/>
          <w:color w:val="000000"/>
          <w:sz w:val="21"/>
          <w:szCs w:val="21"/>
          <w:highlight w:val="none"/>
          <w:lang w:val="en-US" w:eastAsia="zh-CN"/>
        </w:rPr>
        <w:t>八、项目特别说明</w:t>
      </w:r>
    </w:p>
    <w:p w14:paraId="7982CD68">
      <w:pPr>
        <w:keepNext w:val="0"/>
        <w:keepLines w:val="0"/>
        <w:pageBreakBefore w:val="0"/>
        <w:widowControl w:val="0"/>
        <w:kinsoku/>
        <w:wordWrap/>
        <w:overflowPunct/>
        <w:topLinePunct w:val="0"/>
        <w:autoSpaceDE w:val="0"/>
        <w:autoSpaceDN/>
        <w:bidi w:val="0"/>
        <w:adjustRightInd w:val="0"/>
        <w:snapToGrid w:val="0"/>
        <w:spacing w:line="500" w:lineRule="exact"/>
        <w:ind w:firstLine="422" w:firstLineChars="200"/>
        <w:jc w:val="left"/>
        <w:textAlignment w:val="auto"/>
        <w:rPr>
          <w:rFonts w:hint="eastAsia" w:ascii="宋体" w:hAnsi="宋体" w:cs="宋体"/>
          <w:b/>
          <w:bCs/>
          <w:color w:val="0C0C0C"/>
          <w:kern w:val="0"/>
          <w:sz w:val="21"/>
          <w:szCs w:val="21"/>
          <w:highlight w:val="none"/>
          <w:lang w:val="en-US" w:eastAsia="zh-CN" w:bidi="ar"/>
        </w:rPr>
      </w:pPr>
      <w:r>
        <w:rPr>
          <w:rFonts w:hint="eastAsia" w:ascii="宋体" w:hAnsi="宋体" w:cs="宋体"/>
          <w:b/>
          <w:bCs/>
          <w:color w:val="000000"/>
          <w:kern w:val="0"/>
          <w:sz w:val="21"/>
          <w:szCs w:val="21"/>
          <w:highlight w:val="none"/>
          <w:lang w:val="en-US" w:eastAsia="zh-CN" w:bidi="ar"/>
        </w:rPr>
        <w:t>8.1实施时</w:t>
      </w:r>
      <w:r>
        <w:rPr>
          <w:rFonts w:hint="eastAsia" w:ascii="宋体" w:hAnsi="宋体" w:cs="宋体"/>
          <w:b/>
          <w:bCs/>
          <w:color w:val="0C0C0C"/>
          <w:kern w:val="0"/>
          <w:sz w:val="21"/>
          <w:szCs w:val="21"/>
          <w:highlight w:val="none"/>
          <w:lang w:val="en-US" w:eastAsia="zh-CN" w:bidi="ar"/>
        </w:rPr>
        <w:t>间及地点</w:t>
      </w:r>
    </w:p>
    <w:p w14:paraId="3C7E4110">
      <w:pPr>
        <w:keepNext w:val="0"/>
        <w:keepLines w:val="0"/>
        <w:pageBreakBefore w:val="0"/>
        <w:widowControl w:val="0"/>
        <w:kinsoku/>
        <w:wordWrap/>
        <w:overflowPunct/>
        <w:topLinePunct w:val="0"/>
        <w:autoSpaceDE w:val="0"/>
        <w:autoSpaceDN/>
        <w:bidi w:val="0"/>
        <w:adjustRightInd w:val="0"/>
        <w:snapToGrid w:val="0"/>
        <w:spacing w:line="500" w:lineRule="exact"/>
        <w:ind w:firstLine="420" w:firstLineChars="200"/>
        <w:jc w:val="left"/>
        <w:textAlignment w:val="auto"/>
        <w:rPr>
          <w:rFonts w:hint="eastAsia" w:ascii="宋体" w:hAnsi="宋体" w:cs="宋体"/>
          <w:b w:val="0"/>
          <w:bCs w:val="0"/>
          <w:color w:val="0C0C0C"/>
          <w:kern w:val="0"/>
          <w:sz w:val="21"/>
          <w:szCs w:val="21"/>
          <w:highlight w:val="none"/>
          <w:lang w:val="en-US" w:eastAsia="zh-CN" w:bidi="ar"/>
        </w:rPr>
      </w:pPr>
      <w:r>
        <w:rPr>
          <w:rFonts w:hint="eastAsia" w:ascii="宋体" w:hAnsi="宋体" w:cs="宋体"/>
          <w:b w:val="0"/>
          <w:bCs w:val="0"/>
          <w:color w:val="0C0C0C"/>
          <w:kern w:val="0"/>
          <w:sz w:val="21"/>
          <w:szCs w:val="21"/>
          <w:highlight w:val="none"/>
          <w:lang w:val="en-US" w:eastAsia="zh-CN" w:bidi="ar"/>
        </w:rPr>
        <w:t>实施时间：工期为120日历天，具体开工时间由甲乙双方在签订合同时明确；</w:t>
      </w:r>
    </w:p>
    <w:p w14:paraId="46FF41F7">
      <w:pPr>
        <w:keepNext w:val="0"/>
        <w:keepLines w:val="0"/>
        <w:pageBreakBefore w:val="0"/>
        <w:widowControl w:val="0"/>
        <w:kinsoku/>
        <w:wordWrap/>
        <w:overflowPunct/>
        <w:topLinePunct w:val="0"/>
        <w:autoSpaceDE w:val="0"/>
        <w:autoSpaceDN/>
        <w:bidi w:val="0"/>
        <w:adjustRightInd w:val="0"/>
        <w:snapToGrid w:val="0"/>
        <w:spacing w:line="500" w:lineRule="exact"/>
        <w:ind w:firstLine="420" w:firstLineChars="200"/>
        <w:jc w:val="left"/>
        <w:textAlignment w:val="auto"/>
        <w:rPr>
          <w:rFonts w:hint="eastAsia" w:ascii="宋体" w:hAnsi="宋体" w:cs="宋体"/>
          <w:b w:val="0"/>
          <w:bCs w:val="0"/>
          <w:color w:val="FF0000"/>
          <w:kern w:val="0"/>
          <w:sz w:val="21"/>
          <w:szCs w:val="21"/>
          <w:highlight w:val="none"/>
          <w:lang w:val="en-US" w:eastAsia="zh-CN" w:bidi="ar"/>
        </w:rPr>
      </w:pPr>
      <w:r>
        <w:rPr>
          <w:rFonts w:hint="eastAsia" w:ascii="宋体" w:hAnsi="宋体" w:cs="宋体"/>
          <w:b w:val="0"/>
          <w:bCs w:val="0"/>
          <w:color w:val="0C0C0C"/>
          <w:kern w:val="0"/>
          <w:sz w:val="21"/>
          <w:szCs w:val="21"/>
          <w:highlight w:val="none"/>
          <w:lang w:val="en-US" w:eastAsia="zh-CN" w:bidi="ar"/>
        </w:rPr>
        <w:t>实施地点：</w:t>
      </w:r>
      <w:r>
        <w:rPr>
          <w:rFonts w:hint="eastAsia"/>
          <w:color w:val="0C0C0C"/>
          <w:sz w:val="21"/>
          <w:szCs w:val="21"/>
          <w:lang w:eastAsia="zh-CN"/>
        </w:rPr>
        <w:t>岳阳市人民医院（岳阳市巴陵东路263号）。</w:t>
      </w:r>
    </w:p>
    <w:p w14:paraId="3ED97C61">
      <w:pPr>
        <w:keepNext w:val="0"/>
        <w:keepLines w:val="0"/>
        <w:pageBreakBefore w:val="0"/>
        <w:widowControl w:val="0"/>
        <w:kinsoku/>
        <w:wordWrap/>
        <w:overflowPunct/>
        <w:topLinePunct w:val="0"/>
        <w:autoSpaceDE w:val="0"/>
        <w:autoSpaceDN/>
        <w:bidi w:val="0"/>
        <w:adjustRightInd w:val="0"/>
        <w:snapToGrid w:val="0"/>
        <w:spacing w:line="500" w:lineRule="exact"/>
        <w:ind w:firstLine="422" w:firstLineChars="200"/>
        <w:jc w:val="left"/>
        <w:textAlignment w:val="auto"/>
        <w:rPr>
          <w:rFonts w:hint="eastAsia" w:ascii="宋体" w:hAnsi="宋体" w:eastAsia="宋体" w:cs="宋体"/>
          <w:color w:val="0C0C0C"/>
          <w:sz w:val="21"/>
          <w:szCs w:val="21"/>
          <w:highlight w:val="none"/>
          <w:lang w:eastAsia="zh-CN" w:bidi="ar"/>
        </w:rPr>
      </w:pPr>
      <w:r>
        <w:rPr>
          <w:rFonts w:hint="eastAsia" w:ascii="宋体" w:hAnsi="宋体" w:cs="宋体"/>
          <w:b/>
          <w:bCs/>
          <w:color w:val="000000"/>
          <w:kern w:val="0"/>
          <w:sz w:val="21"/>
          <w:szCs w:val="21"/>
          <w:highlight w:val="none"/>
          <w:lang w:val="en-US" w:eastAsia="zh-CN" w:bidi="ar"/>
        </w:rPr>
        <w:t>8.2</w:t>
      </w:r>
      <w:r>
        <w:rPr>
          <w:rFonts w:hint="eastAsia" w:ascii="宋体" w:hAnsi="宋体" w:cs="宋体"/>
          <w:b/>
          <w:bCs/>
          <w:color w:val="000000"/>
          <w:kern w:val="0"/>
          <w:sz w:val="21"/>
          <w:szCs w:val="21"/>
          <w:highlight w:val="none"/>
          <w:lang w:bidi="ar"/>
        </w:rPr>
        <w:t>结</w:t>
      </w:r>
      <w:r>
        <w:rPr>
          <w:rFonts w:hint="eastAsia" w:ascii="宋体" w:hAnsi="宋体" w:cs="宋体"/>
          <w:b/>
          <w:bCs/>
          <w:color w:val="0C0C0C"/>
          <w:kern w:val="0"/>
          <w:sz w:val="21"/>
          <w:szCs w:val="21"/>
          <w:highlight w:val="none"/>
          <w:lang w:bidi="ar"/>
        </w:rPr>
        <w:t>算</w:t>
      </w:r>
      <w:r>
        <w:rPr>
          <w:rFonts w:hint="eastAsia" w:ascii="宋体" w:hAnsi="宋体" w:cs="宋体"/>
          <w:b/>
          <w:bCs/>
          <w:color w:val="0C0C0C"/>
          <w:kern w:val="0"/>
          <w:sz w:val="21"/>
          <w:szCs w:val="21"/>
          <w:highlight w:val="none"/>
          <w:lang w:eastAsia="zh-CN" w:bidi="ar"/>
        </w:rPr>
        <w:t>方式</w:t>
      </w:r>
    </w:p>
    <w:p w14:paraId="077BF553">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color w:val="auto"/>
          <w:sz w:val="21"/>
          <w:szCs w:val="21"/>
          <w:highlight w:val="none"/>
          <w:lang w:val="en-US" w:eastAsia="zh-CN"/>
        </w:rPr>
      </w:pPr>
      <w:r>
        <w:rPr>
          <w:rFonts w:hint="eastAsia" w:ascii="宋体" w:hAnsi="宋体"/>
          <w:color w:val="0C0C0C"/>
          <w:sz w:val="21"/>
          <w:szCs w:val="21"/>
          <w:highlight w:val="none"/>
          <w:lang w:val="en-US" w:eastAsia="zh-CN"/>
        </w:rPr>
        <w:t>结算方式：双方签订的合同生效后，甲方向乙方支付本项目预付款：合同价款的20%；完成本项目工程量清单50%，甲方向乙方支付至合同价款的50%；本项目完工经甲方验收合格后，甲方向乙方支付至合同价款的80%；待本项目竣工验收合格，办理完结算审计手续，出具结算审计结论后，甲方向乙方支付至本项目结算审计金额的97%；待本项目竣工备案手续办理完成后</w:t>
      </w:r>
      <w:r>
        <w:rPr>
          <w:rFonts w:hint="eastAsia" w:ascii="宋体" w:hAnsi="宋体"/>
          <w:color w:val="auto"/>
          <w:sz w:val="21"/>
          <w:szCs w:val="21"/>
          <w:highlight w:val="none"/>
          <w:lang w:val="en-US" w:eastAsia="zh-CN"/>
        </w:rPr>
        <w:t>满一年，甲方向乙方无息支付本项目余款。</w:t>
      </w:r>
    </w:p>
    <w:p w14:paraId="5512054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right="23" w:rightChars="11"/>
        <w:textAlignment w:val="auto"/>
        <w:rPr>
          <w:rFonts w:hint="eastAsia" w:ascii="宋体" w:hAnsi="宋体" w:eastAsia="宋体" w:cs="Times New Roman"/>
          <w:b/>
          <w:color w:val="000000"/>
          <w:sz w:val="21"/>
          <w:szCs w:val="21"/>
          <w:highlight w:val="none"/>
          <w:lang w:val="en-US" w:eastAsia="zh-CN"/>
        </w:rPr>
      </w:pPr>
      <w:r>
        <w:rPr>
          <w:rFonts w:hint="eastAsia" w:ascii="宋体" w:hAnsi="宋体" w:eastAsia="宋体" w:cs="Times New Roman"/>
          <w:b/>
          <w:color w:val="000000"/>
          <w:sz w:val="21"/>
          <w:szCs w:val="21"/>
          <w:highlight w:val="none"/>
          <w:lang w:val="en-US" w:eastAsia="zh-CN"/>
        </w:rPr>
        <w:t>九、其它需要说明的事项</w:t>
      </w:r>
    </w:p>
    <w:bookmarkEnd w:id="1"/>
    <w:p w14:paraId="30E1E514">
      <w:pPr>
        <w:keepNext w:val="0"/>
        <w:keepLines w:val="0"/>
        <w:pageBreakBefore w:val="0"/>
        <w:widowControl w:val="0"/>
        <w:kinsoku/>
        <w:wordWrap/>
        <w:overflowPunct/>
        <w:topLinePunct w:val="0"/>
        <w:autoSpaceDE w:val="0"/>
        <w:autoSpaceDN/>
        <w:bidi w:val="0"/>
        <w:spacing w:line="500" w:lineRule="exact"/>
        <w:ind w:firstLine="420" w:firstLineChars="200"/>
        <w:jc w:val="left"/>
        <w:textAlignment w:val="auto"/>
        <w:rPr>
          <w:rFonts w:hint="eastAsia" w:ascii="宋体" w:hAnsi="宋体" w:eastAsia="宋体" w:cs="宋体"/>
          <w:bCs/>
          <w:color w:val="FF0000"/>
          <w:sz w:val="21"/>
          <w:szCs w:val="21"/>
          <w:highlight w:val="none"/>
        </w:rPr>
      </w:pPr>
      <w:r>
        <w:rPr>
          <w:rFonts w:hint="eastAsia" w:ascii="宋体" w:hAnsi="宋体" w:cs="宋体"/>
          <w:color w:val="000000"/>
          <w:sz w:val="21"/>
          <w:szCs w:val="21"/>
          <w:highlight w:val="none"/>
          <w:lang w:eastAsia="zh-CN" w:bidi="ar"/>
        </w:rPr>
        <w:t>供应商</w:t>
      </w:r>
      <w:r>
        <w:rPr>
          <w:rFonts w:hint="eastAsia" w:ascii="宋体" w:hAnsi="宋体" w:cs="宋体"/>
          <w:color w:val="000000"/>
          <w:sz w:val="21"/>
          <w:szCs w:val="21"/>
          <w:highlight w:val="none"/>
          <w:lang w:bidi="ar"/>
        </w:rPr>
        <w:t>在投标前，若自行踏勘现场</w:t>
      </w:r>
      <w:r>
        <w:rPr>
          <w:rFonts w:hint="eastAsia" w:ascii="宋体" w:hAnsi="宋体" w:cs="宋体"/>
          <w:color w:val="000000"/>
          <w:sz w:val="21"/>
          <w:szCs w:val="21"/>
          <w:highlight w:val="none"/>
          <w:lang w:eastAsia="zh-CN" w:bidi="ar"/>
        </w:rPr>
        <w:t>的</w:t>
      </w:r>
      <w:r>
        <w:rPr>
          <w:rFonts w:hint="eastAsia" w:ascii="宋体" w:hAnsi="宋体" w:cs="宋体"/>
          <w:color w:val="000000"/>
          <w:sz w:val="21"/>
          <w:szCs w:val="21"/>
          <w:highlight w:val="none"/>
          <w:lang w:bidi="ar"/>
        </w:rPr>
        <w:t>，有关费用自理，踏勘期间发生的意外自负。</w:t>
      </w:r>
    </w:p>
    <w:p w14:paraId="3C300852">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EC503"/>
    <w:multiLevelType w:val="singleLevel"/>
    <w:tmpl w:val="8EBEC503"/>
    <w:lvl w:ilvl="0" w:tentative="0">
      <w:start w:val="1"/>
      <w:numFmt w:val="chineseCounting"/>
      <w:suff w:val="nothing"/>
      <w:lvlText w:val="%1、"/>
      <w:lvlJc w:val="left"/>
      <w:rPr>
        <w:rFonts w:hint="eastAsia"/>
      </w:rPr>
    </w:lvl>
  </w:abstractNum>
  <w:abstractNum w:abstractNumId="1">
    <w:nsid w:val="9E8645A4"/>
    <w:multiLevelType w:val="singleLevel"/>
    <w:tmpl w:val="9E8645A4"/>
    <w:lvl w:ilvl="0" w:tentative="0">
      <w:start w:val="1"/>
      <w:numFmt w:val="chineseCounting"/>
      <w:suff w:val="nothing"/>
      <w:lvlText w:val="%1、"/>
      <w:lvlJc w:val="left"/>
      <w:rPr>
        <w:rFonts w:hint="eastAsia"/>
      </w:rPr>
    </w:lvl>
  </w:abstractNum>
  <w:abstractNum w:abstractNumId="2">
    <w:nsid w:val="A896C130"/>
    <w:multiLevelType w:val="singleLevel"/>
    <w:tmpl w:val="A896C130"/>
    <w:lvl w:ilvl="0" w:tentative="0">
      <w:start w:val="5"/>
      <w:numFmt w:val="chineseCounting"/>
      <w:suff w:val="nothing"/>
      <w:lvlText w:val="%1、"/>
      <w:lvlJc w:val="left"/>
      <w:rPr>
        <w:rFonts w:hint="eastAsia"/>
      </w:rPr>
    </w:lvl>
  </w:abstractNum>
  <w:abstractNum w:abstractNumId="3">
    <w:nsid w:val="D06D0331"/>
    <w:multiLevelType w:val="singleLevel"/>
    <w:tmpl w:val="D06D0331"/>
    <w:lvl w:ilvl="0" w:tentative="0">
      <w:start w:val="7"/>
      <w:numFmt w:val="chineseCounting"/>
      <w:suff w:val="nothing"/>
      <w:lvlText w:val="%1、"/>
      <w:lvlJc w:val="left"/>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B52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uiPriority w:val="0"/>
    <w:pPr>
      <w:spacing w:after="120"/>
    </w:pPr>
  </w:style>
  <w:style w:type="paragraph" w:customStyle="1" w:styleId="3">
    <w:name w:val="正文首行缩进1"/>
    <w:basedOn w:val="1"/>
    <w:qFormat/>
    <w:uiPriority w:val="99"/>
    <w:pPr>
      <w:spacing w:after="120"/>
      <w:ind w:firstLine="420" w:firstLineChars="100"/>
    </w:pPr>
  </w:style>
  <w:style w:type="paragraph" w:customStyle="1" w:styleId="6">
    <w:name w:val="正文格式"/>
    <w:basedOn w:val="2"/>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7">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2026-10-12T06:09:29Z</dcterms:created>
  <dc:creator>Administrator</dc:creator>
  <cp:lastModifiedBy>MonJa</cp:lastModifiedBy>
  <dcterms:modified xsi:type="dcterms:W3CDTF">2026-10-12T06:09:44Z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eyJoZGlkIjoiYjZkNzUyNjI3YjU3YTc4Y2U0ZDY2OTRjODdmZDFhMzgiLCJ1c2VySWQiOiI0MTA1NTc0NzQifQ==</vt:lpwstr>
  </property>
  <property fmtid="{D5CDD505-2E9C-101B-9397-08002B2CF9AE}" pid="4" name="ICV">
    <vt:lpwstr>1F43FDD6D57040D1AAD7999462355042_12</vt:lpwstr>
  </property>
</Properties>
</file>