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946D8">
      <w:pPr>
        <w:pStyle w:val="2"/>
        <w:bidi w:val="0"/>
        <w:jc w:val="center"/>
        <w:rPr>
          <w:rFonts w:hint="eastAsia" w:ascii="Times New Roman" w:hAnsi="Times New Roman" w:eastAsia="宋体" w:cs="Times New Roman"/>
          <w:color w:val="auto"/>
          <w:sz w:val="36"/>
          <w:szCs w:val="24"/>
        </w:rPr>
      </w:pPr>
      <w:r>
        <w:rPr>
          <w:rFonts w:hint="eastAsia" w:ascii="Times New Roman" w:hAnsi="Times New Roman" w:eastAsia="宋体" w:cs="Times New Roman"/>
          <w:color w:val="auto"/>
          <w:sz w:val="36"/>
          <w:szCs w:val="24"/>
        </w:rPr>
        <w:t>采购需求</w:t>
      </w:r>
    </w:p>
    <w:p w14:paraId="239C1C23">
      <w:pPr>
        <w:keepNext/>
        <w:keepLines/>
        <w:adjustRightInd w:val="0"/>
        <w:snapToGrid w:val="0"/>
        <w:spacing w:before="156" w:beforeLines="50" w:line="360" w:lineRule="auto"/>
        <w:jc w:val="center"/>
        <w:outlineLvl w:val="1"/>
        <w:rPr>
          <w:rFonts w:hint="eastAsia" w:ascii="黑体" w:hAnsi="黑体" w:eastAsia="黑体"/>
          <w:b/>
          <w:bCs/>
          <w:color w:val="auto"/>
          <w:sz w:val="28"/>
          <w:szCs w:val="28"/>
        </w:rPr>
      </w:pPr>
      <w:bookmarkStart w:id="0" w:name="_Toc13513"/>
      <w:r>
        <w:rPr>
          <w:rFonts w:hint="eastAsia" w:ascii="黑体" w:hAnsi="黑体" w:eastAsia="黑体"/>
          <w:b/>
          <w:bCs/>
          <w:color w:val="auto"/>
          <w:sz w:val="28"/>
          <w:szCs w:val="28"/>
        </w:rPr>
        <w:t>第一节 采购清单一览表</w:t>
      </w:r>
      <w:bookmarkEnd w:id="0"/>
    </w:p>
    <w:p w14:paraId="2C047762">
      <w:pPr>
        <w:pStyle w:val="7"/>
        <w:ind w:left="0" w:leftChars="0" w:firstLine="0" w:firstLineChars="0"/>
      </w:pPr>
    </w:p>
    <w:tbl>
      <w:tblPr>
        <w:tblStyle w:val="5"/>
        <w:tblpPr w:leftFromText="180" w:rightFromText="180" w:vertAnchor="text" w:horzAnchor="page" w:tblpX="860" w:tblpY="-24"/>
        <w:tblOverlap w:val="never"/>
        <w:tblW w:w="1039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40"/>
        <w:gridCol w:w="4413"/>
        <w:gridCol w:w="3148"/>
        <w:gridCol w:w="1797"/>
      </w:tblGrid>
      <w:tr w14:paraId="776D60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69" w:hRule="atLeast"/>
        </w:trPr>
        <w:tc>
          <w:tcPr>
            <w:tcW w:w="1040" w:type="dxa"/>
            <w:noWrap w:val="0"/>
            <w:vAlign w:val="center"/>
          </w:tcPr>
          <w:p w14:paraId="164052C4">
            <w:pPr>
              <w:keepNext w:val="0"/>
              <w:keepLines w:val="0"/>
              <w:pageBreakBefore w:val="0"/>
              <w:widowControl w:val="0"/>
              <w:kinsoku/>
              <w:wordWrap/>
              <w:overflowPunct/>
              <w:topLinePunct w:val="0"/>
              <w:autoSpaceDE/>
              <w:autoSpaceDN/>
              <w:bidi w:val="0"/>
              <w:adjustRightInd w:val="0"/>
              <w:snapToGrid w:val="0"/>
              <w:jc w:val="center"/>
              <w:textAlignment w:val="auto"/>
              <w:rPr>
                <w:color w:val="auto"/>
                <w:szCs w:val="21"/>
              </w:rPr>
            </w:pPr>
            <w:bookmarkStart w:id="1" w:name="_Toc29485"/>
            <w:r>
              <w:rPr>
                <w:rFonts w:hint="eastAsia"/>
                <w:color w:val="auto"/>
                <w:szCs w:val="21"/>
              </w:rPr>
              <w:t>包名称</w:t>
            </w:r>
          </w:p>
        </w:tc>
        <w:tc>
          <w:tcPr>
            <w:tcW w:w="4413" w:type="dxa"/>
            <w:noWrap w:val="0"/>
            <w:vAlign w:val="center"/>
          </w:tcPr>
          <w:p w14:paraId="0D999467">
            <w:pPr>
              <w:keepNext w:val="0"/>
              <w:keepLines w:val="0"/>
              <w:pageBreakBefore w:val="0"/>
              <w:widowControl w:val="0"/>
              <w:kinsoku/>
              <w:wordWrap/>
              <w:overflowPunct/>
              <w:topLinePunct w:val="0"/>
              <w:autoSpaceDE/>
              <w:autoSpaceDN/>
              <w:bidi w:val="0"/>
              <w:adjustRightInd w:val="0"/>
              <w:snapToGrid w:val="0"/>
              <w:jc w:val="center"/>
              <w:textAlignment w:val="auto"/>
              <w:rPr>
                <w:color w:val="auto"/>
                <w:szCs w:val="21"/>
              </w:rPr>
            </w:pPr>
            <w:r>
              <w:rPr>
                <w:rFonts w:hint="eastAsia"/>
                <w:color w:val="auto"/>
                <w:szCs w:val="21"/>
              </w:rPr>
              <w:t>标的名称</w:t>
            </w:r>
          </w:p>
        </w:tc>
        <w:tc>
          <w:tcPr>
            <w:tcW w:w="3148" w:type="dxa"/>
            <w:tcBorders>
              <w:left w:val="single" w:color="auto" w:sz="4" w:space="0"/>
            </w:tcBorders>
            <w:noWrap w:val="0"/>
            <w:vAlign w:val="center"/>
          </w:tcPr>
          <w:p w14:paraId="4DE5DA7A">
            <w:pPr>
              <w:keepNext w:val="0"/>
              <w:keepLines w:val="0"/>
              <w:pageBreakBefore w:val="0"/>
              <w:widowControl w:val="0"/>
              <w:kinsoku/>
              <w:wordWrap/>
              <w:overflowPunct/>
              <w:topLinePunct w:val="0"/>
              <w:autoSpaceDE/>
              <w:autoSpaceDN/>
              <w:bidi w:val="0"/>
              <w:adjustRightInd w:val="0"/>
              <w:snapToGrid w:val="0"/>
              <w:jc w:val="center"/>
              <w:textAlignment w:val="auto"/>
              <w:rPr>
                <w:color w:val="auto"/>
                <w:szCs w:val="21"/>
              </w:rPr>
            </w:pPr>
            <w:r>
              <w:rPr>
                <w:rFonts w:hint="eastAsia"/>
                <w:color w:val="auto"/>
                <w:szCs w:val="21"/>
              </w:rPr>
              <w:t>简要技术要求</w:t>
            </w:r>
          </w:p>
        </w:tc>
        <w:tc>
          <w:tcPr>
            <w:tcW w:w="1797" w:type="dxa"/>
            <w:tcBorders>
              <w:left w:val="single" w:color="auto" w:sz="4" w:space="0"/>
            </w:tcBorders>
            <w:noWrap w:val="0"/>
            <w:vAlign w:val="center"/>
          </w:tcPr>
          <w:p w14:paraId="7A9BBC1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auto"/>
                <w:szCs w:val="21"/>
                <w:lang w:val="en-US" w:eastAsia="zh-CN"/>
              </w:rPr>
            </w:pPr>
            <w:r>
              <w:rPr>
                <w:rFonts w:hint="eastAsia"/>
                <w:color w:val="auto"/>
                <w:szCs w:val="21"/>
                <w:lang w:val="en-US" w:eastAsia="zh-CN"/>
              </w:rPr>
              <w:t>最高限价</w:t>
            </w:r>
          </w:p>
        </w:tc>
      </w:tr>
      <w:tr w14:paraId="375E05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57" w:hRule="atLeast"/>
        </w:trPr>
        <w:tc>
          <w:tcPr>
            <w:tcW w:w="1040" w:type="dxa"/>
            <w:noWrap w:val="0"/>
            <w:vAlign w:val="center"/>
          </w:tcPr>
          <w:p w14:paraId="3C08130A">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color w:val="auto"/>
                <w:szCs w:val="21"/>
              </w:rPr>
            </w:pPr>
            <w:r>
              <w:rPr>
                <w:rFonts w:hint="eastAsia" w:ascii="宋体" w:hAnsi="宋体" w:cs="宋体"/>
                <w:szCs w:val="21"/>
                <w:lang w:val="en-US" w:eastAsia="zh-CN"/>
              </w:rPr>
              <w:t>包1</w:t>
            </w:r>
          </w:p>
        </w:tc>
        <w:tc>
          <w:tcPr>
            <w:tcW w:w="4413" w:type="dxa"/>
            <w:noWrap w:val="0"/>
            <w:vAlign w:val="center"/>
          </w:tcPr>
          <w:p w14:paraId="1C050466">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eastAsia="宋体"/>
                <w:color w:val="auto"/>
                <w:szCs w:val="21"/>
                <w:lang w:eastAsia="zh-CN"/>
              </w:rPr>
            </w:pPr>
            <w:r>
              <w:rPr>
                <w:rFonts w:hint="eastAsia"/>
                <w:color w:val="auto"/>
                <w:szCs w:val="21"/>
                <w:lang w:eastAsia="zh-CN"/>
              </w:rPr>
              <w:t>岳阳县数据局物业服务项目（三年）</w:t>
            </w:r>
          </w:p>
        </w:tc>
        <w:tc>
          <w:tcPr>
            <w:tcW w:w="3148" w:type="dxa"/>
            <w:tcBorders>
              <w:left w:val="single" w:color="auto" w:sz="4" w:space="0"/>
            </w:tcBorders>
            <w:noWrap w:val="0"/>
            <w:vAlign w:val="center"/>
          </w:tcPr>
          <w:p w14:paraId="726901C6">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color w:val="auto"/>
                <w:szCs w:val="21"/>
                <w:lang w:val="en-US" w:eastAsia="zh-CN"/>
              </w:rPr>
            </w:pPr>
          </w:p>
          <w:p w14:paraId="2795AF5E">
            <w:pPr>
              <w:keepNext w:val="0"/>
              <w:keepLines w:val="0"/>
              <w:pageBreakBefore w:val="0"/>
              <w:widowControl w:val="0"/>
              <w:kinsoku/>
              <w:wordWrap/>
              <w:overflowPunct/>
              <w:topLinePunct w:val="0"/>
              <w:autoSpaceDE/>
              <w:autoSpaceDN/>
              <w:bidi w:val="0"/>
              <w:textAlignment w:val="auto"/>
              <w:rPr>
                <w:rFonts w:hint="eastAsia" w:ascii="Times New Roman" w:hAnsi="Times New Roman" w:eastAsia="宋体" w:cs="Times New Roman"/>
                <w:color w:val="auto"/>
                <w:szCs w:val="21"/>
                <w:lang w:val="en-US" w:eastAsia="zh-CN"/>
              </w:rPr>
            </w:pPr>
            <w:r>
              <w:rPr>
                <w:rFonts w:hint="eastAsia"/>
                <w:szCs w:val="21"/>
                <w:lang w:val="en-US" w:eastAsia="zh-CN"/>
              </w:rPr>
              <w:t>本项目的采购内容为岳阳县数据局物业服务：为岳阳县数据局提供安保、水电等维修维护、绿化管理、卫生保洁等物业服务。维护和保证物业的正常使用，提供物业区域的公共事务管理服务，即建筑及其设备、公共设施、绿化、环境卫生、交通、公共秩序等项目的日常维护、管理和服务。</w:t>
            </w:r>
          </w:p>
          <w:p w14:paraId="24F9585B">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both"/>
              <w:textAlignment w:val="auto"/>
              <w:rPr>
                <w:rFonts w:hint="eastAsia" w:ascii="Times New Roman" w:hAnsi="Times New Roman" w:eastAsia="宋体" w:cs="Times New Roman"/>
                <w:color w:val="auto"/>
                <w:szCs w:val="21"/>
                <w:lang w:val="en-US" w:eastAsia="zh-CN"/>
              </w:rPr>
            </w:pPr>
          </w:p>
        </w:tc>
        <w:tc>
          <w:tcPr>
            <w:tcW w:w="1797" w:type="dxa"/>
            <w:tcBorders>
              <w:left w:val="single" w:color="auto" w:sz="4" w:space="0"/>
            </w:tcBorders>
            <w:noWrap w:val="0"/>
            <w:vAlign w:val="center"/>
          </w:tcPr>
          <w:p w14:paraId="4C64C500">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default"/>
                <w:color w:val="auto"/>
                <w:szCs w:val="21"/>
                <w:lang w:val="en-US"/>
              </w:rPr>
            </w:pPr>
            <w:r>
              <w:rPr>
                <w:rFonts w:hint="eastAsia"/>
                <w:color w:val="auto"/>
                <w:szCs w:val="21"/>
                <w:lang w:val="en-US" w:eastAsia="zh-CN"/>
              </w:rPr>
              <w:t>1771800元</w:t>
            </w:r>
          </w:p>
        </w:tc>
      </w:tr>
    </w:tbl>
    <w:p w14:paraId="71FD5E51">
      <w:pPr>
        <w:adjustRightInd w:val="0"/>
        <w:snapToGrid w:val="0"/>
        <w:spacing w:before="156" w:beforeLines="50" w:line="360" w:lineRule="auto"/>
        <w:ind w:left="0" w:leftChars="0" w:firstLine="0" w:firstLineChars="0"/>
        <w:rPr>
          <w:rFonts w:ascii="宋体" w:hAnsi="宋体"/>
          <w:color w:val="auto"/>
          <w:szCs w:val="21"/>
        </w:rPr>
      </w:pPr>
      <w:r>
        <w:rPr>
          <w:rFonts w:hint="eastAsia" w:ascii="宋体" w:hAnsi="宋体"/>
          <w:color w:val="auto"/>
          <w:szCs w:val="21"/>
        </w:rPr>
        <w:t>注：1</w:t>
      </w:r>
      <w:r>
        <w:rPr>
          <w:rFonts w:hint="eastAsia" w:ascii="宋体" w:hAnsi="宋体"/>
          <w:color w:val="auto"/>
          <w:szCs w:val="21"/>
          <w:lang w:val="en-US" w:eastAsia="zh-CN"/>
        </w:rPr>
        <w:t>.</w:t>
      </w:r>
      <w:r>
        <w:rPr>
          <w:rFonts w:hint="eastAsia" w:ascii="宋体" w:hAnsi="宋体"/>
          <w:color w:val="auto"/>
          <w:szCs w:val="21"/>
        </w:rPr>
        <w:t>“包”为最小合同单位。每“包”内容应细化到具体的标的。</w:t>
      </w:r>
    </w:p>
    <w:p w14:paraId="0B69BC97">
      <w:pPr>
        <w:adjustRightInd w:val="0"/>
        <w:snapToGrid w:val="0"/>
        <w:spacing w:before="156" w:beforeLines="50" w:line="360" w:lineRule="auto"/>
        <w:ind w:left="0" w:leftChars="0" w:firstLine="420" w:firstLineChars="200"/>
        <w:rPr>
          <w:rFonts w:ascii="宋体" w:hAnsi="宋体" w:cs="宋体"/>
          <w:color w:val="auto"/>
          <w:kern w:val="0"/>
          <w:szCs w:val="21"/>
        </w:rPr>
      </w:pPr>
      <w:r>
        <w:rPr>
          <w:rFonts w:hint="eastAsia" w:ascii="宋体" w:hAnsi="宋体"/>
          <w:color w:val="auto"/>
          <w:szCs w:val="21"/>
        </w:rPr>
        <w:t>2</w:t>
      </w:r>
      <w:r>
        <w:rPr>
          <w:rFonts w:hint="eastAsia" w:ascii="宋体" w:hAnsi="宋体"/>
          <w:color w:val="auto"/>
          <w:szCs w:val="21"/>
          <w:lang w:val="en-US" w:eastAsia="zh-CN"/>
        </w:rPr>
        <w:t>.</w:t>
      </w:r>
      <w:r>
        <w:rPr>
          <w:rFonts w:hint="eastAsia" w:ascii="宋体" w:hAnsi="宋体"/>
          <w:color w:val="auto"/>
          <w:szCs w:val="21"/>
        </w:rPr>
        <w:t>货物的主要技术参数或规格：</w:t>
      </w:r>
      <w:r>
        <w:rPr>
          <w:rFonts w:ascii="宋体" w:hAnsi="宋体" w:cs="宋体"/>
          <w:color w:val="auto"/>
          <w:kern w:val="0"/>
          <w:szCs w:val="21"/>
        </w:rPr>
        <w:t>详见“技术要求”中的具体技术参数</w:t>
      </w:r>
      <w:r>
        <w:rPr>
          <w:rFonts w:hint="eastAsia" w:ascii="宋体" w:hAnsi="宋体" w:cs="宋体"/>
          <w:color w:val="auto"/>
          <w:kern w:val="0"/>
          <w:szCs w:val="21"/>
        </w:rPr>
        <w:t>。</w:t>
      </w:r>
    </w:p>
    <w:p w14:paraId="6E610176">
      <w:pPr>
        <w:adjustRightInd w:val="0"/>
        <w:snapToGrid w:val="0"/>
        <w:spacing w:before="156" w:beforeLines="50" w:line="360" w:lineRule="auto"/>
        <w:ind w:firstLine="420" w:firstLineChars="200"/>
        <w:rPr>
          <w:rFonts w:hint="eastAsia" w:ascii="宋体" w:hAnsi="宋体" w:cs="宋体"/>
          <w:color w:val="auto"/>
          <w:kern w:val="0"/>
          <w:szCs w:val="21"/>
        </w:rPr>
      </w:pPr>
      <w:r>
        <w:rPr>
          <w:rFonts w:hint="eastAsia" w:ascii="宋体" w:hAnsi="宋体" w:cs="宋体"/>
          <w:bCs/>
          <w:color w:val="auto"/>
          <w:kern w:val="0"/>
          <w:szCs w:val="21"/>
        </w:rPr>
        <w:t>3</w:t>
      </w:r>
      <w:r>
        <w:rPr>
          <w:rFonts w:hint="eastAsia" w:ascii="宋体" w:hAnsi="宋体" w:cs="宋体"/>
          <w:bCs/>
          <w:color w:val="auto"/>
          <w:kern w:val="0"/>
          <w:szCs w:val="21"/>
          <w:lang w:val="en-US" w:eastAsia="zh-CN"/>
        </w:rPr>
        <w:t>.</w:t>
      </w:r>
      <w:r>
        <w:rPr>
          <w:rFonts w:hint="eastAsia" w:ascii="宋体" w:hAnsi="宋体" w:cs="宋体"/>
          <w:bCs/>
          <w:color w:val="auto"/>
          <w:kern w:val="0"/>
          <w:szCs w:val="21"/>
        </w:rPr>
        <w:t>供应商应</w:t>
      </w:r>
      <w:r>
        <w:rPr>
          <w:rFonts w:hint="eastAsia" w:ascii="宋体" w:hAnsi="宋体" w:cs="宋体"/>
          <w:color w:val="auto"/>
          <w:kern w:val="0"/>
          <w:szCs w:val="21"/>
        </w:rPr>
        <w:t>在响应文件</w:t>
      </w:r>
      <w:r>
        <w:rPr>
          <w:rFonts w:hint="eastAsia" w:ascii="华文中宋" w:hAnsi="华文中宋" w:eastAsia="华文中宋" w:cs="宋体"/>
          <w:color w:val="auto"/>
          <w:kern w:val="0"/>
          <w:szCs w:val="21"/>
        </w:rPr>
        <w:t>“</w:t>
      </w:r>
      <w:r>
        <w:rPr>
          <w:rFonts w:hint="eastAsia" w:ascii="宋体" w:hAnsi="宋体" w:cs="宋体"/>
          <w:color w:val="auto"/>
          <w:kern w:val="0"/>
          <w:szCs w:val="21"/>
        </w:rPr>
        <w:t>分项报价明细表</w:t>
      </w:r>
      <w:r>
        <w:rPr>
          <w:rFonts w:hint="eastAsia" w:ascii="华文中宋" w:hAnsi="华文中宋" w:eastAsia="华文中宋" w:cs="宋体"/>
          <w:color w:val="auto"/>
          <w:kern w:val="0"/>
          <w:szCs w:val="21"/>
        </w:rPr>
        <w:t>”</w:t>
      </w:r>
      <w:r>
        <w:rPr>
          <w:rFonts w:hint="eastAsia" w:ascii="宋体" w:hAnsi="宋体" w:cs="宋体"/>
          <w:color w:val="auto"/>
          <w:kern w:val="0"/>
          <w:szCs w:val="21"/>
        </w:rPr>
        <w:t>中按</w:t>
      </w:r>
      <w:r>
        <w:rPr>
          <w:rFonts w:hint="eastAsia" w:ascii="宋体" w:hAnsi="宋体"/>
          <w:color w:val="auto"/>
          <w:szCs w:val="21"/>
        </w:rPr>
        <w:t>标的名称</w:t>
      </w:r>
      <w:r>
        <w:rPr>
          <w:rFonts w:hint="eastAsia" w:ascii="宋体" w:hAnsi="宋体" w:cs="宋体"/>
          <w:color w:val="auto"/>
          <w:kern w:val="0"/>
          <w:szCs w:val="21"/>
        </w:rPr>
        <w:t>顺序逐项填写，且每个标的均需按</w:t>
      </w:r>
      <w:r>
        <w:rPr>
          <w:rFonts w:hint="eastAsia" w:ascii="宋体" w:hAnsi="宋体" w:cs="宋体"/>
          <w:color w:val="auto"/>
          <w:kern w:val="0"/>
          <w:szCs w:val="21"/>
          <w:lang w:val="en-US" w:eastAsia="zh-CN"/>
        </w:rPr>
        <w:t>磋商</w:t>
      </w:r>
      <w:r>
        <w:rPr>
          <w:rFonts w:hint="eastAsia" w:ascii="宋体" w:hAnsi="宋体" w:cs="宋体"/>
          <w:color w:val="auto"/>
          <w:kern w:val="0"/>
          <w:szCs w:val="21"/>
        </w:rPr>
        <w:t>文件规定报价。如有缺项、漏项，其</w:t>
      </w:r>
      <w:r>
        <w:rPr>
          <w:rFonts w:hint="eastAsia" w:ascii="宋体" w:hAnsi="宋体" w:cs="宋体"/>
          <w:b/>
          <w:color w:val="auto"/>
          <w:kern w:val="0"/>
          <w:szCs w:val="21"/>
        </w:rPr>
        <w:t>响应无效</w:t>
      </w:r>
      <w:r>
        <w:rPr>
          <w:rFonts w:hint="eastAsia" w:ascii="宋体" w:hAnsi="宋体" w:cs="宋体"/>
          <w:color w:val="auto"/>
          <w:kern w:val="0"/>
          <w:szCs w:val="21"/>
        </w:rPr>
        <w:t>。</w:t>
      </w:r>
      <w:bookmarkEnd w:id="1"/>
    </w:p>
    <w:p w14:paraId="344E3C03">
      <w:pPr>
        <w:adjustRightInd w:val="0"/>
        <w:snapToGrid w:val="0"/>
        <w:spacing w:before="156" w:beforeLines="50" w:line="360" w:lineRule="auto"/>
        <w:ind w:firstLine="420" w:firstLineChars="200"/>
        <w:rPr>
          <w:rFonts w:hint="eastAsia" w:ascii="宋体" w:hAnsi="宋体" w:eastAsia="宋体" w:cs="宋体"/>
          <w:bCs/>
          <w:color w:val="auto"/>
          <w:kern w:val="0"/>
          <w:szCs w:val="21"/>
          <w:lang w:eastAsia="zh-CN"/>
        </w:rPr>
      </w:pPr>
      <w:r>
        <w:rPr>
          <w:rFonts w:hint="eastAsia" w:ascii="宋体" w:hAnsi="宋体" w:eastAsia="宋体" w:cs="宋体"/>
          <w:bCs/>
          <w:color w:val="auto"/>
          <w:kern w:val="0"/>
          <w:szCs w:val="21"/>
          <w:lang w:val="en-US" w:eastAsia="zh-CN"/>
        </w:rPr>
        <w:t>4.</w:t>
      </w:r>
      <w:r>
        <w:rPr>
          <w:rFonts w:hint="eastAsia" w:ascii="宋体" w:hAnsi="宋体" w:eastAsia="宋体" w:cs="宋体"/>
          <w:bCs/>
          <w:color w:val="auto"/>
          <w:kern w:val="0"/>
          <w:szCs w:val="21"/>
        </w:rPr>
        <w:t>本项目采购费用包含各岗位人员工资、福利费、社保费用、员工意外保险、法定假日加班费及其它费用［含保洁、保安物料费、化粪池清理费、农药、肥料、防寒费、服装费（夏、秋冬）、绿化、清洁用水费）］、办公费（通信费、固定资产折旧、办公费）、利润、税金</w:t>
      </w:r>
      <w:r>
        <w:rPr>
          <w:rFonts w:hint="eastAsia" w:ascii="宋体" w:hAnsi="宋体" w:eastAsia="宋体" w:cs="宋体"/>
          <w:bCs/>
          <w:color w:val="auto"/>
          <w:kern w:val="0"/>
          <w:szCs w:val="21"/>
          <w:lang w:eastAsia="zh-CN"/>
        </w:rPr>
        <w:t>。</w:t>
      </w:r>
    </w:p>
    <w:p w14:paraId="7BDC1823">
      <w:pPr>
        <w:keepNext w:val="0"/>
        <w:keepLines w:val="0"/>
        <w:pageBreakBefore w:val="0"/>
        <w:widowControl w:val="0"/>
        <w:kinsoku/>
        <w:wordWrap w:val="0"/>
        <w:overflowPunct/>
        <w:topLinePunct w:val="0"/>
        <w:autoSpaceDE w:val="0"/>
        <w:autoSpaceDN w:val="0"/>
        <w:bidi w:val="0"/>
        <w:adjustRightInd/>
        <w:snapToGrid/>
        <w:spacing w:before="0" w:after="0" w:line="480" w:lineRule="auto"/>
        <w:ind w:right="0" w:firstLine="0"/>
        <w:jc w:val="center"/>
        <w:textAlignment w:val="auto"/>
        <w:rPr>
          <w:rFonts w:hint="eastAsia" w:ascii="黑体" w:hAnsi="黑体" w:eastAsia="黑体" w:cs="Times New Roman"/>
          <w:b/>
          <w:bCs/>
          <w:color w:val="auto"/>
          <w:sz w:val="28"/>
          <w:szCs w:val="28"/>
          <w:highlight w:val="none"/>
          <w:lang w:val="en-US" w:eastAsia="zh-CN"/>
        </w:rPr>
      </w:pPr>
      <w:r>
        <w:rPr>
          <w:rFonts w:hint="eastAsia" w:ascii="宋体" w:hAnsi="宋体" w:eastAsia="宋体" w:cs="宋体"/>
          <w:bCs/>
          <w:color w:val="auto"/>
          <w:kern w:val="0"/>
          <w:szCs w:val="21"/>
          <w:lang w:eastAsia="zh-CN"/>
        </w:rPr>
        <w:br w:type="page"/>
      </w:r>
      <w:r>
        <w:rPr>
          <w:rFonts w:hint="eastAsia" w:ascii="黑体" w:hAnsi="黑体" w:eastAsia="黑体" w:cs="Times New Roman"/>
          <w:b/>
          <w:bCs/>
          <w:color w:val="auto"/>
          <w:sz w:val="28"/>
          <w:szCs w:val="28"/>
          <w:highlight w:val="none"/>
          <w:lang w:val="en-US" w:eastAsia="zh-CN"/>
        </w:rPr>
        <w:t>第二节 商务技术要求</w:t>
      </w:r>
    </w:p>
    <w:p w14:paraId="73D4AC54">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2" w:firstLineChars="200"/>
        <w:jc w:val="both"/>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一、采购标的需实现的功能或者目标</w:t>
      </w:r>
    </w:p>
    <w:p w14:paraId="1D0DE002">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项目的采购内容为岳阳县数据局物业服务：为岳阳县数据局提供安保、水电等维修维护、绿化管理、卫生保洁等物业服务。维护和保证物业的正常使用，提供物业区域的公共事务管理服务，即建筑及其设备、公共设施、绿化、环境卫生、交通、公共秩序等项目的日常维护、管理和服务。</w:t>
      </w:r>
    </w:p>
    <w:p w14:paraId="3EFB5A79">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2" w:firstLineChars="200"/>
        <w:jc w:val="both"/>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二、采购标的需执行的国家相关标准、行业标准、地方标准或者其他标准、规范</w:t>
      </w:r>
    </w:p>
    <w:p w14:paraId="3E3C2E92">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color w:val="000000"/>
          <w:sz w:val="21"/>
          <w:szCs w:val="21"/>
        </w:rPr>
      </w:pPr>
      <w:r>
        <w:rPr>
          <w:rFonts w:hint="eastAsia" w:ascii="宋体" w:hAnsi="宋体" w:cs="宋体"/>
          <w:color w:val="000000"/>
          <w:sz w:val="21"/>
          <w:szCs w:val="21"/>
          <w:lang w:val="en-US" w:eastAsia="zh-CN"/>
        </w:rPr>
        <w:t>1、</w:t>
      </w:r>
      <w:r>
        <w:rPr>
          <w:rFonts w:hint="eastAsia" w:ascii="宋体" w:hAnsi="宋体" w:eastAsia="宋体" w:cs="宋体"/>
          <w:color w:val="000000"/>
          <w:sz w:val="21"/>
          <w:szCs w:val="21"/>
        </w:rPr>
        <w:t>《中华人民共和国民法典》、《保安服务管理条例》、《物业管理条例》（中华人民共和国国务院令第379号）及相关国家标准、行业标准等。</w:t>
      </w:r>
    </w:p>
    <w:p w14:paraId="2E618075">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color w:val="000000"/>
          <w:sz w:val="21"/>
          <w:szCs w:val="21"/>
        </w:rPr>
      </w:pPr>
      <w:r>
        <w:rPr>
          <w:rFonts w:hint="eastAsia" w:ascii="宋体" w:hAnsi="宋体" w:cs="宋体"/>
          <w:color w:val="000000"/>
          <w:sz w:val="21"/>
          <w:szCs w:val="21"/>
          <w:lang w:val="en-US" w:eastAsia="zh-CN"/>
        </w:rPr>
        <w:t>2、</w:t>
      </w:r>
      <w:r>
        <w:rPr>
          <w:rFonts w:hint="eastAsia" w:ascii="宋体" w:hAnsi="宋体" w:eastAsia="宋体" w:cs="宋体"/>
          <w:color w:val="000000"/>
          <w:sz w:val="21"/>
          <w:szCs w:val="21"/>
        </w:rPr>
        <w:t>供应商提供的所有服务都应符合已颁布的现行中华人民共和国认可的国家标准、地方标准和行业标准。如果这些标准内容有矛盾时，应按最高标准的条款执行。</w:t>
      </w:r>
    </w:p>
    <w:p w14:paraId="6386DA3B">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2" w:firstLineChars="200"/>
        <w:jc w:val="both"/>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三、采购标的需满足的质量、安全、技术规格、物理特性等要求：</w:t>
      </w:r>
    </w:p>
    <w:p w14:paraId="42C8C341">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3.1本项目服务内容和要求：</w:t>
      </w:r>
    </w:p>
    <w:p w14:paraId="3B3C0FCA">
      <w:pPr>
        <w:keepNext w:val="0"/>
        <w:keepLines w:val="0"/>
        <w:pageBreakBefore w:val="0"/>
        <w:widowControl w:val="0"/>
        <w:kinsoku/>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3.1.1综合服务</w:t>
      </w:r>
    </w:p>
    <w:p w14:paraId="7D5FEA4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（1）物业服务中心。机关院内设置物业服务中心，配置物业服务所需的办公设备，办公场所整洁有序。</w:t>
      </w:r>
    </w:p>
    <w:p w14:paraId="7082702B">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color w:val="000000"/>
          <w:sz w:val="21"/>
          <w:szCs w:val="21"/>
        </w:rPr>
        <w:t>（2）管理人员要求</w:t>
      </w:r>
    </w:p>
    <w:p w14:paraId="2A0DEDA2">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服务时间</w:t>
      </w:r>
      <w:r>
        <w:rPr>
          <w:rFonts w:hint="eastAsia" w:ascii="宋体" w:hAnsi="宋体" w:cs="宋体"/>
          <w:color w:val="000000"/>
          <w:sz w:val="21"/>
          <w:szCs w:val="21"/>
          <w:lang w:eastAsia="zh-CN"/>
        </w:rPr>
        <w:t>：</w:t>
      </w:r>
      <w:r>
        <w:rPr>
          <w:rFonts w:hint="eastAsia" w:ascii="宋体" w:hAnsi="宋体" w:eastAsia="宋体" w:cs="宋体"/>
          <w:color w:val="000000"/>
          <w:sz w:val="21"/>
          <w:szCs w:val="21"/>
        </w:rPr>
        <w:t>工作日8:00-18:00在物业服务中心进行业务接待，并提供物业服务；节假日安排管理人员值班，负责接待及提供相关服务。</w:t>
      </w:r>
    </w:p>
    <w:p w14:paraId="17DE6B5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（3）日常管理与服务。</w:t>
      </w:r>
    </w:p>
    <w:p w14:paraId="031F53F4">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①服务规范应符合物业服务行业规范要求（供应商内部制度）。</w:t>
      </w:r>
    </w:p>
    <w:p w14:paraId="1C8F4D0D">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②制定物业服务工作计划，并组织实施。</w:t>
      </w:r>
    </w:p>
    <w:p w14:paraId="575127B7">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③制定服务中心内部管理制度和考核制度。</w:t>
      </w:r>
    </w:p>
    <w:p w14:paraId="5C248BFC">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④对违反岳阳县数据局有关规定的行为进行劝阻、制止或报有关部门处理。</w:t>
      </w:r>
    </w:p>
    <w:p w14:paraId="7230D348">
      <w:pPr>
        <w:keepNext w:val="0"/>
        <w:keepLines w:val="0"/>
        <w:pageBreakBefore w:val="0"/>
        <w:widowControl w:val="0"/>
        <w:kinsoku/>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3.1.2安保服务</w:t>
      </w:r>
    </w:p>
    <w:p w14:paraId="50DCF463">
      <w:pPr>
        <w:keepNext w:val="0"/>
        <w:keepLines w:val="0"/>
        <w:pageBreakBefore w:val="0"/>
        <w:widowControl w:val="0"/>
        <w:kinsoku/>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3.1.2.1人员要求。</w:t>
      </w:r>
    </w:p>
    <w:p w14:paraId="2AA39824">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1）专职保安人员以中青年为主，50周岁以下的人员占总人数的60％以上，所有岗位人员的个人年龄不得超过60周岁（不含本数），无违法犯罪记录，身体健康，无传染性疾病或重大疾病，工作认真负责，定期接受培训。</w:t>
      </w:r>
    </w:p>
    <w:p w14:paraId="6E13CB5E">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（2）有较强的安全防范能力，能正确使用各类消防、物防、技防器械和设备，熟悉、掌握各类刑事、治安案件和各类灾害事故的应急预案，每年开展不少于1次应急预案演习。</w:t>
      </w:r>
    </w:p>
    <w:p w14:paraId="7B13218E">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（3）上岗时佩带统一标志，穿戴统一制服，仪容仪表规范整洁，站岗时不倚不靠，配备对讲装置和必要的安全护卫器械。</w:t>
      </w:r>
    </w:p>
    <w:p w14:paraId="29805875">
      <w:pPr>
        <w:keepNext w:val="0"/>
        <w:keepLines w:val="0"/>
        <w:pageBreakBefore w:val="0"/>
        <w:widowControl w:val="0"/>
        <w:kinsoku/>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3.1.2.2岗位职责。</w:t>
      </w:r>
    </w:p>
    <w:p w14:paraId="46FDAC8C">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（1）门岗保安职责</w:t>
      </w:r>
    </w:p>
    <w:p w14:paraId="5D313DE7">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①传达室24小时值班看守，有详细的交接班记录和外来人员、外来车辆登记记录。</w:t>
      </w:r>
    </w:p>
    <w:p w14:paraId="5390CE5F">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②负责外来人员和外来车辆的检查，按规定进行登记。严禁装易燃、易爆及危险品的车辆进入机关院内，劝阻超高、超长、超重车辆进入机关院内，对可疑情况提高警惕，及时报告，确保安全。</w:t>
      </w:r>
    </w:p>
    <w:p w14:paraId="32ABBC10">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③对进出机关院内的车辆进行管理和疏导，保持出入口环境整洁，道路畅通、有序。</w:t>
      </w:r>
    </w:p>
    <w:p w14:paraId="4007A008">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④对搬出办公楼、机关院内的贵重物品、大型物件进行检查，经与相关人员确认后放行，并按规定进行登记。</w:t>
      </w:r>
    </w:p>
    <w:p w14:paraId="0C4226DE">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⑤完成上级交办的其它工作。</w:t>
      </w:r>
    </w:p>
    <w:p w14:paraId="663DF4D5">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（2）巡逻岗保安职责</w:t>
      </w:r>
    </w:p>
    <w:p w14:paraId="7E195AF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①负责按规定巡逻路线和规定时间巡查所辖物业，留意治安、消防、公共设备设施和清洁绿化情况，发现问题，及时通知物业服务中心，并作好记录。</w:t>
      </w:r>
    </w:p>
    <w:p w14:paraId="5750B31D">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②负责查询可疑人员，及时将推销及闲杂人员劝离机关院内。</w:t>
      </w:r>
    </w:p>
    <w:p w14:paraId="063C405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③负责顶替需要短时离开岗位的保安员。</w:t>
      </w:r>
    </w:p>
    <w:p w14:paraId="261D01C2">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④完成上级交办的其它工作。</w:t>
      </w:r>
    </w:p>
    <w:p w14:paraId="136921C9">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（3）停车场保安职责</w:t>
      </w:r>
    </w:p>
    <w:p w14:paraId="41647395">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①维护停车场的治安交通秩序，疏导车场的流量，保证交通畅顺，指挥车辆按规定的线路行驶，有序停放在指定的区域。</w:t>
      </w:r>
    </w:p>
    <w:p w14:paraId="5C2B2EC2">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②停车场内出现治安纠纷或交通事故要及时报告、疏导和处理。</w:t>
      </w:r>
    </w:p>
    <w:p w14:paraId="7CE97D54">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③按规定巡查停车场车辆、消防设施及卫生情况，发现问题及时处理并向上报物业服务中心报告，认真、如实作好值班记录。</w:t>
      </w:r>
    </w:p>
    <w:p w14:paraId="21EC012F">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④完成上级交办的其它工作。</w:t>
      </w:r>
      <w:r>
        <w:rPr>
          <w:rFonts w:hint="eastAsia" w:ascii="宋体" w:hAnsi="宋体" w:eastAsia="宋体" w:cs="宋体"/>
          <w:sz w:val="21"/>
          <w:szCs w:val="21"/>
        </w:rPr>
        <mc:AlternateContent>
          <mc:Choice Requires="wps">
            <w:drawing>
              <wp:anchor distT="0" distB="0" distL="114300" distR="114300" simplePos="0" relativeHeight="251659264" behindDoc="0" locked="0" layoutInCell="1" allowOverlap="1">
                <wp:simplePos x="0" y="0"/>
                <wp:positionH relativeFrom="page">
                  <wp:posOffset>4127500</wp:posOffset>
                </wp:positionH>
                <wp:positionV relativeFrom="page">
                  <wp:posOffset>0</wp:posOffset>
                </wp:positionV>
                <wp:extent cx="1257300" cy="101600"/>
                <wp:effectExtent l="0" t="0" r="0" b="0"/>
                <wp:wrapNone/>
                <wp:docPr id="8" name="文本框 8"/>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a:effectLst/>
                      </wps:spPr>
                      <wps:txbx>
                        <w:txbxContent>
                          <w:p w14:paraId="46434E1B">
                            <w:pPr>
                              <w:autoSpaceDE w:val="0"/>
                              <w:autoSpaceDN w:val="0"/>
                              <w:spacing w:before="0" w:after="0" w:line="120" w:lineRule="exact"/>
                              <w:ind w:firstLine="0"/>
                              <w:jc w:val="both"/>
                              <w:rPr>
                                <w:sz w:val="12"/>
                              </w:rPr>
                            </w:pPr>
                            <w:r>
                              <w:rPr>
                                <w:rFonts w:hint="eastAsia" w:ascii="Calibri" w:hAnsi="Calibri" w:eastAsia="Calibri"/>
                                <w:color w:val="000000"/>
                                <w:sz w:val="12"/>
                              </w:rPr>
                              <w:t>.,</w:t>
                            </w:r>
                          </w:p>
                        </w:txbxContent>
                      </wps:txbx>
                      <wps:bodyPr wrap="square" lIns="25400" tIns="0" rIns="25400" bIns="0">
                        <a:noAutofit/>
                      </wps:bodyPr>
                    </wps:wsp>
                  </a:graphicData>
                </a:graphic>
              </wp:anchor>
            </w:drawing>
          </mc:Choice>
          <mc:Fallback>
            <w:pict>
              <v:shape id="_x0000_s1026" o:spid="_x0000_s1026" o:spt="202" type="#_x0000_t202" style="position:absolute;left:0pt;margin-left:325pt;margin-top:0pt;height:8pt;width:99pt;mso-position-horizontal-relative:page;mso-position-vertical-relative:page;z-index:251659264;mso-width-relative:page;mso-height-relative:page;" filled="f" stroked="f" coordsize="21600,21600" o:gfxdata="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tHfvPX&#10;AAAABwEAAA8AAAAAAAAAAQAgAAAAIgAAAGRycy9kb3ducmV2LnhtbFBLAQIUABQAAAAIAIdO4kAp&#10;00ch6AEAALoDAAAOAAAAAAAAAAEAIAAAACYBAABkcnMvZTJvRG9jLnhtbFBLBQYAAAAABgAGAFkB&#10;AACABQAAAAA=&#10;">
                <v:path/>
                <v:fill on="f" focussize="0,0"/>
                <v:stroke on="f" weight="0.5pt"/>
                <v:imagedata o:title=""/>
                <o:lock v:ext="edit" aspectratio="f"/>
                <v:textbox inset="2pt,0mm,2pt,0mm">
                  <w:txbxContent>
                    <w:p w14:paraId="46434E1B">
                      <w:pPr>
                        <w:autoSpaceDE w:val="0"/>
                        <w:autoSpaceDN w:val="0"/>
                        <w:spacing w:before="0" w:after="0" w:line="120" w:lineRule="exact"/>
                        <w:ind w:firstLine="0"/>
                        <w:jc w:val="both"/>
                        <w:rPr>
                          <w:sz w:val="12"/>
                        </w:rPr>
                      </w:pPr>
                      <w:r>
                        <w:rPr>
                          <w:rFonts w:hint="eastAsia" w:ascii="Calibri" w:hAnsi="Calibri" w:eastAsia="Calibri"/>
                          <w:color w:val="000000"/>
                          <w:sz w:val="12"/>
                        </w:rPr>
                        <w:t>.,</w:t>
                      </w:r>
                    </w:p>
                  </w:txbxContent>
                </v:textbox>
              </v:shape>
            </w:pict>
          </mc:Fallback>
        </mc:AlternateContent>
      </w:r>
    </w:p>
    <w:p w14:paraId="7352EE8A">
      <w:pPr>
        <w:keepNext w:val="0"/>
        <w:keepLines w:val="0"/>
        <w:pageBreakBefore w:val="0"/>
        <w:widowControl w:val="0"/>
        <w:kinsoku/>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3.1.3保洁服务</w:t>
      </w:r>
    </w:p>
    <w:p w14:paraId="63AC28BC">
      <w:pPr>
        <w:keepNext w:val="0"/>
        <w:keepLines w:val="0"/>
        <w:pageBreakBefore w:val="0"/>
        <w:widowControl w:val="0"/>
        <w:kinsoku/>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3.1.3.1保洁内容及要求。</w:t>
      </w:r>
    </w:p>
    <w:p w14:paraId="06A3E16A">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（1）保洁员需完成数据局院落公共区域道路、花带、凉亭休闲区保洁及院落所有垃圾桶清理，中心主楼、辅楼6个男厕所卫生保洁；</w:t>
      </w:r>
    </w:p>
    <w:p w14:paraId="4D62EB3A">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（2）完成院内所有绿化，包括花、草、树木的打药、施肥、防寒防冻、花草修枝、造型、野草清除、浇水等培育养护管理；</w:t>
      </w:r>
    </w:p>
    <w:p w14:paraId="7AFFC9B0">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（3）完成夏季院内及厅内的灭蚊、防蚊消杀工作。</w:t>
      </w:r>
    </w:p>
    <w:p w14:paraId="2CBAC699">
      <w:pPr>
        <w:keepNext w:val="0"/>
        <w:keepLines w:val="0"/>
        <w:pageBreakBefore w:val="0"/>
        <w:widowControl w:val="0"/>
        <w:kinsoku/>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3.1.4绿化维护</w:t>
      </w:r>
    </w:p>
    <w:p w14:paraId="10F4FC6C">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乔、灌、地被、草配植科学，层次丰富、季相分明。绿地保活率100%，乔、灌、草等保活率98％以上。乔灌木生长健壮，树冠完整，形态优美；花灌木按时开花结果；球、篱、地被生长茂盛，无缺枝、空挡。</w:t>
      </w:r>
    </w:p>
    <w:p w14:paraId="4C5DD6E7">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1）修剪。及时清除枯萎的花蒂、黄叶、杂草垃圾，乔、灌木修剪每年三遍以上，无枯枝、萌蘖枝；篱、球、造型植物按生长情况，造型要求及时修剪，做到枝叶茂密、圆整、无脱节；地被、攀援植物修剪、整理及时，每年三次以上，基本无枯枝。</w:t>
      </w:r>
    </w:p>
    <w:p w14:paraId="745929C5">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（2）中耕除草、松土。常年土壤疏松通透，无杂草。</w:t>
      </w:r>
    </w:p>
    <w:p w14:paraId="6B72FBFA">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（3）施肥。按植物品种、生长、土壤状况适时适量施肥。每年普施基肥不少于一遍，花灌木增追施复合肥二遍，满足植物生长需要。</w:t>
      </w:r>
    </w:p>
    <w:p w14:paraId="52DC83E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（4）灌、排水。保持有效供水，无积水。</w:t>
      </w:r>
    </w:p>
    <w:p w14:paraId="0C104B4C">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（5）扶正、加固、补种。树木基本无倾斜；缺枝倒伏及时补种。</w:t>
      </w:r>
    </w:p>
    <w:p w14:paraId="4EF1D784">
      <w:pPr>
        <w:keepNext w:val="0"/>
        <w:keepLines w:val="0"/>
        <w:pageBreakBefore w:val="0"/>
        <w:widowControl w:val="0"/>
        <w:kinsoku/>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3.1.5水电维修维护</w:t>
      </w:r>
    </w:p>
    <w:p w14:paraId="06FCB427">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（1）保证服务区域供配电设备、设施处于正常工作状态。随时更换和修复办公大楼损坏的灯泡、灯具、开关等电器设备，保持各种电气设施和元件的完好；</w:t>
      </w:r>
    </w:p>
    <w:p w14:paraId="6FE0D49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（2）完成对泵房、管道、电机、水表、阀门、消防栓进行维护，发现问题及时排除隐患；做好上下水管的维保、水管设施漏水的止水和修补，办公楼水龙头、便器具、管道的检修和更换等；</w:t>
      </w:r>
    </w:p>
    <w:p w14:paraId="3E717DCF">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（3）完成甲方安排的其它维修任务。</w:t>
      </w:r>
    </w:p>
    <w:p w14:paraId="1C74331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2" w:firstLineChars="200"/>
        <w:jc w:val="both"/>
        <w:textAlignment w:val="auto"/>
        <w:rPr>
          <w:rFonts w:hint="eastAsia" w:ascii="宋体" w:hAnsi="宋体" w:eastAsia="宋体" w:cs="宋体"/>
          <w:b/>
          <w:bCs/>
          <w:sz w:val="21"/>
          <w:szCs w:val="21"/>
        </w:rPr>
      </w:pPr>
      <w:r>
        <w:rPr>
          <w:rFonts w:hint="eastAsia" w:ascii="宋体" w:hAnsi="宋体" w:cs="宋体"/>
          <w:b/>
          <w:bCs/>
          <w:color w:val="000000"/>
          <w:sz w:val="21"/>
          <w:szCs w:val="21"/>
          <w:lang w:val="en-US" w:eastAsia="zh-CN"/>
        </w:rPr>
        <w:t>四、</w:t>
      </w:r>
      <w:r>
        <w:rPr>
          <w:rFonts w:hint="eastAsia" w:ascii="宋体" w:hAnsi="宋体" w:eastAsia="宋体" w:cs="宋体"/>
          <w:b/>
          <w:bCs/>
          <w:color w:val="000000"/>
          <w:sz w:val="21"/>
          <w:szCs w:val="21"/>
        </w:rPr>
        <w:t>采购标的的数量（服务承包范围）、采购项目交付或者实施的时间和地点</w:t>
      </w:r>
    </w:p>
    <w:p w14:paraId="269E8DD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4.1本项目的服务承包范围：针对岳阳县数据局提供物业服务，地点：岳阳县荣家湾镇长丰路1号。</w:t>
      </w:r>
    </w:p>
    <w:p w14:paraId="7E491B12">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4.2本项目各岗位人员配备要求：</w:t>
      </w:r>
    </w:p>
    <w:tbl>
      <w:tblPr>
        <w:tblStyle w:val="5"/>
        <w:tblW w:w="0" w:type="auto"/>
        <w:tblInd w:w="1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1795"/>
        <w:gridCol w:w="1631"/>
        <w:gridCol w:w="2117"/>
        <w:gridCol w:w="2653"/>
      </w:tblGrid>
      <w:tr w14:paraId="4E9B3C2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40" w:hRule="atLeast"/>
        </w:trPr>
        <w:tc>
          <w:tcPr>
            <w:tcW w:w="2018" w:type="dxa"/>
            <w:tcBorders>
              <w:top w:val="single" w:color="000000" w:sz="4" w:space="0"/>
              <w:left w:val="single" w:color="000000" w:sz="4" w:space="0"/>
              <w:bottom w:val="single" w:color="000000" w:sz="4" w:space="0"/>
              <w:right w:val="single" w:color="000000" w:sz="4" w:space="0"/>
            </w:tcBorders>
            <w:noWrap w:val="0"/>
            <w:vAlign w:val="center"/>
          </w:tcPr>
          <w:p w14:paraId="2243FFC4">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职务</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70B2F00A">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人数</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14:paraId="53DDB6EB">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岗位安排</w:t>
            </w:r>
          </w:p>
        </w:tc>
        <w:tc>
          <w:tcPr>
            <w:tcW w:w="2937" w:type="dxa"/>
            <w:tcBorders>
              <w:top w:val="single" w:color="000000" w:sz="4" w:space="0"/>
              <w:left w:val="single" w:color="000000" w:sz="4" w:space="0"/>
              <w:bottom w:val="single" w:color="000000" w:sz="4" w:space="0"/>
              <w:right w:val="single" w:color="000000" w:sz="4" w:space="0"/>
            </w:tcBorders>
            <w:noWrap w:val="0"/>
            <w:vAlign w:val="center"/>
          </w:tcPr>
          <w:p w14:paraId="0CE12140">
            <w:pPr>
              <w:keepNext w:val="0"/>
              <w:keepLines w:val="0"/>
              <w:pageBreakBefore w:val="0"/>
              <w:widowControl w:val="0"/>
              <w:kinsoku/>
              <w:wordWrap w:val="0"/>
              <w:overflowPunct/>
              <w:topLinePunct w:val="0"/>
              <w:autoSpaceDE w:val="0"/>
              <w:autoSpaceDN w:val="0"/>
              <w:bidi w:val="0"/>
              <w:adjustRightInd/>
              <w:snapToGrid/>
              <w:spacing w:after="0" w:line="240" w:lineRule="auto"/>
              <w:ind w:left="105" w:leftChars="50" w:right="105" w:rightChars="5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备注</w:t>
            </w:r>
          </w:p>
        </w:tc>
      </w:tr>
      <w:tr w14:paraId="5B55585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0" w:hRule="atLeast"/>
        </w:trPr>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2F8BEC6">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项目经理</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2AEBC292">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1人</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14:paraId="6CAF4CBC">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行政班</w:t>
            </w:r>
          </w:p>
        </w:tc>
        <w:tc>
          <w:tcPr>
            <w:tcW w:w="2937" w:type="dxa"/>
            <w:tcBorders>
              <w:top w:val="single" w:color="000000" w:sz="4" w:space="0"/>
              <w:left w:val="single" w:color="000000" w:sz="4" w:space="0"/>
              <w:bottom w:val="single" w:color="000000" w:sz="4" w:space="0"/>
              <w:right w:val="single" w:color="000000" w:sz="4" w:space="0"/>
            </w:tcBorders>
            <w:noWrap w:val="0"/>
            <w:vAlign w:val="center"/>
          </w:tcPr>
          <w:p w14:paraId="756F24C1">
            <w:pPr>
              <w:keepNext w:val="0"/>
              <w:keepLines w:val="0"/>
              <w:pageBreakBefore w:val="0"/>
              <w:widowControl w:val="0"/>
              <w:kinsoku/>
              <w:wordWrap w:val="0"/>
              <w:overflowPunct/>
              <w:topLinePunct w:val="0"/>
              <w:autoSpaceDE w:val="0"/>
              <w:autoSpaceDN w:val="0"/>
              <w:bidi w:val="0"/>
              <w:adjustRightInd/>
              <w:snapToGrid/>
              <w:spacing w:after="0" w:line="240" w:lineRule="auto"/>
              <w:ind w:left="105" w:leftChars="50" w:right="105" w:rightChars="5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二级保安</w:t>
            </w:r>
          </w:p>
        </w:tc>
      </w:tr>
      <w:tr w14:paraId="6E7F8E8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835" w:hRule="atLeast"/>
        </w:trPr>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8683B9E">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水电维修维护</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59C8649">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1人</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14:paraId="6107EA94">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行政班</w:t>
            </w:r>
          </w:p>
        </w:tc>
        <w:tc>
          <w:tcPr>
            <w:tcW w:w="2937" w:type="dxa"/>
            <w:tcBorders>
              <w:top w:val="single" w:color="000000" w:sz="4" w:space="0"/>
              <w:left w:val="single" w:color="000000" w:sz="4" w:space="0"/>
              <w:bottom w:val="single" w:color="000000" w:sz="4" w:space="0"/>
              <w:right w:val="single" w:color="000000" w:sz="4" w:space="0"/>
            </w:tcBorders>
            <w:noWrap w:val="0"/>
            <w:vAlign w:val="center"/>
          </w:tcPr>
          <w:p w14:paraId="364E512B">
            <w:pPr>
              <w:keepNext w:val="0"/>
              <w:keepLines w:val="0"/>
              <w:pageBreakBefore w:val="0"/>
              <w:widowControl w:val="0"/>
              <w:kinsoku/>
              <w:wordWrap w:val="0"/>
              <w:overflowPunct/>
              <w:topLinePunct w:val="0"/>
              <w:autoSpaceDE w:val="0"/>
              <w:autoSpaceDN w:val="0"/>
              <w:bidi w:val="0"/>
              <w:adjustRightInd/>
              <w:snapToGrid/>
              <w:spacing w:after="0" w:line="240" w:lineRule="auto"/>
              <w:ind w:left="105" w:leftChars="50" w:right="105" w:rightChars="5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负责采购单位绿化维护、防治工作</w:t>
            </w:r>
          </w:p>
        </w:tc>
      </w:tr>
      <w:tr w14:paraId="1C31276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95" w:hRule="atLeast"/>
        </w:trPr>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CEF2347">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保洁员</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416F707C">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3人</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14:paraId="4330AEFE">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院落2人、中庭1人</w:t>
            </w:r>
          </w:p>
        </w:tc>
        <w:tc>
          <w:tcPr>
            <w:tcW w:w="2937" w:type="dxa"/>
            <w:tcBorders>
              <w:top w:val="single" w:color="000000" w:sz="4" w:space="0"/>
              <w:left w:val="single" w:color="000000" w:sz="4" w:space="0"/>
              <w:bottom w:val="single" w:color="000000" w:sz="4" w:space="0"/>
              <w:right w:val="single" w:color="000000" w:sz="4" w:space="0"/>
            </w:tcBorders>
            <w:noWrap w:val="0"/>
            <w:vAlign w:val="center"/>
          </w:tcPr>
          <w:p w14:paraId="429BA897">
            <w:pPr>
              <w:keepNext w:val="0"/>
              <w:keepLines w:val="0"/>
              <w:pageBreakBefore w:val="0"/>
              <w:widowControl w:val="0"/>
              <w:kinsoku/>
              <w:wordWrap w:val="0"/>
              <w:overflowPunct/>
              <w:topLinePunct w:val="0"/>
              <w:autoSpaceDE w:val="0"/>
              <w:autoSpaceDN w:val="0"/>
              <w:bidi w:val="0"/>
              <w:adjustRightInd/>
              <w:snapToGrid/>
              <w:spacing w:after="0" w:line="240" w:lineRule="auto"/>
              <w:ind w:left="105" w:leftChars="50" w:right="105" w:rightChars="5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负责公共区域日常保洁工作</w:t>
            </w:r>
          </w:p>
        </w:tc>
      </w:tr>
      <w:tr w14:paraId="15ED9F7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80" w:hRule="atLeast"/>
        </w:trPr>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9440EBA">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保安队长</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50C23B2">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1人</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14:paraId="2CF8FF83">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行政班</w:t>
            </w:r>
          </w:p>
        </w:tc>
        <w:tc>
          <w:tcPr>
            <w:tcW w:w="2937" w:type="dxa"/>
            <w:tcBorders>
              <w:top w:val="single" w:color="000000" w:sz="4" w:space="0"/>
              <w:left w:val="single" w:color="000000" w:sz="4" w:space="0"/>
              <w:bottom w:val="single" w:color="000000" w:sz="4" w:space="0"/>
              <w:right w:val="single" w:color="000000" w:sz="4" w:space="0"/>
            </w:tcBorders>
            <w:noWrap w:val="0"/>
            <w:vAlign w:val="center"/>
          </w:tcPr>
          <w:p w14:paraId="0C8997CC">
            <w:pPr>
              <w:keepNext w:val="0"/>
              <w:keepLines w:val="0"/>
              <w:pageBreakBefore w:val="0"/>
              <w:widowControl w:val="0"/>
              <w:kinsoku/>
              <w:wordWrap w:val="0"/>
              <w:overflowPunct/>
              <w:topLinePunct w:val="0"/>
              <w:autoSpaceDE w:val="0"/>
              <w:autoSpaceDN w:val="0"/>
              <w:bidi w:val="0"/>
              <w:adjustRightInd/>
              <w:snapToGrid/>
              <w:spacing w:after="0" w:line="240" w:lineRule="auto"/>
              <w:ind w:left="105" w:leftChars="50" w:right="105" w:rightChars="5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负责采购单位安保、车辆管理、秩序维护工作</w:t>
            </w:r>
          </w:p>
        </w:tc>
      </w:tr>
      <w:tr w14:paraId="27E60EF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150" w:hRule="atLeast"/>
        </w:trPr>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0EFED79">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保安</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77923392">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6人</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14:paraId="3C8DFA8F">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both"/>
              <w:textAlignment w:val="auto"/>
              <w:rPr>
                <w:rFonts w:hint="eastAsia" w:ascii="宋体" w:hAnsi="宋体" w:eastAsia="宋体" w:cs="宋体"/>
                <w:color w:val="000000"/>
                <w:sz w:val="21"/>
                <w:szCs w:val="21"/>
              </w:rPr>
            </w:pPr>
          </w:p>
        </w:tc>
        <w:tc>
          <w:tcPr>
            <w:tcW w:w="2937" w:type="dxa"/>
            <w:tcBorders>
              <w:top w:val="single" w:color="000000" w:sz="4" w:space="0"/>
              <w:left w:val="single" w:color="000000" w:sz="4" w:space="0"/>
              <w:bottom w:val="single" w:color="000000" w:sz="4" w:space="0"/>
              <w:right w:val="single" w:color="000000" w:sz="4" w:space="0"/>
            </w:tcBorders>
            <w:noWrap w:val="0"/>
            <w:vAlign w:val="center"/>
          </w:tcPr>
          <w:p w14:paraId="43F297DE">
            <w:pPr>
              <w:keepNext w:val="0"/>
              <w:keepLines w:val="0"/>
              <w:pageBreakBefore w:val="0"/>
              <w:widowControl w:val="0"/>
              <w:kinsoku/>
              <w:wordWrap w:val="0"/>
              <w:overflowPunct/>
              <w:topLinePunct w:val="0"/>
              <w:autoSpaceDE w:val="0"/>
              <w:autoSpaceDN w:val="0"/>
              <w:bidi w:val="0"/>
              <w:adjustRightInd/>
              <w:snapToGrid/>
              <w:spacing w:after="0" w:line="240" w:lineRule="auto"/>
              <w:ind w:left="105" w:leftChars="50" w:right="105" w:rightChars="5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负责采购单位安保、车辆管理、秩序维护工作</w:t>
            </w:r>
          </w:p>
        </w:tc>
      </w:tr>
      <w:tr w14:paraId="015B988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0" w:hRule="atLeast"/>
        </w:trPr>
        <w:tc>
          <w:tcPr>
            <w:tcW w:w="2018" w:type="dxa"/>
            <w:tcBorders>
              <w:top w:val="single" w:color="000000" w:sz="4" w:space="0"/>
              <w:left w:val="single" w:color="000000" w:sz="4" w:space="0"/>
              <w:bottom w:val="single" w:color="000000" w:sz="4" w:space="0"/>
              <w:right w:val="single" w:color="000000" w:sz="4" w:space="0"/>
            </w:tcBorders>
            <w:noWrap w:val="0"/>
            <w:vAlign w:val="center"/>
          </w:tcPr>
          <w:p w14:paraId="208B190B">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小计</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6A6649F">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sz w:val="21"/>
                <w:szCs w:val="21"/>
              </w:rPr>
              <w:t>12人</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14:paraId="128CC8ED">
            <w:pPr>
              <w:keepNext w:val="0"/>
              <w:keepLines w:val="0"/>
              <w:pageBreakBefore w:val="0"/>
              <w:widowControl w:val="0"/>
              <w:kinsoku/>
              <w:wordWrap w:val="0"/>
              <w:overflowPunct/>
              <w:topLinePunct w:val="0"/>
              <w:autoSpaceDE w:val="0"/>
              <w:autoSpaceDN w:val="0"/>
              <w:bidi w:val="0"/>
              <w:adjustRightInd/>
              <w:snapToGrid/>
              <w:spacing w:after="0" w:line="240" w:lineRule="auto"/>
              <w:ind w:left="0" w:right="0" w:firstLine="0" w:firstLineChars="0"/>
              <w:jc w:val="both"/>
              <w:textAlignment w:val="auto"/>
              <w:rPr>
                <w:rFonts w:hint="eastAsia" w:ascii="宋体" w:hAnsi="宋体" w:eastAsia="宋体" w:cs="宋体"/>
                <w:color w:val="000000"/>
                <w:sz w:val="21"/>
                <w:szCs w:val="21"/>
              </w:rPr>
            </w:pPr>
          </w:p>
        </w:tc>
        <w:tc>
          <w:tcPr>
            <w:tcW w:w="2937" w:type="dxa"/>
            <w:tcBorders>
              <w:top w:val="single" w:color="000000" w:sz="4" w:space="0"/>
              <w:left w:val="single" w:color="000000" w:sz="4" w:space="0"/>
              <w:bottom w:val="single" w:color="000000" w:sz="4" w:space="0"/>
              <w:right w:val="single" w:color="000000" w:sz="4" w:space="0"/>
            </w:tcBorders>
            <w:noWrap w:val="0"/>
            <w:vAlign w:val="center"/>
          </w:tcPr>
          <w:p w14:paraId="12E250A4">
            <w:pPr>
              <w:keepNext w:val="0"/>
              <w:keepLines w:val="0"/>
              <w:pageBreakBefore w:val="0"/>
              <w:widowControl w:val="0"/>
              <w:kinsoku/>
              <w:wordWrap w:val="0"/>
              <w:overflowPunct/>
              <w:topLinePunct w:val="0"/>
              <w:autoSpaceDE w:val="0"/>
              <w:autoSpaceDN w:val="0"/>
              <w:bidi w:val="0"/>
              <w:adjustRightInd/>
              <w:snapToGrid/>
              <w:spacing w:after="0" w:line="240" w:lineRule="auto"/>
              <w:ind w:left="105" w:leftChars="50" w:right="105" w:rightChars="50" w:firstLine="0" w:firstLineChars="0"/>
              <w:jc w:val="center"/>
              <w:textAlignment w:val="auto"/>
              <w:rPr>
                <w:rFonts w:hint="eastAsia" w:ascii="宋体" w:hAnsi="宋体" w:eastAsia="宋体" w:cs="宋体"/>
                <w:color w:val="000000"/>
                <w:sz w:val="21"/>
                <w:szCs w:val="21"/>
              </w:rPr>
            </w:pPr>
          </w:p>
        </w:tc>
      </w:tr>
    </w:tbl>
    <w:p w14:paraId="3818189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color w:val="000000"/>
          <w:sz w:val="21"/>
          <w:szCs w:val="21"/>
        </w:rPr>
      </w:pPr>
    </w:p>
    <w:p w14:paraId="222EC563">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4.3本项目的实施时间</w:t>
      </w:r>
      <w:r>
        <w:rPr>
          <w:rFonts w:hint="eastAsia" w:ascii="宋体" w:hAnsi="宋体" w:cs="宋体"/>
          <w:color w:val="000000"/>
          <w:sz w:val="21"/>
          <w:szCs w:val="21"/>
          <w:lang w:eastAsia="zh-CN"/>
        </w:rPr>
        <w:t>：</w:t>
      </w:r>
      <w:r>
        <w:rPr>
          <w:rFonts w:hint="eastAsia" w:ascii="宋体" w:hAnsi="宋体" w:eastAsia="宋体" w:cs="宋体"/>
          <w:color w:val="000000"/>
          <w:sz w:val="21"/>
          <w:szCs w:val="21"/>
        </w:rPr>
        <w:t>由采购人和供应商在合同中约定。</w:t>
      </w:r>
    </w:p>
    <w:p w14:paraId="7E2B606C">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4.4本项目实施的地点：岳阳县数据局。</w:t>
      </w:r>
    </w:p>
    <w:p w14:paraId="4AF2494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五、采购标的的验收标准</w:t>
      </w:r>
    </w:p>
    <w:p w14:paraId="3243741D">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5.1验收标准依据国家及地方相关法规执行。</w:t>
      </w:r>
    </w:p>
    <w:p w14:paraId="570ECEDB">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5.2项目验收不合格，由成交供应商返工直至合格为止，有关返工、再行验收，以及给采购人造成的损失等费用由成交供应商承担。</w:t>
      </w:r>
    </w:p>
    <w:p w14:paraId="7F6AE9BF">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b/>
          <w:color w:val="000000"/>
          <w:sz w:val="21"/>
          <w:szCs w:val="21"/>
        </w:rPr>
        <w:t>六、采购标的需满足的服务标准、期限、</w:t>
      </w:r>
      <w:r>
        <w:rPr>
          <w:rFonts w:hint="eastAsia" w:ascii="宋体" w:hAnsi="宋体" w:cs="宋体"/>
          <w:b/>
          <w:color w:val="000000"/>
          <w:sz w:val="21"/>
          <w:szCs w:val="21"/>
          <w:lang w:val="en-US" w:eastAsia="zh-CN"/>
        </w:rPr>
        <w:t>付款方式</w:t>
      </w:r>
      <w:r>
        <w:rPr>
          <w:rFonts w:hint="eastAsia" w:ascii="宋体" w:hAnsi="宋体" w:eastAsia="宋体" w:cs="宋体"/>
          <w:b/>
          <w:color w:val="000000"/>
          <w:sz w:val="21"/>
          <w:szCs w:val="21"/>
        </w:rPr>
        <w:t>等要求</w:t>
      </w:r>
    </w:p>
    <w:p w14:paraId="2EE37D6B">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6.1服务标准：见本章本节相关条款。</w:t>
      </w:r>
    </w:p>
    <w:p w14:paraId="1D0F678E">
      <w:pPr>
        <w:keepNext w:val="0"/>
        <w:keepLines w:val="0"/>
        <w:pageBreakBefore w:val="0"/>
        <w:widowControl w:val="0"/>
        <w:kinsoku/>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6.2服务期限：3年。</w:t>
      </w:r>
    </w:p>
    <w:p w14:paraId="27E00CFA">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w:t>
      </w:r>
      <w:r>
        <w:rPr>
          <w:rFonts w:hint="eastAsia" w:ascii="宋体" w:hAnsi="宋体" w:cs="宋体"/>
          <w:color w:val="000000"/>
          <w:sz w:val="21"/>
          <w:szCs w:val="21"/>
          <w:lang w:val="en-US" w:eastAsia="zh-CN"/>
        </w:rPr>
        <w:t>3</w:t>
      </w:r>
      <w:r>
        <w:rPr>
          <w:rFonts w:hint="eastAsia" w:ascii="宋体" w:hAnsi="宋体" w:eastAsia="宋体" w:cs="宋体"/>
          <w:color w:val="000000"/>
          <w:sz w:val="21"/>
          <w:szCs w:val="21"/>
        </w:rPr>
        <w:t>服务效率：按本章采购需求要求履行本项目合同，以及按双方（采购人与成交方）签订合同时约定的相关事项按时完成相关工作。</w:t>
      </w:r>
    </w:p>
    <w:p w14:paraId="5F29C419">
      <w:pPr>
        <w:pStyle w:val="4"/>
        <w:ind w:firstLine="420" w:firstLineChars="200"/>
        <w:rPr>
          <w:rFonts w:hint="default" w:eastAsia="宋体"/>
          <w:lang w:val="en-US" w:eastAsia="zh-CN"/>
        </w:rPr>
      </w:pPr>
      <w:r>
        <w:rPr>
          <w:rFonts w:hint="eastAsia" w:ascii="宋体" w:hAnsi="宋体" w:cs="宋体"/>
          <w:color w:val="000000"/>
          <w:sz w:val="21"/>
          <w:szCs w:val="21"/>
          <w:lang w:val="en-US" w:eastAsia="zh-CN"/>
        </w:rPr>
        <w:t>6.4付款方式：</w:t>
      </w:r>
      <w:r>
        <w:rPr>
          <w:rFonts w:hint="eastAsia"/>
          <w:color w:val="auto"/>
          <w:highlight w:val="none"/>
        </w:rPr>
        <w:t>按季度平均支付，一年付四次</w:t>
      </w:r>
      <w:r>
        <w:rPr>
          <w:rFonts w:hint="eastAsia"/>
          <w:color w:val="auto"/>
          <w:highlight w:val="none"/>
          <w:lang w:eastAsia="zh-CN"/>
        </w:rPr>
        <w:t>。</w:t>
      </w:r>
    </w:p>
    <w:p w14:paraId="474CD473">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七、采购标的的其他技术、服务等要求。</w:t>
      </w:r>
    </w:p>
    <w:p w14:paraId="48AB7D0D">
      <w:pPr>
        <w:keepNext w:val="0"/>
        <w:keepLines w:val="0"/>
        <w:pageBreakBefore w:val="0"/>
        <w:widowControl w:val="0"/>
        <w:kinsoku/>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（1）服务要求：</w:t>
      </w:r>
    </w:p>
    <w:p w14:paraId="1C8B909F">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1、甲方有权利对乙方保安员的工作进行监督、管理，并可依据本单位实际情况对执勤岗位和巡逻区域进行调整；</w:t>
      </w:r>
    </w:p>
    <w:p w14:paraId="289FD057">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2、甲方有权对乙方不胜任工作岗位的保安人员、物业水电维修维护人员及保洁人员要求进行调换，乙方应无条件调换合格人员；</w:t>
      </w:r>
    </w:p>
    <w:p w14:paraId="41C0CFE7">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3、甲方外派保安员从事保安服务职责外的工作，由此造成的对保安员和其他第三方的经济赔偿责任，由甲方负责；</w:t>
      </w:r>
    </w:p>
    <w:p w14:paraId="395DC54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4、院落物业管理如有人投诉或任意检查时因卫生问题被批评，甲方将根据影响酌情处以罚款；</w:t>
      </w:r>
    </w:p>
    <w:p w14:paraId="109CE760">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5、办公楼及院落物业所有设施、水电及其它维修维护的材料由甲方负责自行购买。</w:t>
      </w:r>
    </w:p>
    <w:p w14:paraId="642A72B6">
      <w:pPr>
        <w:keepNext w:val="0"/>
        <w:keepLines w:val="0"/>
        <w:pageBreakBefore w:val="0"/>
        <w:widowControl w:val="0"/>
        <w:kinsoku/>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（2）技术要求：</w:t>
      </w:r>
    </w:p>
    <w:p w14:paraId="0ED89F48">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1、对发生在执勤区域内的刑事案件、治安案件和治安灾害事故，乙方应及时处理并报告甲方和当地公安机关，采取措施保护案发现场，协助公安机关侦查各类治安刑事案件；</w:t>
      </w:r>
    </w:p>
    <w:p w14:paraId="54619DA4">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2、为保安人员配备制服及基本保安装备，并管理好保安员日常工作事务；</w:t>
      </w:r>
    </w:p>
    <w:p w14:paraId="7316A15D">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3、定期对物业人员进行教育培训，查岗督导、违纪纠章，协助甲方做好安防、消防工作，以提高服务质量；</w:t>
      </w:r>
    </w:p>
    <w:p w14:paraId="6107B0E8">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4、乙方物业人员应具备的条件：18-60岁，五官端正，身体健康，初中以上文化程度，退伍军人或经过正规培训并依法取得保安证，品行良好，无治安拘留或无违法犯罪记录；</w:t>
      </w:r>
    </w:p>
    <w:p w14:paraId="4EC04BDC">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5、保护甲方财产和区域场所的安全，维护甲方正常工作秩序；</w:t>
      </w:r>
    </w:p>
    <w:p w14:paraId="5D01AE86">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6、乙方应当与提供给甲方的物业人员签订劳务合同，乙方物业人员的工资，奖金，社会保险及各种福利待遇由乙方负责；</w:t>
      </w:r>
    </w:p>
    <w:p w14:paraId="41C1A052">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7、协助甲方落实好防火、防盗、防爆、防破坏等治安防范工作，处置目标区域内的安全隐患；</w:t>
      </w:r>
    </w:p>
    <w:p w14:paraId="6F161E5A">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8、乙方承包期间，甲方向乙方提供必要的管理条件（如值班场地、水源等）；</w:t>
      </w:r>
    </w:p>
    <w:p w14:paraId="61AAA0DB">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9、乙方必须保证所管理范围内绿化地的绿草、花卉、树木等整型雅致，并确保无虫害、草坪无杂草、无枯死等现象；</w:t>
      </w:r>
    </w:p>
    <w:p w14:paraId="3D11895D">
      <w:pPr>
        <w:keepNext w:val="0"/>
        <w:keepLines w:val="0"/>
        <w:pageBreakBefore w:val="0"/>
        <w:widowControl w:val="0"/>
        <w:kinsoku/>
        <w:wordWrap w:val="0"/>
        <w:overflowPunct/>
        <w:topLinePunct w:val="0"/>
        <w:autoSpaceDE w:val="0"/>
        <w:autoSpaceDN w:val="0"/>
        <w:bidi w:val="0"/>
        <w:adjustRightInd/>
        <w:snapToGrid/>
        <w:spacing w:after="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sz w:val="21"/>
          <w:szCs w:val="21"/>
        </w:rPr>
        <w:t>10、乙方负责所派遣工作人员管理工作，工作人员在甲方工作期间所发生的一切安全事故、身体疾病等一切与甲方无关，工作人员与乙方所发生的一切劳务纠纷与甲方无关。</w:t>
      </w:r>
    </w:p>
    <w:p w14:paraId="4BC94855">
      <w:pPr>
        <w:keepNext w:val="0"/>
        <w:keepLines w:val="0"/>
        <w:pageBreakBefore w:val="0"/>
        <w:numPr>
          <w:ilvl w:val="0"/>
          <w:numId w:val="0"/>
        </w:numPr>
        <w:kinsoku/>
        <w:wordWrap/>
        <w:overflowPunct/>
        <w:topLinePunct w:val="0"/>
        <w:autoSpaceDE/>
        <w:autoSpaceDN/>
        <w:bidi w:val="0"/>
        <w:spacing w:line="440" w:lineRule="exact"/>
        <w:ind w:firstLine="422" w:firstLineChars="200"/>
        <w:textAlignment w:val="auto"/>
        <w:rPr>
          <w:rFonts w:hint="default" w:hAnsi="宋体" w:eastAsia="宋体"/>
          <w:b/>
          <w:color w:val="auto"/>
          <w:szCs w:val="21"/>
          <w:lang w:val="en-US" w:eastAsia="zh-CN"/>
        </w:rPr>
      </w:pPr>
      <w:r>
        <w:rPr>
          <w:rFonts w:hint="eastAsia" w:hAnsi="宋体"/>
          <w:b/>
          <w:color w:val="auto"/>
          <w:szCs w:val="21"/>
          <w:lang w:val="en-US" w:eastAsia="zh-CN"/>
        </w:rPr>
        <w:t>注：</w:t>
      </w:r>
      <w:r>
        <w:rPr>
          <w:rFonts w:hint="eastAsia" w:ascii="宋体" w:hAnsi="宋体" w:eastAsia="宋体" w:cs="宋体"/>
          <w:b/>
          <w:bCs/>
          <w:spacing w:val="-4"/>
          <w:sz w:val="21"/>
          <w:szCs w:val="21"/>
        </w:rPr>
        <w:t>其他未尽事宜由采购人和中标供应商双方在采购合同中详细约定</w:t>
      </w:r>
      <w:r>
        <w:rPr>
          <w:rFonts w:hint="eastAsia" w:ascii="宋体" w:hAnsi="宋体" w:eastAsia="宋体" w:cs="宋体"/>
          <w:b/>
          <w:bCs/>
          <w:spacing w:val="-4"/>
          <w:sz w:val="21"/>
          <w:szCs w:val="21"/>
          <w:lang w:eastAsia="zh-CN"/>
        </w:rPr>
        <w:t>，</w:t>
      </w:r>
      <w:r>
        <w:rPr>
          <w:rFonts w:hint="eastAsia" w:hAnsi="宋体"/>
          <w:b/>
          <w:color w:val="auto"/>
          <w:szCs w:val="21"/>
          <w:lang w:val="en-US" w:eastAsia="zh-CN"/>
        </w:rPr>
        <w:t>按采购人最新标准执行。</w:t>
      </w:r>
    </w:p>
    <w:p w14:paraId="64AD2F9F">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400DB5"/>
    <w:rsid w:val="57400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iPriority w:val="0"/>
    <w:pPr>
      <w:keepNext/>
      <w:jc w:val="center"/>
      <w:outlineLvl w:val="0"/>
    </w:pPr>
    <w:rPr>
      <w:rFonts w:ascii="Times New Roman" w:hAnsi="Times New Roman" w:eastAsia="宋体" w:cs="Times New Roman"/>
      <w:b/>
      <w:sz w:val="24"/>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rPr>
      <w:rFonts w:ascii="Times New Roman" w:hAnsi="Times New Roman" w:eastAsia="宋体" w:cs="Times New Roman"/>
    </w:rPr>
  </w:style>
  <w:style w:type="paragraph" w:styleId="4">
    <w:name w:val="Body Text First Indent"/>
    <w:basedOn w:val="3"/>
    <w:next w:val="1"/>
    <w:qFormat/>
    <w:uiPriority w:val="0"/>
    <w:pPr>
      <w:ind w:firstLine="420" w:firstLineChars="100"/>
    </w:pPr>
  </w:style>
  <w:style w:type="paragraph" w:customStyle="1" w:styleId="7">
    <w:name w:val="列出段落1"/>
    <w:basedOn w:val="8"/>
    <w:uiPriority w:val="0"/>
    <w:pPr>
      <w:ind w:firstLine="420" w:firstLineChars="200"/>
    </w:pPr>
    <w:rPr>
      <w:rFonts w:ascii="Calibri" w:hAnsi="Calibri" w:eastAsia="宋体" w:cs="Calibri"/>
      <w:szCs w:val="21"/>
    </w:rPr>
  </w:style>
  <w:style w:type="paragraph" w:customStyle="1" w:styleId="8">
    <w:name w:val="正文_0"/>
    <w:basedOn w:val="1"/>
    <w:next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2026-09-16T08:08:00Z</dcterms:created>
  <dc:creator>白鹤</dc:creator>
  <cp:lastModifiedBy>白鹤</cp:lastModifiedBy>
  <dcterms:modified xsi:type="dcterms:W3CDTF">2026-09-16T08:09:02Z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355FF798D6934C958912F6256A8E59B3_11</vt:lpwstr>
  </property>
  <property fmtid="{D5CDD505-2E9C-101B-9397-08002B2CF9AE}" pid="4" name="KSOTemplateDocerSaveRecord">
    <vt:lpwstr>eyJoZGlkIjoiYzUyZmMzYmM4Y2M4MWZhYjRkMDRmYzljZDcwMjg1NzkiLCJ1c2VySWQiOiI1ODA4NDgzNDEifQ==</vt:lpwstr>
  </property>
</Properties>
</file>