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3A815">
      <w:pPr>
        <w:pStyle w:val="25"/>
        <w:spacing w:line="400" w:lineRule="atLeast"/>
        <w:jc w:val="center"/>
        <w:rPr>
          <w:rFonts w:hAnsi="宋体" w:cs="宋体"/>
          <w:bCs/>
          <w:sz w:val="72"/>
          <w:szCs w:val="72"/>
        </w:rPr>
      </w:pPr>
      <w:bookmarkStart w:id="0" w:name="_Toc9917"/>
      <w:bookmarkStart w:id="1" w:name="_Toc12864"/>
      <w:r>
        <w:rPr>
          <w:rFonts w:hint="eastAsia" w:hAnsi="宋体" w:cs="宋体"/>
          <w:bCs/>
          <w:sz w:val="72"/>
          <w:szCs w:val="72"/>
        </w:rPr>
        <w:t>岳阳政府采购</w:t>
      </w:r>
    </w:p>
    <w:p w14:paraId="22D4B70D">
      <w:pPr>
        <w:pStyle w:val="25"/>
        <w:spacing w:line="400" w:lineRule="atLeast"/>
        <w:jc w:val="center"/>
        <w:rPr>
          <w:rFonts w:hAnsi="宋体" w:cs="宋体"/>
          <w:b/>
          <w:bCs/>
          <w:sz w:val="72"/>
          <w:szCs w:val="72"/>
        </w:rPr>
      </w:pPr>
    </w:p>
    <w:p w14:paraId="575F7AF2">
      <w:pPr>
        <w:pStyle w:val="25"/>
        <w:spacing w:line="400" w:lineRule="atLeast"/>
        <w:jc w:val="center"/>
        <w:rPr>
          <w:rFonts w:hint="eastAsia" w:hAnsi="宋体" w:cs="宋体"/>
          <w:b/>
          <w:bCs/>
          <w:sz w:val="72"/>
          <w:szCs w:val="72"/>
        </w:rPr>
      </w:pPr>
    </w:p>
    <w:p w14:paraId="0C047B82">
      <w:pPr>
        <w:pStyle w:val="25"/>
        <w:spacing w:line="400" w:lineRule="atLeast"/>
        <w:jc w:val="center"/>
        <w:rPr>
          <w:rFonts w:hAnsi="宋体" w:cs="宋体"/>
          <w:b/>
          <w:bCs/>
          <w:sz w:val="72"/>
          <w:szCs w:val="72"/>
        </w:rPr>
      </w:pPr>
      <w:r>
        <w:rPr>
          <w:rFonts w:hint="eastAsia" w:hAnsi="宋体" w:cs="宋体"/>
          <w:b/>
          <w:bCs/>
          <w:sz w:val="72"/>
          <w:szCs w:val="72"/>
        </w:rPr>
        <w:t>公开招标</w:t>
      </w:r>
    </w:p>
    <w:p w14:paraId="283B773F">
      <w:pPr>
        <w:pStyle w:val="25"/>
        <w:spacing w:line="400" w:lineRule="atLeast"/>
        <w:jc w:val="center"/>
        <w:rPr>
          <w:rFonts w:hAnsi="宋体" w:cs="宋体"/>
          <w:b/>
          <w:bCs/>
          <w:sz w:val="72"/>
          <w:szCs w:val="72"/>
        </w:rPr>
      </w:pPr>
      <w:r>
        <w:rPr>
          <w:rFonts w:hint="eastAsia" w:hAnsi="宋体" w:cs="宋体"/>
          <w:b/>
          <w:bCs/>
          <w:sz w:val="72"/>
          <w:szCs w:val="72"/>
        </w:rPr>
        <w:t>电子招标文件</w:t>
      </w:r>
    </w:p>
    <w:p w14:paraId="42C27AC4">
      <w:pPr>
        <w:pStyle w:val="25"/>
        <w:spacing w:line="400" w:lineRule="atLeast"/>
        <w:jc w:val="center"/>
        <w:rPr>
          <w:rFonts w:hAnsi="宋体" w:cs="宋体"/>
          <w:b/>
          <w:bCs/>
          <w:sz w:val="44"/>
          <w:szCs w:val="44"/>
        </w:rPr>
      </w:pPr>
    </w:p>
    <w:p w14:paraId="041D50D8">
      <w:pPr>
        <w:pStyle w:val="25"/>
        <w:adjustRightInd w:val="0"/>
        <w:snapToGrid w:val="0"/>
        <w:spacing w:line="360" w:lineRule="auto"/>
        <w:rPr>
          <w:rFonts w:hAnsi="宋体" w:cs="宋体"/>
          <w:bCs/>
        </w:rPr>
      </w:pPr>
    </w:p>
    <w:p w14:paraId="6D92745D">
      <w:pPr>
        <w:spacing w:line="720" w:lineRule="auto"/>
        <w:rPr>
          <w:rFonts w:hint="eastAsia" w:ascii="宋体" w:hAnsi="宋体" w:cs="宋体"/>
          <w:b/>
          <w:sz w:val="32"/>
          <w:szCs w:val="21"/>
          <w:u w:val="single"/>
        </w:rPr>
      </w:pPr>
      <w:r>
        <w:rPr>
          <w:rFonts w:hint="eastAsia" w:ascii="宋体" w:hAnsi="宋体" w:cs="宋体"/>
          <w:b/>
          <w:sz w:val="32"/>
          <w:szCs w:val="32"/>
        </w:rPr>
        <w:t>采购项目名称：</w:t>
      </w:r>
      <w:r>
        <w:rPr>
          <w:rFonts w:hint="eastAsia" w:ascii="宋体" w:hAnsi="宋体" w:cs="宋体"/>
          <w:b/>
          <w:sz w:val="32"/>
          <w:szCs w:val="21"/>
          <w:u w:val="single"/>
          <w:lang w:eastAsia="zh-CN"/>
        </w:rPr>
        <w:t>岳阳市人民医院麻醉机、多功能监护仪采购项目</w:t>
      </w:r>
      <w:r>
        <w:rPr>
          <w:rFonts w:hint="eastAsia" w:ascii="宋体" w:hAnsi="宋体" w:cs="宋体"/>
          <w:b/>
          <w:sz w:val="32"/>
          <w:szCs w:val="21"/>
          <w:u w:val="single"/>
        </w:rPr>
        <w:t xml:space="preserve"> </w:t>
      </w:r>
    </w:p>
    <w:p w14:paraId="0C309BE3">
      <w:pPr>
        <w:spacing w:line="720" w:lineRule="auto"/>
        <w:rPr>
          <w:rFonts w:ascii="宋体" w:hAnsi="宋体" w:cs="宋体"/>
          <w:b/>
          <w:sz w:val="32"/>
          <w:szCs w:val="21"/>
          <w:u w:val="single"/>
        </w:rPr>
      </w:pPr>
      <w:r>
        <w:rPr>
          <w:rFonts w:hint="eastAsia" w:ascii="宋体" w:hAnsi="宋体" w:cs="宋体"/>
          <w:b/>
          <w:sz w:val="32"/>
          <w:szCs w:val="32"/>
        </w:rPr>
        <w:t>政府采购编号：</w:t>
      </w:r>
      <w:r>
        <w:rPr>
          <w:rFonts w:hint="eastAsia" w:ascii="宋体" w:hAnsi="宋体" w:cs="宋体"/>
          <w:b/>
          <w:color w:val="000000"/>
          <w:sz w:val="32"/>
          <w:szCs w:val="21"/>
          <w:u w:val="single"/>
          <w:lang w:eastAsia="zh-CN"/>
        </w:rPr>
        <w:t>CGXM2026430600000091</w:t>
      </w:r>
      <w:r>
        <w:rPr>
          <w:rFonts w:hint="eastAsia" w:ascii="宋体" w:hAnsi="宋体" w:cs="宋体"/>
          <w:b/>
          <w:sz w:val="32"/>
          <w:szCs w:val="21"/>
          <w:u w:val="single"/>
        </w:rPr>
        <w:t xml:space="preserve"> </w:t>
      </w:r>
    </w:p>
    <w:p w14:paraId="61DA89C8">
      <w:pPr>
        <w:spacing w:line="840" w:lineRule="auto"/>
        <w:rPr>
          <w:rFonts w:ascii="宋体" w:hAnsi="宋体" w:cs="宋体"/>
          <w:b/>
          <w:sz w:val="32"/>
          <w:szCs w:val="32"/>
          <w:u w:val="single"/>
        </w:rPr>
      </w:pPr>
      <w:r>
        <w:rPr>
          <w:rFonts w:hint="eastAsia" w:ascii="宋体" w:hAnsi="宋体" w:cs="宋体"/>
          <w:b/>
          <w:sz w:val="32"/>
          <w:szCs w:val="21"/>
        </w:rPr>
        <w:t>采购代理编号：</w:t>
      </w:r>
      <w:r>
        <w:rPr>
          <w:rFonts w:hint="eastAsia" w:ascii="宋体" w:hAnsi="宋体" w:cs="宋体"/>
          <w:b/>
          <w:sz w:val="32"/>
          <w:szCs w:val="32"/>
          <w:u w:val="single"/>
          <w:lang w:eastAsia="zh-CN"/>
        </w:rPr>
        <w:t>AY-YY-2026015</w:t>
      </w:r>
    </w:p>
    <w:p w14:paraId="4CE24880">
      <w:pPr>
        <w:spacing w:line="840" w:lineRule="auto"/>
        <w:rPr>
          <w:rFonts w:hint="eastAsia" w:ascii="宋体" w:hAnsi="宋体" w:eastAsia="宋体" w:cs="宋体"/>
          <w:b/>
          <w:sz w:val="32"/>
          <w:szCs w:val="32"/>
          <w:u w:val="single"/>
          <w:lang w:eastAsia="zh-CN"/>
        </w:rPr>
      </w:pPr>
      <w:r>
        <w:rPr>
          <w:rFonts w:hint="eastAsia" w:ascii="宋体" w:hAnsi="宋体" w:cs="宋体"/>
          <w:b/>
          <w:sz w:val="32"/>
          <w:szCs w:val="32"/>
        </w:rPr>
        <w:t>采   购  人：</w:t>
      </w:r>
      <w:r>
        <w:rPr>
          <w:rFonts w:hint="eastAsia" w:ascii="宋体" w:hAnsi="宋体" w:cs="宋体"/>
          <w:b/>
          <w:sz w:val="32"/>
          <w:szCs w:val="21"/>
          <w:u w:val="single"/>
          <w:lang w:eastAsia="zh-CN"/>
        </w:rPr>
        <w:t>岳阳市人民医院</w:t>
      </w:r>
    </w:p>
    <w:p w14:paraId="191DFF8A">
      <w:pPr>
        <w:spacing w:line="840" w:lineRule="auto"/>
        <w:rPr>
          <w:rFonts w:ascii="宋体" w:hAnsi="宋体" w:cs="宋体"/>
          <w:b/>
          <w:sz w:val="32"/>
          <w:szCs w:val="21"/>
          <w:u w:val="single"/>
        </w:rPr>
      </w:pPr>
      <w:r>
        <w:rPr>
          <w:rFonts w:hint="eastAsia" w:ascii="宋体" w:hAnsi="宋体" w:cs="宋体"/>
          <w:b/>
          <w:sz w:val="32"/>
          <w:szCs w:val="21"/>
        </w:rPr>
        <w:t>采购代理机构：</w:t>
      </w:r>
      <w:r>
        <w:rPr>
          <w:rFonts w:hint="eastAsia" w:ascii="宋体" w:hAnsi="宋体" w:cs="宋体"/>
          <w:b/>
          <w:sz w:val="32"/>
          <w:szCs w:val="21"/>
          <w:u w:val="single"/>
          <w:lang w:val="en-US" w:eastAsia="zh-CN"/>
        </w:rPr>
        <w:t>福州市安永工程监理有限公司</w:t>
      </w:r>
      <w:r>
        <w:rPr>
          <w:rFonts w:hint="eastAsia" w:ascii="宋体" w:hAnsi="宋体" w:cs="宋体"/>
          <w:b/>
          <w:sz w:val="32"/>
          <w:szCs w:val="21"/>
          <w:u w:val="single"/>
        </w:rPr>
        <w:t xml:space="preserve"> </w:t>
      </w:r>
    </w:p>
    <w:p w14:paraId="718D34FD">
      <w:pPr>
        <w:pStyle w:val="25"/>
        <w:adjustRightInd w:val="0"/>
        <w:snapToGrid w:val="0"/>
        <w:spacing w:beforeLines="100" w:line="340" w:lineRule="exact"/>
        <w:rPr>
          <w:rFonts w:hAnsi="宋体" w:cs="宋体"/>
          <w:b/>
          <w:sz w:val="40"/>
          <w:szCs w:val="24"/>
        </w:rPr>
      </w:pPr>
    </w:p>
    <w:p w14:paraId="3CA9A99D">
      <w:pPr>
        <w:pStyle w:val="25"/>
        <w:adjustRightInd w:val="0"/>
        <w:snapToGrid w:val="0"/>
        <w:spacing w:beforeLines="100" w:line="340" w:lineRule="exact"/>
        <w:jc w:val="center"/>
        <w:rPr>
          <w:rFonts w:hAnsi="宋体" w:cs="宋体"/>
          <w:b/>
          <w:sz w:val="36"/>
          <w:szCs w:val="36"/>
        </w:rPr>
      </w:pPr>
      <w:r>
        <w:rPr>
          <w:rFonts w:hint="eastAsia" w:hAnsi="宋体" w:cs="宋体"/>
          <w:b/>
          <w:sz w:val="36"/>
          <w:szCs w:val="36"/>
        </w:rPr>
        <w:t>202</w:t>
      </w:r>
      <w:r>
        <w:rPr>
          <w:rFonts w:hint="eastAsia" w:hAnsi="宋体" w:cs="宋体"/>
          <w:b/>
          <w:sz w:val="36"/>
          <w:szCs w:val="36"/>
          <w:lang w:val="en-US" w:eastAsia="zh-CN"/>
        </w:rPr>
        <w:t>6</w:t>
      </w:r>
      <w:r>
        <w:rPr>
          <w:rFonts w:hint="eastAsia" w:hAnsi="宋体" w:cs="宋体"/>
          <w:b/>
          <w:sz w:val="36"/>
          <w:szCs w:val="36"/>
        </w:rPr>
        <w:t>年</w:t>
      </w:r>
      <w:r>
        <w:rPr>
          <w:rFonts w:hint="eastAsia" w:hAnsi="宋体" w:cs="宋体"/>
          <w:b/>
          <w:sz w:val="36"/>
          <w:szCs w:val="36"/>
          <w:lang w:val="en-US" w:eastAsia="zh-CN"/>
        </w:rPr>
        <w:t>8</w:t>
      </w:r>
      <w:r>
        <w:rPr>
          <w:rFonts w:hint="eastAsia" w:hAnsi="宋体" w:cs="宋体"/>
          <w:b/>
          <w:sz w:val="36"/>
          <w:szCs w:val="36"/>
        </w:rPr>
        <w:t>月</w:t>
      </w:r>
    </w:p>
    <w:p w14:paraId="0FD87BA6">
      <w:pPr>
        <w:pStyle w:val="25"/>
        <w:adjustRightInd w:val="0"/>
        <w:snapToGrid w:val="0"/>
        <w:spacing w:line="360" w:lineRule="auto"/>
        <w:rPr>
          <w:rFonts w:hAnsi="宋体" w:cs="宋体"/>
          <w:b/>
          <w:bCs/>
          <w:sz w:val="32"/>
          <w:szCs w:val="32"/>
        </w:rPr>
        <w:sectPr>
          <w:headerReference r:id="rId3" w:type="default"/>
          <w:pgSz w:w="11906" w:h="16838"/>
          <w:pgMar w:top="1440" w:right="1278" w:bottom="1440" w:left="1276"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3D4A7AA0">
      <w:pPr>
        <w:jc w:val="both"/>
        <w:rPr>
          <w:rFonts w:ascii="宋体" w:hAnsi="宋体"/>
          <w:b/>
          <w:bCs/>
          <w:sz w:val="32"/>
          <w:szCs w:val="40"/>
        </w:rPr>
      </w:pPr>
    </w:p>
    <w:p w14:paraId="2628B787">
      <w:pPr>
        <w:jc w:val="center"/>
        <w:rPr>
          <w:rFonts w:ascii="宋体" w:hAnsi="宋体"/>
          <w:b/>
          <w:bCs/>
          <w:sz w:val="32"/>
          <w:szCs w:val="40"/>
        </w:rPr>
      </w:pPr>
      <w:r>
        <w:rPr>
          <w:rFonts w:ascii="宋体" w:hAnsi="宋体"/>
          <w:b/>
          <w:bCs/>
          <w:sz w:val="32"/>
          <w:szCs w:val="40"/>
        </w:rPr>
        <w:t>目</w:t>
      </w:r>
      <w:r>
        <w:rPr>
          <w:rFonts w:hint="eastAsia" w:ascii="宋体" w:hAnsi="宋体"/>
          <w:b/>
          <w:bCs/>
          <w:sz w:val="32"/>
          <w:szCs w:val="40"/>
        </w:rPr>
        <w:t xml:space="preserve">  </w:t>
      </w:r>
      <w:r>
        <w:rPr>
          <w:rFonts w:ascii="宋体" w:hAnsi="宋体"/>
          <w:b/>
          <w:bCs/>
          <w:sz w:val="32"/>
          <w:szCs w:val="40"/>
        </w:rPr>
        <w:t>录</w:t>
      </w:r>
    </w:p>
    <w:p w14:paraId="425C1494">
      <w:pPr>
        <w:pStyle w:val="3"/>
      </w:pPr>
    </w:p>
    <w:p w14:paraId="44A73201">
      <w:pPr>
        <w:pStyle w:val="127"/>
        <w:tabs>
          <w:tab w:val="right" w:leader="dot" w:pos="10466"/>
        </w:tabs>
        <w:spacing w:line="360" w:lineRule="auto"/>
        <w:rPr>
          <w:b/>
          <w:sz w:val="22"/>
          <w:szCs w:val="22"/>
        </w:rPr>
      </w:pPr>
      <w:r>
        <w:rPr>
          <w:rFonts w:hint="eastAsia" w:ascii="宋体" w:hAnsi="宋体" w:cs="宋体"/>
          <w:b/>
          <w:sz w:val="44"/>
          <w:szCs w:val="44"/>
        </w:rPr>
        <w:fldChar w:fldCharType="begin"/>
      </w:r>
      <w:r>
        <w:rPr>
          <w:rFonts w:hint="eastAsia" w:ascii="宋体" w:hAnsi="宋体" w:cs="宋体"/>
          <w:b/>
          <w:sz w:val="44"/>
          <w:szCs w:val="44"/>
        </w:rPr>
        <w:instrText xml:space="preserve">TOC \o "1-2" \h \u </w:instrText>
      </w:r>
      <w:r>
        <w:rPr>
          <w:rFonts w:hint="eastAsia" w:ascii="宋体" w:hAnsi="宋体" w:cs="宋体"/>
          <w:b/>
          <w:sz w:val="44"/>
          <w:szCs w:val="44"/>
        </w:rPr>
        <w:fldChar w:fldCharType="separate"/>
      </w:r>
      <w:r>
        <w:fldChar w:fldCharType="begin"/>
      </w:r>
      <w:r>
        <w:instrText xml:space="preserve"> HYPERLINK \l "_Toc362" </w:instrText>
      </w:r>
      <w:r>
        <w:fldChar w:fldCharType="separate"/>
      </w:r>
      <w:r>
        <w:rPr>
          <w:rFonts w:hint="eastAsia" w:ascii="宋体" w:hAnsi="宋体" w:cs="宋体"/>
          <w:b/>
          <w:sz w:val="22"/>
          <w:szCs w:val="52"/>
        </w:rPr>
        <w:t>关键信息</w:t>
      </w:r>
      <w:r>
        <w:rPr>
          <w:b/>
          <w:sz w:val="22"/>
          <w:szCs w:val="22"/>
        </w:rPr>
        <w:tab/>
      </w:r>
      <w:r>
        <w:rPr>
          <w:b/>
          <w:sz w:val="22"/>
          <w:szCs w:val="22"/>
        </w:rPr>
        <w:fldChar w:fldCharType="begin"/>
      </w:r>
      <w:r>
        <w:rPr>
          <w:b/>
          <w:sz w:val="22"/>
          <w:szCs w:val="22"/>
        </w:rPr>
        <w:instrText xml:space="preserve"> PAGEREF _Toc362 \h </w:instrText>
      </w:r>
      <w:r>
        <w:rPr>
          <w:b/>
          <w:sz w:val="22"/>
          <w:szCs w:val="22"/>
        </w:rPr>
        <w:fldChar w:fldCharType="separate"/>
      </w:r>
      <w:r>
        <w:rPr>
          <w:b/>
          <w:sz w:val="22"/>
          <w:szCs w:val="22"/>
        </w:rPr>
        <w:t>2</w:t>
      </w:r>
      <w:r>
        <w:rPr>
          <w:b/>
          <w:sz w:val="22"/>
          <w:szCs w:val="22"/>
        </w:rPr>
        <w:fldChar w:fldCharType="end"/>
      </w:r>
      <w:r>
        <w:rPr>
          <w:b/>
          <w:sz w:val="22"/>
          <w:szCs w:val="22"/>
        </w:rPr>
        <w:fldChar w:fldCharType="end"/>
      </w:r>
    </w:p>
    <w:p w14:paraId="4E6FCB24">
      <w:pPr>
        <w:pStyle w:val="127"/>
        <w:tabs>
          <w:tab w:val="right" w:leader="dot" w:pos="10466"/>
        </w:tabs>
        <w:spacing w:line="360" w:lineRule="auto"/>
        <w:rPr>
          <w:b/>
          <w:sz w:val="22"/>
          <w:szCs w:val="22"/>
        </w:rPr>
      </w:pPr>
      <w:r>
        <w:fldChar w:fldCharType="begin"/>
      </w:r>
      <w:r>
        <w:instrText xml:space="preserve"> HYPERLINK \l "_Toc12259" </w:instrText>
      </w:r>
      <w:r>
        <w:fldChar w:fldCharType="separate"/>
      </w:r>
      <w:r>
        <w:rPr>
          <w:rFonts w:hint="eastAsia" w:ascii="宋体" w:hAnsi="宋体" w:cs="宋体"/>
          <w:b/>
          <w:sz w:val="22"/>
          <w:szCs w:val="40"/>
        </w:rPr>
        <w:t>一、资格性审查</w:t>
      </w:r>
      <w:r>
        <w:rPr>
          <w:b/>
          <w:sz w:val="22"/>
          <w:szCs w:val="22"/>
        </w:rPr>
        <w:tab/>
      </w:r>
      <w:r>
        <w:rPr>
          <w:b/>
          <w:sz w:val="22"/>
          <w:szCs w:val="22"/>
        </w:rPr>
        <w:fldChar w:fldCharType="begin"/>
      </w:r>
      <w:r>
        <w:rPr>
          <w:b/>
          <w:sz w:val="22"/>
          <w:szCs w:val="22"/>
        </w:rPr>
        <w:instrText xml:space="preserve"> PAGEREF _Toc12259 \h </w:instrText>
      </w:r>
      <w:r>
        <w:rPr>
          <w:b/>
          <w:sz w:val="22"/>
          <w:szCs w:val="22"/>
        </w:rPr>
        <w:fldChar w:fldCharType="separate"/>
      </w:r>
      <w:r>
        <w:rPr>
          <w:b/>
          <w:sz w:val="22"/>
          <w:szCs w:val="22"/>
        </w:rPr>
        <w:t>2</w:t>
      </w:r>
      <w:r>
        <w:rPr>
          <w:b/>
          <w:sz w:val="22"/>
          <w:szCs w:val="22"/>
        </w:rPr>
        <w:fldChar w:fldCharType="end"/>
      </w:r>
      <w:r>
        <w:rPr>
          <w:b/>
          <w:sz w:val="22"/>
          <w:szCs w:val="22"/>
        </w:rPr>
        <w:fldChar w:fldCharType="end"/>
      </w:r>
    </w:p>
    <w:p w14:paraId="7DCF4000">
      <w:pPr>
        <w:pStyle w:val="127"/>
        <w:tabs>
          <w:tab w:val="right" w:leader="dot" w:pos="10466"/>
        </w:tabs>
        <w:spacing w:line="360" w:lineRule="auto"/>
        <w:rPr>
          <w:b/>
          <w:sz w:val="22"/>
          <w:szCs w:val="22"/>
        </w:rPr>
      </w:pPr>
      <w:r>
        <w:fldChar w:fldCharType="begin"/>
      </w:r>
      <w:r>
        <w:instrText xml:space="preserve"> HYPERLINK \l "_Toc13306" </w:instrText>
      </w:r>
      <w:r>
        <w:fldChar w:fldCharType="separate"/>
      </w:r>
      <w:r>
        <w:rPr>
          <w:rFonts w:hint="eastAsia" w:ascii="宋体" w:hAnsi="宋体" w:cs="宋体"/>
          <w:b/>
          <w:sz w:val="22"/>
          <w:szCs w:val="36"/>
        </w:rPr>
        <w:t>二、符合性审查</w:t>
      </w:r>
      <w:r>
        <w:rPr>
          <w:b/>
          <w:sz w:val="22"/>
          <w:szCs w:val="22"/>
        </w:rPr>
        <w:tab/>
      </w:r>
      <w:r>
        <w:rPr>
          <w:b/>
          <w:sz w:val="22"/>
          <w:szCs w:val="22"/>
        </w:rPr>
        <w:fldChar w:fldCharType="begin"/>
      </w:r>
      <w:r>
        <w:rPr>
          <w:b/>
          <w:sz w:val="22"/>
          <w:szCs w:val="22"/>
        </w:rPr>
        <w:instrText xml:space="preserve"> PAGEREF _Toc13306 \h </w:instrText>
      </w:r>
      <w:r>
        <w:rPr>
          <w:b/>
          <w:sz w:val="22"/>
          <w:szCs w:val="22"/>
        </w:rPr>
        <w:fldChar w:fldCharType="separate"/>
      </w:r>
      <w:r>
        <w:rPr>
          <w:b/>
          <w:sz w:val="22"/>
          <w:szCs w:val="22"/>
        </w:rPr>
        <w:t>2</w:t>
      </w:r>
      <w:r>
        <w:rPr>
          <w:b/>
          <w:sz w:val="22"/>
          <w:szCs w:val="22"/>
        </w:rPr>
        <w:fldChar w:fldCharType="end"/>
      </w:r>
      <w:r>
        <w:rPr>
          <w:b/>
          <w:sz w:val="22"/>
          <w:szCs w:val="22"/>
        </w:rPr>
        <w:fldChar w:fldCharType="end"/>
      </w:r>
    </w:p>
    <w:p w14:paraId="7B3FF09F">
      <w:pPr>
        <w:pStyle w:val="127"/>
        <w:tabs>
          <w:tab w:val="right" w:leader="dot" w:pos="10466"/>
        </w:tabs>
        <w:spacing w:line="360" w:lineRule="auto"/>
        <w:rPr>
          <w:b/>
          <w:sz w:val="22"/>
          <w:szCs w:val="22"/>
        </w:rPr>
      </w:pPr>
      <w:r>
        <w:fldChar w:fldCharType="begin"/>
      </w:r>
      <w:r>
        <w:instrText xml:space="preserve"> HYPERLINK \l "_Toc15925" </w:instrText>
      </w:r>
      <w:r>
        <w:fldChar w:fldCharType="separate"/>
      </w:r>
      <w:r>
        <w:rPr>
          <w:rFonts w:hint="eastAsia" w:hAnsi="宋体" w:cs="宋体"/>
          <w:b/>
          <w:sz w:val="22"/>
          <w:szCs w:val="40"/>
        </w:rPr>
        <w:t>第一章 投标邀请</w:t>
      </w:r>
      <w:r>
        <w:rPr>
          <w:b/>
          <w:sz w:val="22"/>
          <w:szCs w:val="22"/>
        </w:rPr>
        <w:tab/>
      </w:r>
      <w:r>
        <w:rPr>
          <w:b/>
          <w:sz w:val="22"/>
          <w:szCs w:val="22"/>
        </w:rPr>
        <w:fldChar w:fldCharType="begin"/>
      </w:r>
      <w:r>
        <w:rPr>
          <w:b/>
          <w:sz w:val="22"/>
          <w:szCs w:val="22"/>
        </w:rPr>
        <w:instrText xml:space="preserve"> PAGEREF _Toc15925 \h </w:instrText>
      </w:r>
      <w:r>
        <w:rPr>
          <w:b/>
          <w:sz w:val="22"/>
          <w:szCs w:val="22"/>
        </w:rPr>
        <w:fldChar w:fldCharType="separate"/>
      </w:r>
      <w:r>
        <w:rPr>
          <w:b/>
          <w:sz w:val="22"/>
          <w:szCs w:val="22"/>
        </w:rPr>
        <w:t>7</w:t>
      </w:r>
      <w:r>
        <w:rPr>
          <w:b/>
          <w:sz w:val="22"/>
          <w:szCs w:val="22"/>
        </w:rPr>
        <w:fldChar w:fldCharType="end"/>
      </w:r>
      <w:r>
        <w:rPr>
          <w:b/>
          <w:sz w:val="22"/>
          <w:szCs w:val="22"/>
        </w:rPr>
        <w:fldChar w:fldCharType="end"/>
      </w:r>
    </w:p>
    <w:p w14:paraId="62E7C7A3">
      <w:pPr>
        <w:pStyle w:val="100"/>
        <w:tabs>
          <w:tab w:val="right" w:leader="dot" w:pos="10466"/>
        </w:tabs>
        <w:spacing w:line="360" w:lineRule="auto"/>
        <w:ind w:leftChars="0"/>
        <w:rPr>
          <w:sz w:val="22"/>
          <w:szCs w:val="22"/>
        </w:rPr>
      </w:pPr>
      <w:r>
        <w:rPr>
          <w:rFonts w:hint="eastAsia" w:ascii="宋体" w:hAnsi="宋体" w:cs="宋体"/>
          <w:b/>
          <w:bCs/>
          <w:sz w:val="22"/>
          <w:szCs w:val="52"/>
        </w:rPr>
        <w:t xml:space="preserve">第二章 </w:t>
      </w:r>
      <w:r>
        <w:fldChar w:fldCharType="begin"/>
      </w:r>
      <w:r>
        <w:instrText xml:space="preserve"> HYPERLINK \l "_Toc19654" </w:instrText>
      </w:r>
      <w:r>
        <w:fldChar w:fldCharType="separate"/>
      </w:r>
      <w:r>
        <w:rPr>
          <w:rFonts w:hint="eastAsia" w:ascii="宋体" w:hAnsi="宋体" w:cs="宋体"/>
          <w:b/>
          <w:bCs/>
          <w:sz w:val="22"/>
          <w:szCs w:val="36"/>
        </w:rPr>
        <w:t>投标须知前附表</w:t>
      </w:r>
      <w:r>
        <w:rPr>
          <w:b/>
          <w:bCs/>
          <w:sz w:val="22"/>
          <w:szCs w:val="22"/>
        </w:rPr>
        <w:tab/>
      </w:r>
      <w:r>
        <w:rPr>
          <w:b/>
          <w:bCs/>
          <w:sz w:val="22"/>
          <w:szCs w:val="22"/>
        </w:rPr>
        <w:fldChar w:fldCharType="begin"/>
      </w:r>
      <w:r>
        <w:rPr>
          <w:b/>
          <w:bCs/>
          <w:sz w:val="22"/>
          <w:szCs w:val="22"/>
        </w:rPr>
        <w:instrText xml:space="preserve"> PAGEREF _Toc19654 \h </w:instrText>
      </w:r>
      <w:r>
        <w:rPr>
          <w:b/>
          <w:bCs/>
          <w:sz w:val="22"/>
          <w:szCs w:val="22"/>
        </w:rPr>
        <w:fldChar w:fldCharType="separate"/>
      </w:r>
      <w:r>
        <w:rPr>
          <w:b/>
          <w:bCs/>
          <w:sz w:val="22"/>
          <w:szCs w:val="22"/>
        </w:rPr>
        <w:t>12</w:t>
      </w:r>
      <w:r>
        <w:rPr>
          <w:b/>
          <w:bCs/>
          <w:sz w:val="22"/>
          <w:szCs w:val="22"/>
        </w:rPr>
        <w:fldChar w:fldCharType="end"/>
      </w:r>
      <w:r>
        <w:rPr>
          <w:b/>
          <w:bCs/>
          <w:sz w:val="22"/>
          <w:szCs w:val="22"/>
        </w:rPr>
        <w:fldChar w:fldCharType="end"/>
      </w:r>
    </w:p>
    <w:p w14:paraId="17BE73D0">
      <w:pPr>
        <w:pStyle w:val="127"/>
        <w:tabs>
          <w:tab w:val="right" w:leader="dot" w:pos="10466"/>
        </w:tabs>
        <w:spacing w:line="360" w:lineRule="auto"/>
        <w:rPr>
          <w:b/>
          <w:sz w:val="22"/>
          <w:szCs w:val="22"/>
        </w:rPr>
      </w:pPr>
      <w:r>
        <w:fldChar w:fldCharType="begin"/>
      </w:r>
      <w:r>
        <w:instrText xml:space="preserve"> HYPERLINK \l "_Toc29912" </w:instrText>
      </w:r>
      <w:r>
        <w:fldChar w:fldCharType="separate"/>
      </w:r>
      <w:r>
        <w:rPr>
          <w:rFonts w:hint="eastAsia" w:hAnsi="宋体" w:cs="宋体"/>
          <w:b/>
          <w:sz w:val="22"/>
          <w:szCs w:val="40"/>
        </w:rPr>
        <w:t>第三章 评标方法及标准（综合评分法）</w:t>
      </w:r>
      <w:r>
        <w:rPr>
          <w:b/>
          <w:sz w:val="22"/>
          <w:szCs w:val="22"/>
        </w:rPr>
        <w:tab/>
      </w:r>
      <w:r>
        <w:rPr>
          <w:b/>
          <w:sz w:val="22"/>
          <w:szCs w:val="22"/>
        </w:rPr>
        <w:fldChar w:fldCharType="begin"/>
      </w:r>
      <w:r>
        <w:rPr>
          <w:b/>
          <w:sz w:val="22"/>
          <w:szCs w:val="22"/>
        </w:rPr>
        <w:instrText xml:space="preserve"> PAGEREF _Toc29912 \h </w:instrText>
      </w:r>
      <w:r>
        <w:rPr>
          <w:b/>
          <w:sz w:val="22"/>
          <w:szCs w:val="22"/>
        </w:rPr>
        <w:fldChar w:fldCharType="separate"/>
      </w:r>
      <w:r>
        <w:rPr>
          <w:b/>
          <w:sz w:val="22"/>
          <w:szCs w:val="22"/>
        </w:rPr>
        <w:t>32</w:t>
      </w:r>
      <w:r>
        <w:rPr>
          <w:b/>
          <w:sz w:val="22"/>
          <w:szCs w:val="22"/>
        </w:rPr>
        <w:fldChar w:fldCharType="end"/>
      </w:r>
      <w:r>
        <w:rPr>
          <w:b/>
          <w:sz w:val="22"/>
          <w:szCs w:val="22"/>
        </w:rPr>
        <w:fldChar w:fldCharType="end"/>
      </w:r>
    </w:p>
    <w:p w14:paraId="49CEFA70">
      <w:pPr>
        <w:pStyle w:val="127"/>
        <w:tabs>
          <w:tab w:val="right" w:leader="dot" w:pos="10466"/>
        </w:tabs>
        <w:spacing w:line="360" w:lineRule="auto"/>
        <w:rPr>
          <w:b/>
          <w:sz w:val="22"/>
          <w:szCs w:val="22"/>
        </w:rPr>
      </w:pPr>
      <w:r>
        <w:fldChar w:fldCharType="begin"/>
      </w:r>
      <w:r>
        <w:instrText xml:space="preserve"> HYPERLINK \l "_Toc25043" </w:instrText>
      </w:r>
      <w:r>
        <w:fldChar w:fldCharType="separate"/>
      </w:r>
      <w:r>
        <w:rPr>
          <w:rFonts w:hint="eastAsia" w:ascii="宋体" w:hAnsi="宋体" w:cs="宋体"/>
          <w:b/>
          <w:sz w:val="22"/>
          <w:szCs w:val="36"/>
        </w:rPr>
        <w:t>第四章 技术规格、参数与要求</w:t>
      </w:r>
      <w:r>
        <w:rPr>
          <w:b/>
          <w:sz w:val="22"/>
          <w:szCs w:val="22"/>
        </w:rPr>
        <w:tab/>
      </w:r>
      <w:r>
        <w:rPr>
          <w:b/>
          <w:sz w:val="22"/>
          <w:szCs w:val="22"/>
        </w:rPr>
        <w:fldChar w:fldCharType="begin"/>
      </w:r>
      <w:r>
        <w:rPr>
          <w:b/>
          <w:sz w:val="22"/>
          <w:szCs w:val="22"/>
        </w:rPr>
        <w:instrText xml:space="preserve"> PAGEREF _Toc25043 \h </w:instrText>
      </w:r>
      <w:r>
        <w:rPr>
          <w:b/>
          <w:sz w:val="22"/>
          <w:szCs w:val="22"/>
        </w:rPr>
        <w:fldChar w:fldCharType="separate"/>
      </w:r>
      <w:r>
        <w:rPr>
          <w:b/>
          <w:sz w:val="22"/>
          <w:szCs w:val="22"/>
        </w:rPr>
        <w:t>42</w:t>
      </w:r>
      <w:r>
        <w:rPr>
          <w:b/>
          <w:sz w:val="22"/>
          <w:szCs w:val="22"/>
        </w:rPr>
        <w:fldChar w:fldCharType="end"/>
      </w:r>
      <w:r>
        <w:rPr>
          <w:b/>
          <w:sz w:val="22"/>
          <w:szCs w:val="22"/>
        </w:rPr>
        <w:fldChar w:fldCharType="end"/>
      </w:r>
    </w:p>
    <w:p w14:paraId="797B8F20">
      <w:pPr>
        <w:pStyle w:val="127"/>
        <w:tabs>
          <w:tab w:val="right" w:leader="dot" w:pos="10466"/>
        </w:tabs>
        <w:spacing w:line="360" w:lineRule="auto"/>
        <w:rPr>
          <w:b/>
          <w:sz w:val="22"/>
          <w:szCs w:val="22"/>
        </w:rPr>
      </w:pPr>
      <w:r>
        <w:fldChar w:fldCharType="begin"/>
      </w:r>
      <w:r>
        <w:instrText xml:space="preserve"> HYPERLINK \l "_Toc17632" </w:instrText>
      </w:r>
      <w:r>
        <w:fldChar w:fldCharType="separate"/>
      </w:r>
      <w:r>
        <w:rPr>
          <w:rFonts w:hint="eastAsia" w:ascii="宋体" w:hAnsi="宋体" w:cs="宋体"/>
          <w:b/>
          <w:sz w:val="22"/>
          <w:szCs w:val="40"/>
        </w:rPr>
        <w:t>第五章 政府采购合同</w:t>
      </w:r>
      <w:r>
        <w:rPr>
          <w:b/>
          <w:sz w:val="22"/>
          <w:szCs w:val="22"/>
        </w:rPr>
        <w:tab/>
      </w:r>
      <w:r>
        <w:rPr>
          <w:rFonts w:hint="eastAsia"/>
          <w:b/>
          <w:sz w:val="22"/>
          <w:szCs w:val="22"/>
        </w:rPr>
        <w:t>1</w:t>
      </w:r>
      <w:r>
        <w:rPr>
          <w:rFonts w:hint="eastAsia"/>
          <w:b/>
          <w:sz w:val="22"/>
          <w:szCs w:val="22"/>
        </w:rPr>
        <w:fldChar w:fldCharType="end"/>
      </w:r>
      <w:r>
        <w:rPr>
          <w:rFonts w:hint="eastAsia" w:ascii="宋体" w:hAnsi="宋体" w:cs="宋体"/>
          <w:b/>
          <w:sz w:val="22"/>
          <w:szCs w:val="52"/>
        </w:rPr>
        <w:t>07</w:t>
      </w:r>
    </w:p>
    <w:p w14:paraId="06EFB15D">
      <w:pPr>
        <w:pStyle w:val="127"/>
        <w:tabs>
          <w:tab w:val="right" w:leader="dot" w:pos="10466"/>
        </w:tabs>
        <w:spacing w:line="360" w:lineRule="auto"/>
        <w:rPr>
          <w:b/>
          <w:sz w:val="22"/>
          <w:szCs w:val="22"/>
        </w:rPr>
      </w:pPr>
      <w:r>
        <w:fldChar w:fldCharType="begin"/>
      </w:r>
      <w:r>
        <w:instrText xml:space="preserve"> HYPERLINK \l "_Toc88" </w:instrText>
      </w:r>
      <w:r>
        <w:fldChar w:fldCharType="separate"/>
      </w:r>
      <w:r>
        <w:rPr>
          <w:rFonts w:hint="eastAsia" w:hAnsi="宋体" w:cs="宋体"/>
          <w:b/>
          <w:sz w:val="22"/>
          <w:szCs w:val="40"/>
        </w:rPr>
        <w:t>第六章 投标文件的组成</w:t>
      </w:r>
      <w:r>
        <w:rPr>
          <w:b/>
          <w:sz w:val="22"/>
          <w:szCs w:val="22"/>
        </w:rPr>
        <w:tab/>
      </w:r>
      <w:r>
        <w:rPr>
          <w:rFonts w:hint="eastAsia"/>
          <w:b/>
          <w:sz w:val="22"/>
          <w:szCs w:val="22"/>
        </w:rPr>
        <w:t>1</w:t>
      </w:r>
      <w:r>
        <w:rPr>
          <w:rFonts w:hint="eastAsia"/>
          <w:b/>
          <w:sz w:val="22"/>
          <w:szCs w:val="22"/>
        </w:rPr>
        <w:fldChar w:fldCharType="end"/>
      </w:r>
      <w:r>
        <w:rPr>
          <w:rFonts w:hint="eastAsia" w:ascii="宋体" w:hAnsi="宋体" w:cs="宋体"/>
          <w:b/>
          <w:sz w:val="22"/>
          <w:szCs w:val="52"/>
        </w:rPr>
        <w:t>14</w:t>
      </w:r>
    </w:p>
    <w:p w14:paraId="09D04508">
      <w:pPr>
        <w:pStyle w:val="100"/>
        <w:tabs>
          <w:tab w:val="right" w:leader="dot" w:pos="10466"/>
        </w:tabs>
        <w:spacing w:line="360" w:lineRule="auto"/>
        <w:ind w:left="420"/>
        <w:rPr>
          <w:bCs/>
          <w:sz w:val="22"/>
          <w:szCs w:val="22"/>
        </w:rPr>
      </w:pPr>
      <w:r>
        <w:fldChar w:fldCharType="begin"/>
      </w:r>
      <w:r>
        <w:instrText xml:space="preserve"> HYPERLINK \l "_Toc26496" </w:instrText>
      </w:r>
      <w:r>
        <w:fldChar w:fldCharType="separate"/>
      </w:r>
      <w:r>
        <w:rPr>
          <w:rFonts w:hint="eastAsia" w:ascii="宋体" w:hAnsi="宋体" w:cs="宋体"/>
          <w:bCs/>
          <w:sz w:val="22"/>
          <w:szCs w:val="52"/>
        </w:rPr>
        <w:t xml:space="preserve">第一册 </w:t>
      </w:r>
      <w:r>
        <w:rPr>
          <w:rFonts w:hint="eastAsia" w:ascii="宋体" w:hAnsi="宋体" w:cs="宋体"/>
          <w:bCs/>
          <w:sz w:val="22"/>
          <w:szCs w:val="24"/>
        </w:rPr>
        <w:t>资格证明文件</w:t>
      </w:r>
      <w:r>
        <w:rPr>
          <w:bCs/>
          <w:sz w:val="22"/>
          <w:szCs w:val="22"/>
        </w:rPr>
        <w:tab/>
      </w:r>
      <w:r>
        <w:rPr>
          <w:rFonts w:hint="eastAsia"/>
          <w:bCs/>
          <w:sz w:val="22"/>
          <w:szCs w:val="22"/>
        </w:rPr>
        <w:t>1</w:t>
      </w:r>
      <w:r>
        <w:rPr>
          <w:rFonts w:hint="eastAsia"/>
          <w:bCs/>
          <w:sz w:val="22"/>
          <w:szCs w:val="22"/>
        </w:rPr>
        <w:fldChar w:fldCharType="end"/>
      </w:r>
      <w:r>
        <w:rPr>
          <w:rFonts w:hint="eastAsia" w:ascii="宋体" w:hAnsi="宋体" w:cs="宋体"/>
          <w:bCs/>
          <w:sz w:val="22"/>
          <w:szCs w:val="52"/>
        </w:rPr>
        <w:t>15</w:t>
      </w:r>
    </w:p>
    <w:p w14:paraId="3A8F674E">
      <w:pPr>
        <w:pStyle w:val="100"/>
        <w:tabs>
          <w:tab w:val="right" w:leader="dot" w:pos="10466"/>
        </w:tabs>
        <w:spacing w:line="360" w:lineRule="auto"/>
        <w:ind w:left="420"/>
        <w:rPr>
          <w:b/>
          <w:sz w:val="22"/>
          <w:szCs w:val="22"/>
        </w:rPr>
      </w:pPr>
      <w:r>
        <w:fldChar w:fldCharType="begin"/>
      </w:r>
      <w:r>
        <w:instrText xml:space="preserve"> HYPERLINK \l "_Toc28378" </w:instrText>
      </w:r>
      <w:r>
        <w:fldChar w:fldCharType="separate"/>
      </w:r>
      <w:r>
        <w:rPr>
          <w:rFonts w:hint="eastAsia" w:ascii="宋体" w:hAnsi="宋体" w:cs="宋体"/>
          <w:bCs/>
          <w:sz w:val="22"/>
          <w:szCs w:val="24"/>
        </w:rPr>
        <w:t xml:space="preserve">第二册 </w:t>
      </w:r>
      <w:r>
        <w:rPr>
          <w:rFonts w:hint="eastAsia" w:ascii="宋体" w:hAnsi="宋体" w:cs="宋体"/>
          <w:bCs/>
          <w:sz w:val="22"/>
          <w:szCs w:val="52"/>
        </w:rPr>
        <w:t>商务技术文件</w:t>
      </w:r>
      <w:r>
        <w:rPr>
          <w:bCs/>
          <w:sz w:val="22"/>
          <w:szCs w:val="22"/>
        </w:rPr>
        <w:tab/>
      </w:r>
      <w:r>
        <w:rPr>
          <w:rFonts w:hint="eastAsia"/>
          <w:bCs/>
          <w:sz w:val="22"/>
          <w:szCs w:val="22"/>
        </w:rPr>
        <w:t>1</w:t>
      </w:r>
      <w:r>
        <w:rPr>
          <w:rFonts w:hint="eastAsia"/>
          <w:bCs/>
          <w:sz w:val="22"/>
          <w:szCs w:val="22"/>
        </w:rPr>
        <w:fldChar w:fldCharType="end"/>
      </w:r>
      <w:r>
        <w:rPr>
          <w:rFonts w:hint="eastAsia" w:ascii="宋体" w:hAnsi="宋体" w:cs="宋体"/>
          <w:bCs/>
          <w:sz w:val="22"/>
          <w:szCs w:val="52"/>
        </w:rPr>
        <w:t>27</w:t>
      </w:r>
    </w:p>
    <w:p w14:paraId="6888D427">
      <w:pPr>
        <w:pStyle w:val="127"/>
        <w:tabs>
          <w:tab w:val="right" w:leader="dot" w:pos="10466"/>
        </w:tabs>
        <w:rPr>
          <w:b/>
        </w:rPr>
      </w:pPr>
    </w:p>
    <w:p w14:paraId="5ABD8E89">
      <w:pPr>
        <w:tabs>
          <w:tab w:val="center" w:pos="3454"/>
          <w:tab w:val="left" w:pos="6789"/>
        </w:tabs>
        <w:rPr>
          <w:rFonts w:ascii="宋体" w:hAnsi="宋体" w:cs="宋体"/>
          <w:b/>
          <w:sz w:val="44"/>
          <w:szCs w:val="44"/>
        </w:rPr>
        <w:sectPr>
          <w:headerReference r:id="rId4" w:type="default"/>
          <w:footerReference r:id="rId5" w:type="default"/>
          <w:pgSz w:w="11906" w:h="16838"/>
          <w:pgMar w:top="720" w:right="720" w:bottom="720" w:left="720" w:header="709" w:footer="992" w:gutter="0"/>
          <w:pgBorders>
            <w:top w:val="none" w:sz="0" w:space="0"/>
            <w:left w:val="none" w:sz="0" w:space="0"/>
            <w:bottom w:val="none" w:sz="0" w:space="0"/>
            <w:right w:val="none" w:sz="0" w:space="0"/>
          </w:pgBorders>
          <w:pgNumType w:start="1"/>
          <w:cols w:space="0" w:num="1"/>
          <w:docGrid w:type="lines" w:linePitch="312" w:charSpace="0"/>
        </w:sectPr>
      </w:pPr>
      <w:r>
        <w:rPr>
          <w:rFonts w:hint="eastAsia" w:ascii="宋体" w:hAnsi="宋体" w:cs="宋体"/>
          <w:b/>
          <w:szCs w:val="44"/>
        </w:rPr>
        <w:fldChar w:fldCharType="end"/>
      </w:r>
    </w:p>
    <w:p w14:paraId="7C19F0F5">
      <w:pPr>
        <w:jc w:val="center"/>
        <w:outlineLvl w:val="0"/>
        <w:rPr>
          <w:rFonts w:ascii="宋体" w:hAnsi="宋体" w:cs="宋体"/>
          <w:b/>
          <w:sz w:val="44"/>
          <w:szCs w:val="44"/>
        </w:rPr>
      </w:pPr>
      <w:bookmarkStart w:id="2" w:name="_Toc362"/>
      <w:r>
        <w:rPr>
          <w:rFonts w:hint="eastAsia" w:ascii="宋体" w:hAnsi="宋体" w:cs="宋体"/>
          <w:b/>
          <w:sz w:val="44"/>
          <w:szCs w:val="44"/>
        </w:rPr>
        <w:t>关键信息</w:t>
      </w:r>
      <w:bookmarkEnd w:id="0"/>
      <w:bookmarkEnd w:id="1"/>
      <w:bookmarkEnd w:id="2"/>
    </w:p>
    <w:p w14:paraId="1D8E34C0">
      <w:pPr>
        <w:jc w:val="center"/>
        <w:outlineLvl w:val="0"/>
        <w:rPr>
          <w:rFonts w:ascii="宋体" w:hAnsi="宋体" w:cs="宋体"/>
          <w:b/>
          <w:sz w:val="32"/>
          <w:szCs w:val="32"/>
        </w:rPr>
      </w:pPr>
      <w:bookmarkStart w:id="3" w:name="_Toc12259"/>
      <w:r>
        <w:rPr>
          <w:rFonts w:hint="eastAsia" w:ascii="宋体" w:hAnsi="宋体" w:cs="宋体"/>
          <w:b/>
          <w:sz w:val="32"/>
          <w:szCs w:val="32"/>
        </w:rPr>
        <w:t>一、资格性审查</w:t>
      </w:r>
      <w:bookmarkEnd w:id="3"/>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9919"/>
      </w:tblGrid>
      <w:tr w14:paraId="202C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63" w:type="dxa"/>
            <w:noWrap/>
            <w:vAlign w:val="center"/>
          </w:tcPr>
          <w:p w14:paraId="730A9A87">
            <w:pPr>
              <w:adjustRightInd w:val="0"/>
              <w:snapToGrid w:val="0"/>
              <w:spacing w:line="360" w:lineRule="auto"/>
              <w:jc w:val="center"/>
              <w:rPr>
                <w:rFonts w:ascii="宋体" w:hAnsi="宋体" w:cs="宋体"/>
                <w:sz w:val="20"/>
                <w:szCs w:val="20"/>
              </w:rPr>
            </w:pPr>
            <w:bookmarkStart w:id="4" w:name="_Toc13306"/>
            <w:bookmarkStart w:id="5" w:name="_Toc27488"/>
            <w:r>
              <w:rPr>
                <w:rFonts w:hint="eastAsia" w:ascii="宋体" w:hAnsi="宋体" w:cs="宋体"/>
                <w:sz w:val="20"/>
                <w:szCs w:val="20"/>
              </w:rPr>
              <w:t>序号</w:t>
            </w:r>
          </w:p>
        </w:tc>
        <w:tc>
          <w:tcPr>
            <w:tcW w:w="9919" w:type="dxa"/>
            <w:noWrap/>
            <w:vAlign w:val="center"/>
          </w:tcPr>
          <w:p w14:paraId="5AF5E71B">
            <w:pPr>
              <w:adjustRightInd w:val="0"/>
              <w:snapToGrid w:val="0"/>
              <w:spacing w:line="360" w:lineRule="auto"/>
              <w:jc w:val="center"/>
              <w:rPr>
                <w:rFonts w:ascii="宋体" w:hAnsi="宋体" w:cs="宋体"/>
                <w:sz w:val="20"/>
                <w:szCs w:val="20"/>
              </w:rPr>
            </w:pPr>
            <w:r>
              <w:rPr>
                <w:rFonts w:hint="eastAsia" w:ascii="宋体" w:hAnsi="宋体" w:cs="宋体"/>
                <w:sz w:val="20"/>
                <w:szCs w:val="20"/>
              </w:rPr>
              <w:t>审查情况</w:t>
            </w:r>
          </w:p>
        </w:tc>
      </w:tr>
      <w:tr w14:paraId="79A3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ign w:val="center"/>
          </w:tcPr>
          <w:p w14:paraId="3D181075">
            <w:pPr>
              <w:adjustRightInd w:val="0"/>
              <w:snapToGrid w:val="0"/>
              <w:spacing w:line="330" w:lineRule="exact"/>
              <w:jc w:val="center"/>
              <w:rPr>
                <w:rFonts w:ascii="宋体" w:hAnsi="宋体" w:cs="宋体"/>
                <w:sz w:val="20"/>
                <w:szCs w:val="20"/>
              </w:rPr>
            </w:pPr>
            <w:r>
              <w:rPr>
                <w:rFonts w:hint="eastAsia" w:ascii="宋体" w:hAnsi="宋体"/>
                <w:sz w:val="18"/>
                <w:szCs w:val="18"/>
              </w:rPr>
              <w:t>1</w:t>
            </w:r>
          </w:p>
        </w:tc>
        <w:tc>
          <w:tcPr>
            <w:tcW w:w="9919" w:type="dxa"/>
            <w:noWrap/>
            <w:vAlign w:val="center"/>
          </w:tcPr>
          <w:p w14:paraId="2FFA784C">
            <w:pPr>
              <w:adjustRightInd w:val="0"/>
              <w:snapToGrid w:val="0"/>
              <w:spacing w:line="330" w:lineRule="exact"/>
              <w:rPr>
                <w:rFonts w:ascii="宋体" w:hAnsi="宋体" w:cs="宋体"/>
                <w:sz w:val="20"/>
                <w:szCs w:val="20"/>
              </w:rPr>
            </w:pPr>
            <w:r>
              <w:rPr>
                <w:rFonts w:hint="eastAsia" w:ascii="宋体" w:hAnsi="宋体"/>
                <w:sz w:val="18"/>
                <w:szCs w:val="18"/>
              </w:rPr>
              <w:t>法人提交企业法人营业执照副本(或者法人登记证书)以及组织机构代码证副本扫描件；</w:t>
            </w:r>
            <w:r>
              <w:rPr>
                <w:rFonts w:ascii="宋体" w:hAnsi="宋体"/>
                <w:sz w:val="18"/>
                <w:szCs w:val="18"/>
              </w:rPr>
              <w:t xml:space="preserve"> 投标人应当是具有独立承担民事责任能力的在中华人民共和国境内注册的法人、 其他组织或者自然人；（提供有效的营业执照或相关单位登记证书</w:t>
            </w:r>
            <w:r>
              <w:rPr>
                <w:rFonts w:hint="eastAsia" w:ascii="宋体" w:hAnsi="宋体"/>
                <w:sz w:val="18"/>
                <w:szCs w:val="18"/>
              </w:rPr>
              <w:t>扫描件</w:t>
            </w:r>
            <w:r>
              <w:rPr>
                <w:rFonts w:ascii="宋体" w:hAnsi="宋体"/>
                <w:sz w:val="18"/>
                <w:szCs w:val="18"/>
              </w:rPr>
              <w:t>（若法人或者其他组织投标的），自然人有效的身份证明</w:t>
            </w:r>
            <w:r>
              <w:rPr>
                <w:rFonts w:hint="eastAsia" w:ascii="宋体" w:hAnsi="宋体"/>
                <w:sz w:val="18"/>
                <w:szCs w:val="18"/>
              </w:rPr>
              <w:t>扫描件</w:t>
            </w:r>
            <w:r>
              <w:rPr>
                <w:rFonts w:ascii="宋体" w:hAnsi="宋体"/>
                <w:sz w:val="18"/>
                <w:szCs w:val="18"/>
              </w:rPr>
              <w:t>（若自然人投标的）。</w:t>
            </w:r>
          </w:p>
        </w:tc>
      </w:tr>
      <w:tr w14:paraId="1B05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63" w:type="dxa"/>
            <w:noWrap/>
            <w:vAlign w:val="center"/>
          </w:tcPr>
          <w:p w14:paraId="0F81510D">
            <w:pPr>
              <w:adjustRightInd w:val="0"/>
              <w:snapToGrid w:val="0"/>
              <w:spacing w:line="330" w:lineRule="exact"/>
              <w:jc w:val="center"/>
              <w:rPr>
                <w:rFonts w:ascii="宋体" w:hAnsi="宋体" w:cs="宋体"/>
                <w:sz w:val="20"/>
                <w:szCs w:val="20"/>
              </w:rPr>
            </w:pPr>
            <w:r>
              <w:rPr>
                <w:rFonts w:hint="eastAsia" w:ascii="宋体" w:hAnsi="宋体"/>
                <w:sz w:val="18"/>
                <w:szCs w:val="18"/>
              </w:rPr>
              <w:t>2</w:t>
            </w:r>
          </w:p>
        </w:tc>
        <w:tc>
          <w:tcPr>
            <w:tcW w:w="9919" w:type="dxa"/>
            <w:noWrap/>
            <w:vAlign w:val="center"/>
          </w:tcPr>
          <w:p w14:paraId="71FF0BB0">
            <w:pPr>
              <w:adjustRightInd w:val="0"/>
              <w:snapToGrid w:val="0"/>
              <w:spacing w:line="330" w:lineRule="exact"/>
              <w:rPr>
                <w:rFonts w:ascii="宋体" w:hAnsi="宋体"/>
                <w:sz w:val="18"/>
                <w:szCs w:val="18"/>
              </w:rPr>
            </w:pPr>
            <w:r>
              <w:rPr>
                <w:rFonts w:hint="eastAsia" w:ascii="宋体" w:hAnsi="宋体"/>
                <w:sz w:val="18"/>
                <w:szCs w:val="18"/>
              </w:rPr>
              <w:t>依法缴纳税收和社会保险费的证明材料,各上传下列材料之一:</w:t>
            </w:r>
          </w:p>
          <w:p w14:paraId="58CFC5A8">
            <w:pPr>
              <w:adjustRightInd w:val="0"/>
              <w:snapToGrid w:val="0"/>
              <w:spacing w:line="330" w:lineRule="exact"/>
              <w:rPr>
                <w:rFonts w:ascii="宋体" w:hAnsi="宋体"/>
                <w:sz w:val="18"/>
                <w:szCs w:val="18"/>
              </w:rPr>
            </w:pPr>
            <w:r>
              <w:rPr>
                <w:rFonts w:hint="eastAsia" w:ascii="宋体" w:hAnsi="宋体"/>
                <w:sz w:val="18"/>
                <w:szCs w:val="18"/>
              </w:rPr>
              <w:t>①缴纳税收证明资料:近三个月内任意一个月依法缴纳税收的证明（纳税凭证扫描件），或者委托他人缴纳的委托代办协议和近三个月内任意一个月的缴纳证明（收据扫描件），或者法定征收机关出具的依法免缴税收的证明扫描件，或湖南省政府采购供应商资格承诺函扫描件</w:t>
            </w:r>
            <w:r>
              <w:rPr>
                <w:rFonts w:hint="eastAsia" w:ascii="宋体" w:hAnsi="宋体" w:cs="宋体"/>
                <w:sz w:val="18"/>
                <w:szCs w:val="18"/>
              </w:rPr>
              <w:t>。</w:t>
            </w:r>
          </w:p>
          <w:p w14:paraId="639F560E">
            <w:pPr>
              <w:adjustRightInd w:val="0"/>
              <w:snapToGrid w:val="0"/>
              <w:spacing w:line="330" w:lineRule="exact"/>
            </w:pPr>
            <w:r>
              <w:rPr>
                <w:rFonts w:hint="eastAsia" w:ascii="宋体" w:hAnsi="宋体"/>
                <w:sz w:val="18"/>
                <w:szCs w:val="18"/>
              </w:rPr>
              <w:t>②缴纳社会保险证明资料：近三个月内任意一个月依法缴纳社会保险的证明（缴费凭证扫描件），或者委托他人缴纳的委托代办协议和近三个月内任意一个月的缴纳证明（收据扫描件），或者法定征收机关出具的依法免缴保险费的证明扫描件，或湖南省政府采购供应商资格承诺函扫描件。</w:t>
            </w:r>
          </w:p>
        </w:tc>
      </w:tr>
      <w:tr w14:paraId="02EC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63" w:type="dxa"/>
            <w:tcBorders>
              <w:bottom w:val="single" w:color="auto" w:sz="6" w:space="0"/>
            </w:tcBorders>
            <w:noWrap/>
            <w:vAlign w:val="center"/>
          </w:tcPr>
          <w:p w14:paraId="07D94A88">
            <w:pPr>
              <w:adjustRightInd w:val="0"/>
              <w:snapToGrid w:val="0"/>
              <w:spacing w:line="330" w:lineRule="exact"/>
              <w:jc w:val="center"/>
              <w:rPr>
                <w:rFonts w:ascii="宋体" w:hAnsi="宋体" w:cs="宋体"/>
                <w:sz w:val="20"/>
                <w:szCs w:val="20"/>
              </w:rPr>
            </w:pPr>
            <w:r>
              <w:rPr>
                <w:rFonts w:hint="eastAsia" w:ascii="宋体" w:hAnsi="宋体"/>
                <w:sz w:val="18"/>
                <w:szCs w:val="18"/>
              </w:rPr>
              <w:t>3</w:t>
            </w:r>
          </w:p>
        </w:tc>
        <w:tc>
          <w:tcPr>
            <w:tcW w:w="9919" w:type="dxa"/>
            <w:noWrap/>
            <w:vAlign w:val="center"/>
          </w:tcPr>
          <w:p w14:paraId="22A85E1E">
            <w:pPr>
              <w:adjustRightInd w:val="0"/>
              <w:snapToGrid w:val="0"/>
              <w:spacing w:line="330" w:lineRule="exact"/>
              <w:rPr>
                <w:rFonts w:ascii="宋体" w:hAnsi="宋体" w:cs="宋体"/>
                <w:sz w:val="20"/>
                <w:szCs w:val="20"/>
              </w:rPr>
            </w:pPr>
            <w:bookmarkStart w:id="6" w:name="S_2_4"/>
            <w:bookmarkEnd w:id="6"/>
            <w:r>
              <w:rPr>
                <w:rFonts w:hint="eastAsia" w:ascii="宋体" w:hAnsi="宋体"/>
                <w:sz w:val="18"/>
                <w:szCs w:val="18"/>
              </w:rPr>
              <w:t>法人提交法定代表人身份证明扫描件或者法定代表人授权委托书扫描件以及被授权代表人在投标单位或投标单位依法登记的分支机构近三个月内任意一个月的社保证明并附法定代表人身份证明扫描件，自然人提交身份证扫描件。</w:t>
            </w:r>
          </w:p>
        </w:tc>
      </w:tr>
      <w:tr w14:paraId="209F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tcBorders>
              <w:bottom w:val="single" w:color="auto" w:sz="6" w:space="0"/>
            </w:tcBorders>
            <w:noWrap/>
            <w:vAlign w:val="center"/>
          </w:tcPr>
          <w:p w14:paraId="63B7C5E5">
            <w:pPr>
              <w:adjustRightInd w:val="0"/>
              <w:snapToGrid w:val="0"/>
              <w:spacing w:line="330" w:lineRule="exact"/>
              <w:jc w:val="center"/>
              <w:rPr>
                <w:rFonts w:ascii="宋体" w:hAnsi="宋体" w:cs="宋体"/>
                <w:sz w:val="20"/>
                <w:szCs w:val="20"/>
              </w:rPr>
            </w:pPr>
            <w:r>
              <w:rPr>
                <w:rFonts w:hint="eastAsia" w:ascii="宋体" w:hAnsi="宋体" w:cs="宋体"/>
                <w:sz w:val="20"/>
                <w:szCs w:val="20"/>
              </w:rPr>
              <w:t>4</w:t>
            </w:r>
          </w:p>
        </w:tc>
        <w:tc>
          <w:tcPr>
            <w:tcW w:w="9919" w:type="dxa"/>
            <w:noWrap/>
            <w:vAlign w:val="center"/>
          </w:tcPr>
          <w:p w14:paraId="1644D8A5">
            <w:pPr>
              <w:adjustRightInd w:val="0"/>
              <w:snapToGrid w:val="0"/>
              <w:spacing w:line="330" w:lineRule="exact"/>
              <w:rPr>
                <w:rFonts w:ascii="宋体" w:hAnsi="宋体" w:cs="宋体"/>
                <w:sz w:val="20"/>
                <w:szCs w:val="20"/>
              </w:rPr>
            </w:pPr>
            <w:r>
              <w:rPr>
                <w:rFonts w:hint="eastAsia" w:ascii="宋体" w:hAnsi="宋体"/>
                <w:sz w:val="18"/>
                <w:szCs w:val="18"/>
              </w:rPr>
              <w:t>其他说明。(非法人组织参与投标需提供的相关证明材料)。</w:t>
            </w:r>
          </w:p>
        </w:tc>
      </w:tr>
      <w:tr w14:paraId="570B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tcBorders>
              <w:bottom w:val="single" w:color="auto" w:sz="6" w:space="0"/>
            </w:tcBorders>
            <w:noWrap/>
            <w:vAlign w:val="center"/>
          </w:tcPr>
          <w:p w14:paraId="09B237C0">
            <w:pPr>
              <w:adjustRightInd w:val="0"/>
              <w:snapToGrid w:val="0"/>
              <w:spacing w:line="330" w:lineRule="exact"/>
              <w:jc w:val="center"/>
              <w:rPr>
                <w:rFonts w:ascii="宋体" w:hAnsi="宋体" w:cs="宋体"/>
                <w:sz w:val="20"/>
                <w:szCs w:val="20"/>
              </w:rPr>
            </w:pPr>
            <w:r>
              <w:rPr>
                <w:rFonts w:hint="eastAsia" w:ascii="宋体" w:hAnsi="宋体"/>
                <w:sz w:val="18"/>
                <w:szCs w:val="18"/>
              </w:rPr>
              <w:t>5</w:t>
            </w:r>
          </w:p>
        </w:tc>
        <w:tc>
          <w:tcPr>
            <w:tcW w:w="9919" w:type="dxa"/>
            <w:noWrap/>
            <w:vAlign w:val="center"/>
          </w:tcPr>
          <w:p w14:paraId="4EB9D5D8">
            <w:pPr>
              <w:adjustRightInd w:val="0"/>
              <w:snapToGrid w:val="0"/>
              <w:spacing w:line="330" w:lineRule="exact"/>
              <w:rPr>
                <w:rFonts w:ascii="宋体" w:hAnsi="宋体" w:cs="宋体"/>
                <w:sz w:val="20"/>
                <w:szCs w:val="20"/>
              </w:rPr>
            </w:pPr>
            <w:r>
              <w:rPr>
                <w:rFonts w:hint="eastAsia" w:ascii="宋体" w:hAnsi="宋体"/>
                <w:sz w:val="18"/>
                <w:szCs w:val="18"/>
              </w:rPr>
              <w:t>信用记录查询情况</w:t>
            </w:r>
            <w:r>
              <w:rPr>
                <w:rFonts w:hint="eastAsia" w:ascii="宋体" w:hAnsi="宋体" w:cs="宋体"/>
                <w:kern w:val="0"/>
                <w:sz w:val="18"/>
                <w:szCs w:val="18"/>
              </w:rPr>
              <w:t>（投标人提供在信用中国网站（www.creditchina.gov.cn）或湖南信用网（www.hncredit.gov.cn）</w:t>
            </w:r>
            <w:r>
              <w:rPr>
                <w:rFonts w:hint="eastAsia" w:ascii="宋体" w:hAnsi="宋体" w:cs="宋体"/>
                <w:kern w:val="0"/>
                <w:sz w:val="18"/>
                <w:szCs w:val="18"/>
                <w:lang w:eastAsia="zh-CN"/>
              </w:rPr>
              <w:t>、</w:t>
            </w:r>
            <w:r>
              <w:rPr>
                <w:rFonts w:hint="eastAsia" w:ascii="宋体" w:hAnsi="宋体" w:cs="宋体"/>
                <w:kern w:val="0"/>
                <w:sz w:val="18"/>
                <w:szCs w:val="18"/>
              </w:rPr>
              <w:t>中国政府采购网（www.ccgp.gov.cn）或湖南省政府采购网（www.ccgp-hunan.gov.cn）上信用记录查询网上截图并加盖单位公章）</w:t>
            </w:r>
          </w:p>
        </w:tc>
      </w:tr>
      <w:tr w14:paraId="1E41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763" w:type="dxa"/>
            <w:tcBorders>
              <w:top w:val="single" w:color="auto" w:sz="6" w:space="0"/>
              <w:left w:val="single" w:color="auto" w:sz="6" w:space="0"/>
              <w:bottom w:val="single" w:color="auto" w:sz="6" w:space="0"/>
              <w:right w:val="single" w:color="auto" w:sz="6" w:space="0"/>
            </w:tcBorders>
            <w:noWrap/>
            <w:vAlign w:val="center"/>
          </w:tcPr>
          <w:p w14:paraId="604C3781">
            <w:pPr>
              <w:adjustRightInd w:val="0"/>
              <w:snapToGrid w:val="0"/>
              <w:spacing w:line="330" w:lineRule="exact"/>
              <w:jc w:val="center"/>
              <w:rPr>
                <w:rFonts w:ascii="宋体" w:hAnsi="宋体" w:cs="宋体"/>
                <w:sz w:val="20"/>
                <w:szCs w:val="20"/>
              </w:rPr>
            </w:pPr>
            <w:r>
              <w:rPr>
                <w:rFonts w:hint="eastAsia" w:ascii="宋体" w:hAnsi="宋体"/>
                <w:sz w:val="18"/>
                <w:szCs w:val="18"/>
              </w:rPr>
              <w:t>6</w:t>
            </w:r>
          </w:p>
        </w:tc>
        <w:tc>
          <w:tcPr>
            <w:tcW w:w="9919" w:type="dxa"/>
            <w:tcBorders>
              <w:left w:val="single" w:color="auto" w:sz="6" w:space="0"/>
            </w:tcBorders>
            <w:noWrap/>
            <w:vAlign w:val="center"/>
          </w:tcPr>
          <w:p w14:paraId="18FD9383">
            <w:pPr>
              <w:adjustRightInd w:val="0"/>
              <w:snapToGrid w:val="0"/>
              <w:spacing w:line="330" w:lineRule="exact"/>
              <w:rPr>
                <w:rFonts w:ascii="宋体" w:hAnsi="宋体" w:cs="宋体"/>
                <w:sz w:val="20"/>
                <w:szCs w:val="20"/>
              </w:rPr>
            </w:pPr>
            <w:r>
              <w:rPr>
                <w:rFonts w:hint="eastAsia" w:ascii="宋体" w:hAnsi="宋体"/>
                <w:sz w:val="18"/>
                <w:szCs w:val="18"/>
              </w:rPr>
              <w:t>保证金缴纳情况（本项目不缴纳保证金）</w:t>
            </w:r>
          </w:p>
        </w:tc>
      </w:tr>
      <w:tr w14:paraId="0D69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63" w:type="dxa"/>
            <w:tcBorders>
              <w:top w:val="single" w:color="auto" w:sz="6" w:space="0"/>
              <w:left w:val="single" w:color="auto" w:sz="6" w:space="0"/>
              <w:bottom w:val="single" w:color="auto" w:sz="6" w:space="0"/>
              <w:right w:val="single" w:color="auto" w:sz="6" w:space="0"/>
            </w:tcBorders>
            <w:noWrap/>
            <w:vAlign w:val="center"/>
          </w:tcPr>
          <w:p w14:paraId="1F886170">
            <w:pPr>
              <w:adjustRightInd w:val="0"/>
              <w:snapToGrid w:val="0"/>
              <w:spacing w:line="330" w:lineRule="exact"/>
              <w:jc w:val="center"/>
              <w:rPr>
                <w:rFonts w:ascii="宋体" w:hAnsi="宋体" w:cs="宋体"/>
                <w:sz w:val="20"/>
                <w:szCs w:val="20"/>
              </w:rPr>
            </w:pPr>
            <w:r>
              <w:rPr>
                <w:rFonts w:hint="eastAsia" w:ascii="宋体" w:hAnsi="宋体"/>
                <w:sz w:val="18"/>
                <w:szCs w:val="18"/>
              </w:rPr>
              <w:t>7</w:t>
            </w:r>
          </w:p>
        </w:tc>
        <w:tc>
          <w:tcPr>
            <w:tcW w:w="9919" w:type="dxa"/>
            <w:tcBorders>
              <w:left w:val="single" w:color="auto" w:sz="6" w:space="0"/>
            </w:tcBorders>
            <w:noWrap/>
            <w:vAlign w:val="center"/>
          </w:tcPr>
          <w:p w14:paraId="05F09247">
            <w:pPr>
              <w:adjustRightInd w:val="0"/>
              <w:snapToGrid w:val="0"/>
              <w:spacing w:line="330" w:lineRule="exact"/>
              <w:rPr>
                <w:rFonts w:ascii="宋体" w:hAnsi="宋体" w:cs="宋体"/>
                <w:sz w:val="20"/>
                <w:szCs w:val="20"/>
              </w:rPr>
            </w:pPr>
            <w:r>
              <w:rPr>
                <w:rFonts w:hint="eastAsia" w:ascii="宋体" w:hAnsi="宋体"/>
                <w:sz w:val="18"/>
                <w:szCs w:val="18"/>
              </w:rPr>
              <w:t>具有履行本项目采购合同所必须的设备和专业技术能力证明材料或承诺（具体根据项目采购需求）</w:t>
            </w:r>
          </w:p>
        </w:tc>
      </w:tr>
      <w:tr w14:paraId="2F66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63" w:type="dxa"/>
            <w:tcBorders>
              <w:top w:val="single" w:color="auto" w:sz="6" w:space="0"/>
              <w:left w:val="single" w:color="auto" w:sz="6" w:space="0"/>
              <w:bottom w:val="single" w:color="auto" w:sz="6" w:space="0"/>
              <w:right w:val="single" w:color="auto" w:sz="6" w:space="0"/>
            </w:tcBorders>
            <w:noWrap/>
            <w:vAlign w:val="center"/>
          </w:tcPr>
          <w:p w14:paraId="1C1C5720">
            <w:pPr>
              <w:adjustRightInd w:val="0"/>
              <w:snapToGrid w:val="0"/>
              <w:spacing w:line="330" w:lineRule="exact"/>
              <w:jc w:val="center"/>
              <w:rPr>
                <w:rFonts w:ascii="宋体" w:hAnsi="宋体"/>
                <w:sz w:val="18"/>
                <w:szCs w:val="18"/>
              </w:rPr>
            </w:pPr>
            <w:r>
              <w:rPr>
                <w:rFonts w:hint="eastAsia" w:ascii="宋体" w:hAnsi="宋体"/>
                <w:sz w:val="18"/>
                <w:szCs w:val="18"/>
              </w:rPr>
              <w:t>8</w:t>
            </w:r>
          </w:p>
        </w:tc>
        <w:tc>
          <w:tcPr>
            <w:tcW w:w="9919" w:type="dxa"/>
            <w:tcBorders>
              <w:left w:val="single" w:color="auto" w:sz="6" w:space="0"/>
            </w:tcBorders>
            <w:noWrap/>
            <w:vAlign w:val="center"/>
          </w:tcPr>
          <w:p w14:paraId="4C1407C8">
            <w:pPr>
              <w:adjustRightInd w:val="0"/>
              <w:snapToGrid w:val="0"/>
              <w:spacing w:line="330" w:lineRule="exact"/>
              <w:rPr>
                <w:rFonts w:ascii="宋体" w:hAnsi="宋体"/>
                <w:sz w:val="18"/>
                <w:szCs w:val="18"/>
              </w:rPr>
            </w:pPr>
            <w:r>
              <w:rPr>
                <w:rFonts w:hint="eastAsia" w:ascii="宋体" w:hAnsi="宋体"/>
                <w:sz w:val="18"/>
                <w:szCs w:val="18"/>
              </w:rPr>
              <w:t>特定资格条件：</w:t>
            </w:r>
            <w:r>
              <w:rPr>
                <w:rFonts w:hint="eastAsia" w:ascii="宋体" w:hAnsi="宋体" w:cs="宋体"/>
                <w:sz w:val="20"/>
                <w:szCs w:val="20"/>
              </w:rPr>
              <w:t>详见第一章投标邀请第四条投标人特定资格条件</w:t>
            </w:r>
          </w:p>
        </w:tc>
      </w:tr>
      <w:tr w14:paraId="1B30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2" w:type="dxa"/>
            <w:gridSpan w:val="2"/>
            <w:tcBorders>
              <w:top w:val="single" w:color="auto" w:sz="6" w:space="0"/>
            </w:tcBorders>
            <w:noWrap/>
            <w:vAlign w:val="center"/>
          </w:tcPr>
          <w:p w14:paraId="6C3C7242">
            <w:pPr>
              <w:adjustRightInd w:val="0"/>
              <w:snapToGrid w:val="0"/>
              <w:spacing w:line="320" w:lineRule="exact"/>
              <w:rPr>
                <w:rFonts w:ascii="宋体" w:hAnsi="宋体" w:cs="宋体"/>
                <w:sz w:val="20"/>
                <w:szCs w:val="20"/>
              </w:rPr>
            </w:pPr>
            <w:r>
              <w:rPr>
                <w:rFonts w:hint="eastAsia" w:ascii="宋体" w:hAnsi="宋体" w:cs="宋体"/>
                <w:sz w:val="20"/>
                <w:szCs w:val="20"/>
              </w:rPr>
              <w:t>说明：</w:t>
            </w:r>
          </w:p>
          <w:p w14:paraId="338D4016">
            <w:pPr>
              <w:adjustRightInd w:val="0"/>
              <w:snapToGrid w:val="0"/>
              <w:spacing w:line="320" w:lineRule="exact"/>
              <w:rPr>
                <w:rFonts w:ascii="宋体" w:hAnsi="宋体" w:cs="宋体"/>
                <w:sz w:val="20"/>
                <w:szCs w:val="20"/>
              </w:rPr>
            </w:pPr>
            <w:r>
              <w:rPr>
                <w:rFonts w:hint="eastAsia" w:ascii="宋体" w:hAnsi="宋体" w:cs="宋体"/>
                <w:sz w:val="20"/>
                <w:szCs w:val="20"/>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D6A856F">
            <w:pPr>
              <w:adjustRightInd w:val="0"/>
              <w:snapToGrid w:val="0"/>
              <w:spacing w:line="320" w:lineRule="exact"/>
              <w:rPr>
                <w:rFonts w:ascii="宋体" w:hAnsi="宋体" w:cs="宋体"/>
                <w:sz w:val="20"/>
                <w:szCs w:val="20"/>
              </w:rPr>
            </w:pPr>
            <w:r>
              <w:rPr>
                <w:rFonts w:hint="eastAsia" w:ascii="宋体" w:hAnsi="宋体" w:cs="宋体"/>
                <w:sz w:val="20"/>
                <w:szCs w:val="20"/>
              </w:rPr>
              <w:t>2、资格证明文件扫描件须加盖投标人公章。</w:t>
            </w:r>
          </w:p>
          <w:p w14:paraId="54ECA371">
            <w:pPr>
              <w:adjustRightInd w:val="0"/>
              <w:snapToGrid w:val="0"/>
              <w:spacing w:line="320" w:lineRule="exact"/>
              <w:rPr>
                <w:rFonts w:ascii="宋体" w:hAnsi="宋体" w:cs="宋体"/>
                <w:sz w:val="20"/>
                <w:szCs w:val="20"/>
              </w:rPr>
            </w:pPr>
            <w:r>
              <w:rPr>
                <w:rFonts w:hint="eastAsia" w:ascii="宋体" w:hAnsi="宋体" w:cs="宋体"/>
                <w:sz w:val="20"/>
                <w:szCs w:val="20"/>
              </w:rPr>
              <w:t>3、投标人有下列情形之一的，视为无效投标（★）：</w:t>
            </w:r>
          </w:p>
          <w:p w14:paraId="5B99E1CB">
            <w:pPr>
              <w:adjustRightInd w:val="0"/>
              <w:snapToGrid w:val="0"/>
              <w:spacing w:line="320" w:lineRule="exact"/>
              <w:ind w:firstLine="400" w:firstLineChars="200"/>
              <w:rPr>
                <w:rFonts w:ascii="宋体" w:hAnsi="宋体" w:cs="宋体"/>
                <w:sz w:val="20"/>
                <w:szCs w:val="20"/>
              </w:rPr>
            </w:pPr>
            <w:r>
              <w:rPr>
                <w:rFonts w:hint="eastAsia" w:ascii="宋体" w:hAnsi="宋体" w:cs="宋体"/>
                <w:sz w:val="20"/>
                <w:szCs w:val="20"/>
              </w:rPr>
              <w:t>（1）有一项资格证明文件未提交的；</w:t>
            </w:r>
          </w:p>
          <w:p w14:paraId="6589C12E">
            <w:pPr>
              <w:adjustRightInd w:val="0"/>
              <w:snapToGrid w:val="0"/>
              <w:spacing w:line="320" w:lineRule="exact"/>
              <w:ind w:firstLine="400" w:firstLineChars="200"/>
              <w:rPr>
                <w:rFonts w:ascii="宋体" w:hAnsi="宋体" w:cs="宋体"/>
                <w:sz w:val="20"/>
                <w:szCs w:val="20"/>
              </w:rPr>
            </w:pPr>
            <w:r>
              <w:rPr>
                <w:rFonts w:hint="eastAsia" w:ascii="宋体" w:hAnsi="宋体" w:cs="宋体"/>
                <w:sz w:val="20"/>
                <w:szCs w:val="20"/>
              </w:rPr>
              <w:t>（2）提供不符合要求或虚假资格证明文件的；</w:t>
            </w:r>
          </w:p>
          <w:p w14:paraId="193E0C4E">
            <w:pPr>
              <w:tabs>
                <w:tab w:val="left" w:pos="9799"/>
              </w:tabs>
              <w:adjustRightInd w:val="0"/>
              <w:snapToGrid w:val="0"/>
              <w:spacing w:line="320" w:lineRule="exact"/>
              <w:ind w:firstLine="400" w:firstLineChars="200"/>
              <w:rPr>
                <w:rFonts w:ascii="宋体" w:hAnsi="宋体" w:cs="宋体"/>
                <w:sz w:val="20"/>
                <w:szCs w:val="20"/>
              </w:rPr>
            </w:pPr>
            <w:r>
              <w:rPr>
                <w:rFonts w:hint="eastAsia" w:ascii="宋体" w:hAnsi="宋体" w:cs="宋体"/>
                <w:sz w:val="20"/>
                <w:szCs w:val="20"/>
              </w:rPr>
              <w:t>（3）资格证明文件过了有效期的；</w:t>
            </w:r>
            <w:r>
              <w:rPr>
                <w:rFonts w:hint="eastAsia" w:ascii="宋体" w:hAnsi="宋体" w:cs="宋体"/>
                <w:sz w:val="20"/>
                <w:szCs w:val="20"/>
              </w:rPr>
              <w:tab/>
            </w:r>
            <w:r>
              <w:rPr>
                <w:rFonts w:hint="eastAsia" w:ascii="宋体" w:hAnsi="宋体" w:cs="宋体"/>
                <w:sz w:val="20"/>
                <w:szCs w:val="20"/>
              </w:rPr>
              <w:tab/>
            </w:r>
          </w:p>
          <w:p w14:paraId="44A0F8F5">
            <w:pPr>
              <w:adjustRightInd w:val="0"/>
              <w:snapToGrid w:val="0"/>
              <w:spacing w:line="320" w:lineRule="exact"/>
              <w:ind w:firstLine="400" w:firstLineChars="200"/>
              <w:rPr>
                <w:rFonts w:ascii="宋体" w:hAnsi="宋体" w:cs="宋体"/>
                <w:sz w:val="20"/>
                <w:szCs w:val="20"/>
              </w:rPr>
            </w:pPr>
            <w:r>
              <w:rPr>
                <w:rFonts w:hint="eastAsia" w:ascii="宋体" w:hAnsi="宋体" w:cs="宋体"/>
                <w:sz w:val="20"/>
                <w:szCs w:val="20"/>
              </w:rPr>
              <w:t>（4）资格证明文件扫描件未加盖投标人公章的。</w:t>
            </w:r>
          </w:p>
          <w:p w14:paraId="42868573">
            <w:pPr>
              <w:adjustRightInd w:val="0"/>
              <w:snapToGrid w:val="0"/>
              <w:spacing w:line="320" w:lineRule="exact"/>
              <w:rPr>
                <w:rFonts w:ascii="宋体" w:hAnsi="宋体" w:cs="宋体"/>
                <w:sz w:val="20"/>
                <w:szCs w:val="20"/>
                <w:highlight w:val="none"/>
              </w:rPr>
            </w:pPr>
            <w:r>
              <w:rPr>
                <w:rFonts w:hint="eastAsia" w:ascii="宋体" w:hAnsi="宋体" w:cs="宋体"/>
                <w:sz w:val="20"/>
                <w:szCs w:val="20"/>
              </w:rPr>
              <w:t>4、被“信用中国”网站列入失信被执行人和重大税收违法案件当事人名单的、被“中国政府采购网”网站列入政府采购严重违法失信行</w:t>
            </w:r>
            <w:r>
              <w:rPr>
                <w:rFonts w:hint="eastAsia" w:ascii="宋体" w:hAnsi="宋体" w:cs="宋体"/>
                <w:sz w:val="20"/>
                <w:szCs w:val="20"/>
                <w:highlight w:val="none"/>
              </w:rPr>
              <w:t xml:space="preserve">为记录名单（处罚期限尚未届满的），不得参与本项目的政府采购活动。 </w:t>
            </w:r>
          </w:p>
          <w:p w14:paraId="4E5F952C">
            <w:pPr>
              <w:adjustRightInd w:val="0"/>
              <w:snapToGrid w:val="0"/>
              <w:spacing w:line="320" w:lineRule="exact"/>
              <w:rPr>
                <w:rFonts w:ascii="宋体" w:hAnsi="宋体" w:cs="宋体"/>
                <w:sz w:val="20"/>
                <w:szCs w:val="20"/>
                <w:highlight w:val="none"/>
              </w:rPr>
            </w:pPr>
            <w:r>
              <w:rPr>
                <w:rFonts w:hint="eastAsia" w:ascii="宋体" w:hAnsi="宋体" w:cs="宋体"/>
                <w:sz w:val="20"/>
                <w:szCs w:val="20"/>
                <w:highlight w:val="none"/>
              </w:rPr>
              <w:t>5.特定资格条件：详见第一章投标邀请第四条投标人特定资格条件。</w:t>
            </w:r>
          </w:p>
          <w:p w14:paraId="0D2F8463">
            <w:pPr>
              <w:adjustRightInd w:val="0"/>
              <w:snapToGrid w:val="0"/>
              <w:spacing w:line="320" w:lineRule="exact"/>
              <w:rPr>
                <w:rFonts w:ascii="宋体" w:hAnsi="宋体" w:cs="宋体"/>
                <w:sz w:val="20"/>
                <w:szCs w:val="20"/>
                <w:highlight w:val="none"/>
              </w:rPr>
            </w:pPr>
            <w:r>
              <w:rPr>
                <w:rFonts w:hint="eastAsia" w:ascii="宋体" w:hAnsi="宋体" w:cs="宋体"/>
                <w:sz w:val="18"/>
                <w:szCs w:val="18"/>
                <w:highlight w:val="none"/>
              </w:rPr>
              <w:t>6.近三个月是指：</w:t>
            </w:r>
            <w:r>
              <w:rPr>
                <w:rFonts w:hint="eastAsia" w:ascii="宋体" w:hAnsi="宋体" w:cs="宋体"/>
                <w:sz w:val="18"/>
                <w:szCs w:val="18"/>
                <w:lang w:val="en-US" w:eastAsia="zh-CN"/>
              </w:rPr>
              <w:t>投标截止时间前三个月。</w:t>
            </w:r>
          </w:p>
          <w:p w14:paraId="2243099C">
            <w:pPr>
              <w:adjustRightInd w:val="0"/>
              <w:snapToGrid w:val="0"/>
              <w:spacing w:line="320" w:lineRule="exact"/>
              <w:rPr>
                <w:rFonts w:ascii="宋体" w:hAnsi="宋体" w:cs="宋体"/>
                <w:sz w:val="20"/>
                <w:szCs w:val="20"/>
              </w:rPr>
            </w:pPr>
            <w:r>
              <w:rPr>
                <w:rFonts w:hint="eastAsia" w:ascii="宋体" w:hAnsi="宋体" w:cs="宋体"/>
                <w:sz w:val="20"/>
                <w:szCs w:val="20"/>
                <w:highlight w:val="none"/>
              </w:rPr>
              <w:t>7.单位负责人为同一人或者存在直接控股、管理关</w:t>
            </w:r>
            <w:r>
              <w:rPr>
                <w:rFonts w:hint="eastAsia" w:ascii="宋体" w:hAnsi="宋体" w:cs="宋体"/>
                <w:sz w:val="20"/>
                <w:szCs w:val="20"/>
              </w:rPr>
              <w:t>系的不同投标人，不得参加同一合同项下的政府采购活动。</w:t>
            </w:r>
          </w:p>
          <w:p w14:paraId="0A2CB303">
            <w:pPr>
              <w:adjustRightInd w:val="0"/>
              <w:snapToGrid w:val="0"/>
              <w:spacing w:line="320" w:lineRule="exact"/>
              <w:rPr>
                <w:rFonts w:ascii="宋体" w:hAnsi="宋体" w:cs="宋体"/>
                <w:sz w:val="20"/>
                <w:szCs w:val="20"/>
              </w:rPr>
            </w:pPr>
            <w:r>
              <w:rPr>
                <w:rFonts w:hint="eastAsia" w:ascii="宋体" w:hAnsi="宋体" w:cs="宋体"/>
                <w:sz w:val="20"/>
                <w:szCs w:val="20"/>
              </w:rPr>
              <w:t>8.为本采购项目提供整体设计、规范编制或者项目管理、监理、检测等服务的，不得再参加此项目的其他招标采购活动。</w:t>
            </w:r>
          </w:p>
        </w:tc>
      </w:tr>
    </w:tbl>
    <w:p w14:paraId="7CDB9B84">
      <w:pPr>
        <w:adjustRightInd w:val="0"/>
        <w:snapToGrid w:val="0"/>
        <w:spacing w:line="360" w:lineRule="auto"/>
        <w:jc w:val="center"/>
        <w:outlineLvl w:val="0"/>
        <w:rPr>
          <w:rFonts w:ascii="宋体" w:hAnsi="宋体" w:cs="宋体"/>
          <w:b/>
          <w:sz w:val="30"/>
          <w:szCs w:val="30"/>
        </w:rPr>
      </w:pPr>
      <w:r>
        <w:rPr>
          <w:rFonts w:ascii="宋体" w:hAnsi="宋体" w:cs="宋体"/>
          <w:b/>
          <w:sz w:val="30"/>
          <w:szCs w:val="30"/>
        </w:rPr>
        <w:br w:type="page"/>
      </w:r>
      <w:r>
        <w:rPr>
          <w:rFonts w:hint="eastAsia" w:ascii="宋体" w:hAnsi="宋体" w:cs="宋体"/>
          <w:b/>
          <w:sz w:val="30"/>
          <w:szCs w:val="30"/>
        </w:rPr>
        <w:t>二、符合性审查</w:t>
      </w:r>
      <w:bookmarkEnd w:id="4"/>
      <w:bookmarkEnd w:id="5"/>
    </w:p>
    <w:tbl>
      <w:tblPr>
        <w:tblStyle w:val="40"/>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66"/>
        <w:gridCol w:w="9016"/>
      </w:tblGrid>
      <w:tr w14:paraId="57FB50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75FD85C3">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序号</w:t>
            </w:r>
          </w:p>
        </w:tc>
        <w:tc>
          <w:tcPr>
            <w:tcW w:w="9016" w:type="dxa"/>
            <w:tcBorders>
              <w:top w:val="single" w:color="auto" w:sz="6" w:space="0"/>
              <w:bottom w:val="single" w:color="auto" w:sz="6" w:space="0"/>
              <w:right w:val="single" w:color="auto" w:sz="6" w:space="0"/>
            </w:tcBorders>
            <w:noWrap/>
            <w:vAlign w:val="center"/>
          </w:tcPr>
          <w:p w14:paraId="0A34A598">
            <w:pPr>
              <w:adjustRightInd w:val="0"/>
              <w:snapToGrid w:val="0"/>
              <w:spacing w:line="360" w:lineRule="auto"/>
              <w:jc w:val="center"/>
              <w:rPr>
                <w:rFonts w:ascii="宋体" w:hAnsi="宋体" w:cs="宋体"/>
                <w:sz w:val="20"/>
                <w:szCs w:val="20"/>
              </w:rPr>
            </w:pPr>
            <w:r>
              <w:rPr>
                <w:rFonts w:hint="eastAsia" w:ascii="宋体" w:hAnsi="宋体" w:cs="宋体"/>
                <w:sz w:val="20"/>
                <w:szCs w:val="20"/>
              </w:rPr>
              <w:t>审查情况</w:t>
            </w:r>
          </w:p>
        </w:tc>
      </w:tr>
      <w:tr w14:paraId="4F0FF6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22D16493">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1</w:t>
            </w:r>
          </w:p>
        </w:tc>
        <w:tc>
          <w:tcPr>
            <w:tcW w:w="9016" w:type="dxa"/>
            <w:tcBorders>
              <w:top w:val="single" w:color="auto" w:sz="6" w:space="0"/>
              <w:bottom w:val="single" w:color="auto" w:sz="6" w:space="0"/>
              <w:right w:val="single" w:color="auto" w:sz="6" w:space="0"/>
            </w:tcBorders>
            <w:noWrap/>
            <w:vAlign w:val="center"/>
          </w:tcPr>
          <w:p w14:paraId="2B5F528B">
            <w:pPr>
              <w:adjustRightInd w:val="0"/>
              <w:snapToGrid w:val="0"/>
              <w:spacing w:line="360" w:lineRule="auto"/>
              <w:rPr>
                <w:rFonts w:ascii="宋体" w:hAnsi="宋体" w:cs="宋体"/>
                <w:sz w:val="20"/>
                <w:szCs w:val="20"/>
              </w:rPr>
            </w:pPr>
            <w:r>
              <w:rPr>
                <w:rFonts w:hint="eastAsia" w:ascii="宋体" w:hAnsi="宋体" w:cs="宋体"/>
                <w:b/>
                <w:sz w:val="22"/>
                <w:szCs w:val="22"/>
              </w:rPr>
              <w:t>评标委员会应当对符合资格条件的投标人的投标文件进行符合性审查，以确定其是否满足招标文件商务、技术等实质性要求</w:t>
            </w:r>
            <w:r>
              <w:rPr>
                <w:rFonts w:hint="eastAsia" w:ascii="宋体" w:hAnsi="宋体" w:cs="宋体"/>
                <w:sz w:val="22"/>
                <w:szCs w:val="22"/>
              </w:rPr>
              <w:t>。</w:t>
            </w:r>
          </w:p>
        </w:tc>
      </w:tr>
      <w:tr w14:paraId="5EB15E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068E17C4">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（1）</w:t>
            </w:r>
          </w:p>
        </w:tc>
        <w:tc>
          <w:tcPr>
            <w:tcW w:w="9016" w:type="dxa"/>
            <w:tcBorders>
              <w:top w:val="single" w:color="auto" w:sz="6" w:space="0"/>
              <w:bottom w:val="single" w:color="auto" w:sz="6" w:space="0"/>
              <w:right w:val="single" w:color="auto" w:sz="6" w:space="0"/>
            </w:tcBorders>
            <w:noWrap/>
            <w:vAlign w:val="center"/>
          </w:tcPr>
          <w:p w14:paraId="4ED76012">
            <w:pPr>
              <w:adjustRightInd w:val="0"/>
              <w:snapToGrid w:val="0"/>
              <w:spacing w:line="360" w:lineRule="auto"/>
              <w:rPr>
                <w:rFonts w:ascii="宋体" w:hAnsi="宋体" w:cs="宋体"/>
                <w:sz w:val="20"/>
                <w:szCs w:val="20"/>
              </w:rPr>
            </w:pPr>
            <w:r>
              <w:rPr>
                <w:rFonts w:hint="eastAsia" w:ascii="宋体" w:hAnsi="宋体" w:cs="宋体"/>
                <w:sz w:val="20"/>
                <w:szCs w:val="20"/>
              </w:rPr>
              <w:t>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tc>
      </w:tr>
      <w:tr w14:paraId="1D10EE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0F9AA858">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（2）</w:t>
            </w:r>
          </w:p>
        </w:tc>
        <w:tc>
          <w:tcPr>
            <w:tcW w:w="9016" w:type="dxa"/>
            <w:tcBorders>
              <w:top w:val="single" w:color="auto" w:sz="6" w:space="0"/>
              <w:bottom w:val="single" w:color="auto" w:sz="6" w:space="0"/>
              <w:right w:val="single" w:color="auto" w:sz="6" w:space="0"/>
            </w:tcBorders>
            <w:noWrap/>
            <w:vAlign w:val="center"/>
          </w:tcPr>
          <w:p w14:paraId="50883362">
            <w:pPr>
              <w:adjustRightInd w:val="0"/>
              <w:snapToGrid w:val="0"/>
              <w:spacing w:line="360" w:lineRule="auto"/>
              <w:rPr>
                <w:rFonts w:ascii="宋体" w:hAnsi="宋体" w:cs="宋体"/>
                <w:sz w:val="20"/>
                <w:szCs w:val="20"/>
              </w:rPr>
            </w:pPr>
            <w:r>
              <w:rPr>
                <w:rFonts w:hint="eastAsia" w:ascii="宋体" w:hAnsi="宋体" w:cs="宋体"/>
                <w:sz w:val="20"/>
                <w:szCs w:val="20"/>
              </w:rPr>
              <w:t>投标人不得通过修正或撤销不合要求的偏离从而使其投标成为实质上响应的投标。</w:t>
            </w:r>
          </w:p>
        </w:tc>
      </w:tr>
      <w:tr w14:paraId="6842D1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3E6E0D7B">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2</w:t>
            </w:r>
          </w:p>
        </w:tc>
        <w:tc>
          <w:tcPr>
            <w:tcW w:w="9016" w:type="dxa"/>
            <w:tcBorders>
              <w:top w:val="single" w:color="auto" w:sz="6" w:space="0"/>
              <w:bottom w:val="single" w:color="auto" w:sz="6" w:space="0"/>
              <w:right w:val="single" w:color="auto" w:sz="6" w:space="0"/>
            </w:tcBorders>
            <w:noWrap/>
            <w:vAlign w:val="center"/>
          </w:tcPr>
          <w:p w14:paraId="39E27373">
            <w:pPr>
              <w:adjustRightInd w:val="0"/>
              <w:snapToGrid w:val="0"/>
              <w:spacing w:line="360" w:lineRule="auto"/>
              <w:ind w:firstLine="33" w:firstLineChars="15"/>
              <w:rPr>
                <w:rFonts w:ascii="宋体" w:hAnsi="宋体" w:cs="宋体"/>
                <w:b/>
                <w:sz w:val="22"/>
                <w:szCs w:val="22"/>
              </w:rPr>
            </w:pPr>
            <w:r>
              <w:rPr>
                <w:rFonts w:hint="eastAsia" w:ascii="宋体" w:hAnsi="宋体" w:cs="宋体"/>
                <w:b/>
                <w:sz w:val="22"/>
                <w:szCs w:val="22"/>
              </w:rPr>
              <w:t>投标文件属下列情况之一的，投标无效：</w:t>
            </w:r>
          </w:p>
        </w:tc>
      </w:tr>
      <w:tr w14:paraId="089DD7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38F18C32">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（1）</w:t>
            </w:r>
          </w:p>
        </w:tc>
        <w:tc>
          <w:tcPr>
            <w:tcW w:w="9016" w:type="dxa"/>
            <w:tcBorders>
              <w:top w:val="single" w:color="auto" w:sz="6" w:space="0"/>
              <w:bottom w:val="single" w:color="auto" w:sz="6" w:space="0"/>
              <w:right w:val="single" w:color="auto" w:sz="6" w:space="0"/>
            </w:tcBorders>
            <w:noWrap/>
            <w:vAlign w:val="center"/>
          </w:tcPr>
          <w:p w14:paraId="7852C7EA">
            <w:pPr>
              <w:adjustRightInd w:val="0"/>
              <w:snapToGrid w:val="0"/>
              <w:spacing w:line="360" w:lineRule="auto"/>
              <w:rPr>
                <w:rFonts w:ascii="宋体" w:hAnsi="宋体" w:cs="宋体"/>
                <w:sz w:val="20"/>
                <w:szCs w:val="20"/>
              </w:rPr>
            </w:pPr>
            <w:r>
              <w:rPr>
                <w:rFonts w:hint="eastAsia" w:ascii="宋体" w:hAnsi="宋体" w:cs="宋体"/>
                <w:sz w:val="20"/>
                <w:szCs w:val="20"/>
              </w:rPr>
              <w:t>投标文件中商务技术文件未按照招标文件规定要求签署、盖章的</w:t>
            </w:r>
          </w:p>
        </w:tc>
      </w:tr>
      <w:tr w14:paraId="2F07D1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3089C239">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（2）</w:t>
            </w:r>
          </w:p>
        </w:tc>
        <w:tc>
          <w:tcPr>
            <w:tcW w:w="9016" w:type="dxa"/>
            <w:tcBorders>
              <w:top w:val="single" w:color="auto" w:sz="6" w:space="0"/>
              <w:bottom w:val="single" w:color="auto" w:sz="6" w:space="0"/>
              <w:right w:val="single" w:color="auto" w:sz="6" w:space="0"/>
            </w:tcBorders>
            <w:noWrap/>
            <w:vAlign w:val="center"/>
          </w:tcPr>
          <w:p w14:paraId="06047FA6">
            <w:pPr>
              <w:adjustRightInd w:val="0"/>
              <w:snapToGrid w:val="0"/>
              <w:spacing w:line="360" w:lineRule="auto"/>
              <w:rPr>
                <w:rFonts w:ascii="宋体" w:hAnsi="宋体" w:cs="宋体"/>
                <w:sz w:val="20"/>
                <w:szCs w:val="20"/>
              </w:rPr>
            </w:pPr>
            <w:r>
              <w:rPr>
                <w:rFonts w:hint="eastAsia" w:ascii="宋体" w:hAnsi="宋体" w:cs="宋体"/>
                <w:sz w:val="20"/>
                <w:szCs w:val="20"/>
              </w:rPr>
              <w:t>投标文件没有对招标文件的实质性要求和条件作出响应，或者对招标文件的偏差超出招标文件规定的偏差范围或最高项数；</w:t>
            </w:r>
          </w:p>
        </w:tc>
      </w:tr>
      <w:tr w14:paraId="26842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643411D3">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（3）</w:t>
            </w:r>
          </w:p>
        </w:tc>
        <w:tc>
          <w:tcPr>
            <w:tcW w:w="9016" w:type="dxa"/>
            <w:tcBorders>
              <w:top w:val="single" w:color="auto" w:sz="6" w:space="0"/>
              <w:bottom w:val="single" w:color="auto" w:sz="6" w:space="0"/>
              <w:right w:val="single" w:color="auto" w:sz="6" w:space="0"/>
            </w:tcBorders>
            <w:noWrap/>
            <w:vAlign w:val="center"/>
          </w:tcPr>
          <w:p w14:paraId="3FE9D6FD">
            <w:pPr>
              <w:adjustRightInd w:val="0"/>
              <w:snapToGrid w:val="0"/>
              <w:spacing w:line="360" w:lineRule="auto"/>
              <w:rPr>
                <w:rFonts w:ascii="宋体" w:hAnsi="宋体" w:cs="宋体"/>
                <w:sz w:val="20"/>
                <w:szCs w:val="20"/>
              </w:rPr>
            </w:pPr>
            <w:r>
              <w:rPr>
                <w:rFonts w:hint="eastAsia" w:ascii="宋体" w:hAnsi="宋体" w:cs="宋体"/>
                <w:sz w:val="20"/>
                <w:szCs w:val="20"/>
              </w:rPr>
              <w:t>报价超过招标文件中规定的预算金额或者最高限价的；</w:t>
            </w:r>
          </w:p>
        </w:tc>
      </w:tr>
      <w:tr w14:paraId="519741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55ABAF30">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（4）</w:t>
            </w:r>
          </w:p>
        </w:tc>
        <w:tc>
          <w:tcPr>
            <w:tcW w:w="9016" w:type="dxa"/>
            <w:tcBorders>
              <w:top w:val="single" w:color="auto" w:sz="6" w:space="0"/>
              <w:bottom w:val="single" w:color="auto" w:sz="6" w:space="0"/>
              <w:right w:val="single" w:color="auto" w:sz="6" w:space="0"/>
            </w:tcBorders>
            <w:noWrap/>
            <w:vAlign w:val="center"/>
          </w:tcPr>
          <w:p w14:paraId="23E28E8A">
            <w:pPr>
              <w:adjustRightInd w:val="0"/>
              <w:snapToGrid w:val="0"/>
              <w:spacing w:line="360" w:lineRule="auto"/>
              <w:rPr>
                <w:rFonts w:ascii="宋体" w:hAnsi="宋体" w:cs="宋体"/>
                <w:sz w:val="20"/>
                <w:szCs w:val="20"/>
              </w:rPr>
            </w:pPr>
            <w:r>
              <w:rPr>
                <w:rFonts w:hint="eastAsia" w:ascii="宋体" w:hAnsi="宋体" w:cs="宋体"/>
                <w:sz w:val="20"/>
                <w:szCs w:val="20"/>
              </w:rPr>
              <w:t>投标有效期不足的；</w:t>
            </w:r>
          </w:p>
        </w:tc>
      </w:tr>
      <w:tr w14:paraId="3DCFC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13258989">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（5）</w:t>
            </w:r>
          </w:p>
        </w:tc>
        <w:tc>
          <w:tcPr>
            <w:tcW w:w="9016" w:type="dxa"/>
            <w:tcBorders>
              <w:top w:val="single" w:color="auto" w:sz="6" w:space="0"/>
              <w:bottom w:val="single" w:color="auto" w:sz="6" w:space="0"/>
              <w:right w:val="single" w:color="auto" w:sz="6" w:space="0"/>
            </w:tcBorders>
            <w:noWrap/>
            <w:vAlign w:val="center"/>
          </w:tcPr>
          <w:p w14:paraId="31B33091">
            <w:pPr>
              <w:adjustRightInd w:val="0"/>
              <w:snapToGrid w:val="0"/>
              <w:spacing w:line="360" w:lineRule="auto"/>
              <w:rPr>
                <w:rFonts w:ascii="宋体" w:hAnsi="宋体" w:cs="宋体"/>
                <w:sz w:val="20"/>
                <w:szCs w:val="20"/>
              </w:rPr>
            </w:pPr>
            <w:r>
              <w:rPr>
                <w:rFonts w:hint="eastAsia" w:ascii="宋体" w:hAnsi="宋体" w:cs="宋体"/>
                <w:sz w:val="20"/>
                <w:szCs w:val="20"/>
              </w:rPr>
              <w:t>投标文件含有采购人不能接受的附加条件的；</w:t>
            </w:r>
          </w:p>
        </w:tc>
      </w:tr>
      <w:tr w14:paraId="122797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18DCECCB">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（6）</w:t>
            </w:r>
          </w:p>
        </w:tc>
        <w:tc>
          <w:tcPr>
            <w:tcW w:w="9016" w:type="dxa"/>
            <w:tcBorders>
              <w:top w:val="single" w:color="auto" w:sz="6" w:space="0"/>
              <w:bottom w:val="single" w:color="auto" w:sz="6" w:space="0"/>
              <w:right w:val="single" w:color="auto" w:sz="6" w:space="0"/>
            </w:tcBorders>
            <w:noWrap/>
            <w:vAlign w:val="center"/>
          </w:tcPr>
          <w:p w14:paraId="2963783B">
            <w:pPr>
              <w:adjustRightInd w:val="0"/>
              <w:snapToGrid w:val="0"/>
              <w:spacing w:line="360" w:lineRule="auto"/>
              <w:rPr>
                <w:rFonts w:ascii="宋体" w:hAnsi="宋体" w:cs="宋体"/>
                <w:sz w:val="20"/>
                <w:szCs w:val="20"/>
              </w:rPr>
            </w:pPr>
            <w:r>
              <w:rPr>
                <w:rFonts w:hint="eastAsia" w:ascii="宋体" w:hAnsi="宋体" w:cs="宋体"/>
                <w:sz w:val="20"/>
                <w:szCs w:val="20"/>
              </w:rPr>
              <w:t>法律、法规和招标文件规定的其他投标无效情形的。</w:t>
            </w:r>
          </w:p>
        </w:tc>
      </w:tr>
      <w:tr w14:paraId="2EB728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0033AEE8">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（7）</w:t>
            </w:r>
          </w:p>
        </w:tc>
        <w:tc>
          <w:tcPr>
            <w:tcW w:w="9016" w:type="dxa"/>
            <w:tcBorders>
              <w:top w:val="single" w:color="auto" w:sz="6" w:space="0"/>
              <w:bottom w:val="single" w:color="auto" w:sz="6" w:space="0"/>
              <w:right w:val="single" w:color="auto" w:sz="6" w:space="0"/>
            </w:tcBorders>
            <w:noWrap/>
            <w:vAlign w:val="center"/>
          </w:tcPr>
          <w:p w14:paraId="6EA1929D">
            <w:pPr>
              <w:adjustRightInd w:val="0"/>
              <w:snapToGrid w:val="0"/>
              <w:spacing w:line="360" w:lineRule="auto"/>
              <w:rPr>
                <w:rFonts w:ascii="宋体" w:hAnsi="宋体" w:cs="宋体"/>
                <w:sz w:val="20"/>
                <w:szCs w:val="20"/>
              </w:rPr>
            </w:pPr>
            <w:r>
              <w:rPr>
                <w:rFonts w:hint="eastAsia" w:ascii="宋体" w:hAnsi="宋体" w:cs="宋体"/>
                <w:sz w:val="20"/>
                <w:szCs w:val="20"/>
              </w:rPr>
              <w:t>投标标的范围小于采购标的范围的</w:t>
            </w:r>
          </w:p>
        </w:tc>
      </w:tr>
      <w:tr w14:paraId="5B5383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1BAE9321">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3</w:t>
            </w:r>
          </w:p>
        </w:tc>
        <w:tc>
          <w:tcPr>
            <w:tcW w:w="9016" w:type="dxa"/>
            <w:tcBorders>
              <w:top w:val="single" w:color="auto" w:sz="6" w:space="0"/>
              <w:bottom w:val="single" w:color="auto" w:sz="6" w:space="0"/>
              <w:right w:val="single" w:color="auto" w:sz="6" w:space="0"/>
            </w:tcBorders>
            <w:noWrap/>
            <w:vAlign w:val="center"/>
          </w:tcPr>
          <w:p w14:paraId="6F7B31C0">
            <w:pPr>
              <w:adjustRightInd w:val="0"/>
              <w:snapToGrid w:val="0"/>
              <w:spacing w:line="360" w:lineRule="auto"/>
              <w:rPr>
                <w:rFonts w:ascii="宋体" w:hAnsi="宋体" w:cs="宋体"/>
                <w:sz w:val="20"/>
                <w:szCs w:val="20"/>
              </w:rPr>
            </w:pPr>
            <w:r>
              <w:rPr>
                <w:rFonts w:hint="eastAsia" w:ascii="宋体" w:hAnsi="宋体" w:cs="宋体"/>
                <w:sz w:val="20"/>
                <w:szCs w:val="20"/>
              </w:rPr>
              <w:t>不符合★条款</w:t>
            </w:r>
          </w:p>
        </w:tc>
      </w:tr>
      <w:tr w14:paraId="3DE76D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7318B893">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4</w:t>
            </w:r>
          </w:p>
        </w:tc>
        <w:tc>
          <w:tcPr>
            <w:tcW w:w="9016" w:type="dxa"/>
            <w:tcBorders>
              <w:top w:val="single" w:color="auto" w:sz="6" w:space="0"/>
              <w:bottom w:val="single" w:color="auto" w:sz="6" w:space="0"/>
              <w:right w:val="single" w:color="auto" w:sz="6" w:space="0"/>
            </w:tcBorders>
            <w:noWrap/>
            <w:vAlign w:val="center"/>
          </w:tcPr>
          <w:p w14:paraId="49B69561">
            <w:pPr>
              <w:adjustRightInd w:val="0"/>
              <w:snapToGrid w:val="0"/>
              <w:spacing w:line="360" w:lineRule="auto"/>
              <w:rPr>
                <w:rFonts w:ascii="宋体" w:hAnsi="宋体" w:cs="宋体"/>
                <w:sz w:val="20"/>
                <w:szCs w:val="20"/>
              </w:rPr>
            </w:pPr>
            <w:r>
              <w:rPr>
                <w:rFonts w:hint="eastAsia" w:ascii="宋体" w:hAnsi="宋体" w:cs="宋体"/>
                <w:sz w:val="20"/>
                <w:szCs w:val="20"/>
              </w:rPr>
              <w:t>投标文件电子文档有病毒</w:t>
            </w:r>
          </w:p>
        </w:tc>
      </w:tr>
      <w:tr w14:paraId="2895F2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26D1B752">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5</w:t>
            </w:r>
          </w:p>
        </w:tc>
        <w:tc>
          <w:tcPr>
            <w:tcW w:w="9016" w:type="dxa"/>
            <w:tcBorders>
              <w:top w:val="single" w:color="auto" w:sz="6" w:space="0"/>
              <w:bottom w:val="single" w:color="auto" w:sz="6" w:space="0"/>
              <w:right w:val="single" w:color="auto" w:sz="6" w:space="0"/>
            </w:tcBorders>
            <w:noWrap/>
            <w:vAlign w:val="center"/>
          </w:tcPr>
          <w:p w14:paraId="4E694BFE">
            <w:pPr>
              <w:adjustRightInd w:val="0"/>
              <w:snapToGrid w:val="0"/>
              <w:spacing w:line="360" w:lineRule="auto"/>
              <w:rPr>
                <w:rFonts w:ascii="宋体" w:hAnsi="宋体" w:cs="宋体"/>
                <w:sz w:val="20"/>
                <w:szCs w:val="20"/>
              </w:rPr>
            </w:pPr>
            <w:r>
              <w:rPr>
                <w:rFonts w:hint="eastAsia" w:ascii="宋体" w:hAnsi="宋体" w:cs="宋体"/>
                <w:sz w:val="20"/>
                <w:szCs w:val="20"/>
              </w:rPr>
              <w:t>投标文件用不属于本中心的电子密钥进行加密</w:t>
            </w:r>
          </w:p>
        </w:tc>
      </w:tr>
      <w:tr w14:paraId="72D1CF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1666" w:type="dxa"/>
            <w:tcBorders>
              <w:top w:val="single" w:color="auto" w:sz="6" w:space="0"/>
              <w:left w:val="single" w:color="auto" w:sz="6" w:space="0"/>
              <w:bottom w:val="single" w:color="auto" w:sz="6" w:space="0"/>
            </w:tcBorders>
            <w:noWrap/>
            <w:vAlign w:val="center"/>
          </w:tcPr>
          <w:p w14:paraId="772646A6">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6</w:t>
            </w:r>
          </w:p>
        </w:tc>
        <w:tc>
          <w:tcPr>
            <w:tcW w:w="9016" w:type="dxa"/>
            <w:tcBorders>
              <w:top w:val="single" w:color="auto" w:sz="6" w:space="0"/>
              <w:bottom w:val="single" w:color="auto" w:sz="6" w:space="0"/>
              <w:right w:val="single" w:color="auto" w:sz="6" w:space="0"/>
            </w:tcBorders>
            <w:noWrap/>
            <w:vAlign w:val="center"/>
          </w:tcPr>
          <w:p w14:paraId="6D7336F4">
            <w:pPr>
              <w:adjustRightInd w:val="0"/>
              <w:snapToGrid w:val="0"/>
              <w:spacing w:line="360" w:lineRule="auto"/>
              <w:rPr>
                <w:rFonts w:ascii="宋体" w:hAnsi="宋体" w:cs="宋体"/>
                <w:sz w:val="20"/>
                <w:szCs w:val="20"/>
              </w:rPr>
            </w:pPr>
            <w:r>
              <w:rPr>
                <w:rFonts w:hint="eastAsia" w:ascii="宋体" w:hAnsi="宋体" w:cs="宋体"/>
                <w:sz w:val="20"/>
                <w:szCs w:val="20"/>
              </w:rPr>
              <w:t>法律、法规规定的其他情形</w:t>
            </w:r>
          </w:p>
        </w:tc>
      </w:tr>
    </w:tbl>
    <w:p w14:paraId="21DE265B">
      <w:pPr>
        <w:rPr>
          <w:rFonts w:ascii="宋体" w:hAnsi="宋体" w:cs="宋体"/>
          <w:sz w:val="18"/>
          <w:szCs w:val="18"/>
        </w:rPr>
      </w:pPr>
    </w:p>
    <w:p w14:paraId="0CE301F2">
      <w:pPr>
        <w:jc w:val="center"/>
        <w:rPr>
          <w:rFonts w:ascii="宋体" w:hAnsi="宋体" w:cs="宋体"/>
          <w:b/>
          <w:bCs/>
          <w:sz w:val="28"/>
          <w:szCs w:val="28"/>
        </w:rPr>
      </w:pPr>
      <w:bookmarkStart w:id="7" w:name="_Toc25532"/>
      <w:bookmarkStart w:id="8" w:name="_Toc5418"/>
      <w:bookmarkStart w:id="9" w:name="_Toc2576"/>
      <w:bookmarkStart w:id="10" w:name="_Toc21001314"/>
      <w:bookmarkStart w:id="11" w:name="_Toc20816073"/>
      <w:bookmarkStart w:id="12" w:name="_Toc20642243"/>
      <w:bookmarkStart w:id="13" w:name="_Toc34720698"/>
      <w:bookmarkStart w:id="14" w:name="_Toc20988241"/>
      <w:bookmarkStart w:id="15" w:name="_Toc21000471"/>
      <w:bookmarkStart w:id="16" w:name="_Toc35421027"/>
      <w:bookmarkStart w:id="17" w:name="_Toc53472201"/>
    </w:p>
    <w:p w14:paraId="4BC8BEAE">
      <w:pPr>
        <w:pStyle w:val="3"/>
      </w:pPr>
    </w:p>
    <w:p w14:paraId="1069BD8A"/>
    <w:p w14:paraId="0CF4A894">
      <w:pPr>
        <w:jc w:val="center"/>
        <w:rPr>
          <w:rFonts w:ascii="宋体" w:hAnsi="宋体" w:cs="宋体"/>
          <w:b/>
          <w:bCs/>
          <w:sz w:val="28"/>
          <w:szCs w:val="28"/>
        </w:rPr>
      </w:pPr>
    </w:p>
    <w:p w14:paraId="715B77F9">
      <w:pPr>
        <w:rPr>
          <w:rFonts w:ascii="宋体" w:hAnsi="宋体" w:cs="宋体"/>
          <w:b/>
          <w:bCs/>
          <w:sz w:val="28"/>
          <w:szCs w:val="28"/>
        </w:rPr>
      </w:pPr>
      <w:r>
        <w:rPr>
          <w:rFonts w:hint="eastAsia" w:ascii="宋体" w:hAnsi="宋体" w:cs="宋体"/>
          <w:b/>
          <w:bCs/>
          <w:sz w:val="28"/>
          <w:szCs w:val="28"/>
        </w:rPr>
        <w:t xml:space="preserve">                                                   </w:t>
      </w:r>
    </w:p>
    <w:bookmarkEnd w:id="7"/>
    <w:p w14:paraId="0EDF5A41">
      <w:pPr>
        <w:jc w:val="center"/>
        <w:outlineLvl w:val="0"/>
        <w:rPr>
          <w:rFonts w:hint="eastAsia" w:ascii="宋体" w:hAnsi="宋体" w:eastAsia="宋体" w:cs="宋体"/>
          <w:b/>
          <w:bCs/>
          <w:color w:val="000000"/>
          <w:sz w:val="28"/>
          <w:szCs w:val="28"/>
          <w:lang w:eastAsia="zh-CN"/>
        </w:rPr>
      </w:pPr>
      <w:bookmarkStart w:id="18" w:name="_Toc8264"/>
      <w:bookmarkStart w:id="19" w:name="_Toc4555"/>
      <w:r>
        <w:rPr>
          <w:rFonts w:hint="eastAsia" w:ascii="宋体" w:hAnsi="宋体" w:eastAsia="宋体" w:cs="宋体"/>
          <w:b/>
          <w:bCs/>
          <w:color w:val="000000"/>
          <w:sz w:val="28"/>
          <w:szCs w:val="28"/>
        </w:rPr>
        <w:t xml:space="preserve">  </w:t>
      </w:r>
      <w:bookmarkStart w:id="20" w:name="_Toc24410"/>
      <w:r>
        <w:rPr>
          <w:rFonts w:hint="eastAsia" w:ascii="宋体" w:hAnsi="宋体" w:eastAsia="宋体" w:cs="宋体"/>
          <w:b/>
          <w:bCs/>
          <w:color w:val="000000"/>
          <w:sz w:val="28"/>
          <w:szCs w:val="28"/>
        </w:rPr>
        <w:t>取值范围</w:t>
      </w:r>
      <w:bookmarkEnd w:id="20"/>
    </w:p>
    <w:p w14:paraId="7600506E">
      <w:pPr>
        <w:jc w:val="center"/>
        <w:outlineLvl w:val="0"/>
        <w:rPr>
          <w:rFonts w:hint="eastAsia" w:ascii="宋体" w:hAnsi="宋体" w:eastAsia="宋体" w:cs="宋体"/>
          <w:color w:val="000000"/>
        </w:rPr>
      </w:pPr>
      <w:bookmarkStart w:id="21" w:name="_Toc11088"/>
      <w:bookmarkStart w:id="22" w:name="_Toc17342"/>
      <w:r>
        <w:rPr>
          <w:rFonts w:hint="eastAsia" w:ascii="宋体" w:hAnsi="宋体" w:eastAsia="宋体" w:cs="宋体"/>
          <w:color w:val="000000"/>
        </w:rPr>
        <w:t>1.2.3权值的取值范围见下表，本采购项目的权值为：</w:t>
      </w:r>
      <w:bookmarkEnd w:id="21"/>
      <w:bookmarkEnd w:id="22"/>
    </w:p>
    <w:tbl>
      <w:tblPr>
        <w:tblStyle w:val="40"/>
        <w:tblW w:w="106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2"/>
        <w:gridCol w:w="5669"/>
        <w:gridCol w:w="4141"/>
      </w:tblGrid>
      <w:tr w14:paraId="2D008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noWrap w:val="0"/>
            <w:vAlign w:val="center"/>
          </w:tcPr>
          <w:p w14:paraId="44517A5E">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序号</w:t>
            </w:r>
          </w:p>
        </w:tc>
        <w:tc>
          <w:tcPr>
            <w:tcW w:w="5669" w:type="dxa"/>
            <w:noWrap w:val="0"/>
            <w:vAlign w:val="center"/>
          </w:tcPr>
          <w:p w14:paraId="28FBA17D">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     目</w:t>
            </w:r>
          </w:p>
        </w:tc>
        <w:tc>
          <w:tcPr>
            <w:tcW w:w="4141" w:type="dxa"/>
            <w:noWrap w:val="0"/>
            <w:vAlign w:val="center"/>
          </w:tcPr>
          <w:p w14:paraId="1CF9D483">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权值的取值</w:t>
            </w:r>
          </w:p>
        </w:tc>
      </w:tr>
      <w:tr w14:paraId="334D02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872" w:type="dxa"/>
            <w:noWrap w:val="0"/>
            <w:vAlign w:val="center"/>
          </w:tcPr>
          <w:p w14:paraId="10CCE080">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669" w:type="dxa"/>
            <w:noWrap w:val="0"/>
            <w:vAlign w:val="center"/>
          </w:tcPr>
          <w:p w14:paraId="260CD45D">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价格</w:t>
            </w:r>
          </w:p>
        </w:tc>
        <w:tc>
          <w:tcPr>
            <w:tcW w:w="4141" w:type="dxa"/>
            <w:noWrap w:val="0"/>
            <w:vAlign w:val="center"/>
          </w:tcPr>
          <w:p w14:paraId="07F30696">
            <w:pPr>
              <w:adjustRightInd w:val="0"/>
              <w:snapToGrid w:val="0"/>
              <w:spacing w:before="156" w:beforeLines="50" w:line="360" w:lineRule="auto"/>
              <w:jc w:val="center"/>
              <w:rPr>
                <w:rFonts w:hint="default" w:ascii="宋体" w:hAnsi="宋体" w:eastAsia="宋体" w:cs="宋体"/>
                <w:color w:val="000000"/>
                <w:sz w:val="20"/>
                <w:szCs w:val="20"/>
                <w:lang w:val="en-US" w:eastAsia="zh-CN"/>
              </w:rPr>
            </w:pPr>
            <w:bookmarkStart w:id="23" w:name="S_2_7"/>
            <w:bookmarkEnd w:id="23"/>
            <w:r>
              <w:rPr>
                <w:rFonts w:hint="eastAsia" w:ascii="宋体" w:hAnsi="宋体" w:eastAsia="宋体" w:cs="宋体"/>
                <w:color w:val="000000"/>
                <w:sz w:val="20"/>
                <w:szCs w:val="20"/>
              </w:rPr>
              <w:t>0.</w:t>
            </w:r>
            <w:r>
              <w:rPr>
                <w:rFonts w:hint="eastAsia" w:ascii="宋体" w:hAnsi="宋体" w:eastAsia="宋体" w:cs="宋体"/>
                <w:color w:val="000000"/>
                <w:sz w:val="20"/>
                <w:szCs w:val="20"/>
                <w:lang w:val="en-US" w:eastAsia="zh-CN"/>
              </w:rPr>
              <w:t>30</w:t>
            </w:r>
          </w:p>
        </w:tc>
      </w:tr>
      <w:tr w14:paraId="5F154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noWrap w:val="0"/>
            <w:vAlign w:val="center"/>
          </w:tcPr>
          <w:p w14:paraId="5C09DF39">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669" w:type="dxa"/>
            <w:noWrap w:val="0"/>
            <w:vAlign w:val="center"/>
          </w:tcPr>
          <w:p w14:paraId="25C5406A">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技术</w:t>
            </w:r>
          </w:p>
        </w:tc>
        <w:tc>
          <w:tcPr>
            <w:tcW w:w="4141" w:type="dxa"/>
            <w:noWrap w:val="0"/>
            <w:vAlign w:val="center"/>
          </w:tcPr>
          <w:p w14:paraId="5BD01FD6">
            <w:pPr>
              <w:adjustRightInd w:val="0"/>
              <w:snapToGrid w:val="0"/>
              <w:spacing w:before="156" w:beforeLines="50"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0.4</w:t>
            </w:r>
            <w:r>
              <w:rPr>
                <w:rFonts w:hint="eastAsia" w:ascii="宋体" w:hAnsi="宋体" w:eastAsia="宋体" w:cs="宋体"/>
                <w:color w:val="000000"/>
                <w:sz w:val="20"/>
                <w:szCs w:val="20"/>
                <w:lang w:val="en-US" w:eastAsia="zh-CN"/>
              </w:rPr>
              <w:t>0</w:t>
            </w:r>
          </w:p>
        </w:tc>
      </w:tr>
      <w:tr w14:paraId="7A5506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noWrap w:val="0"/>
            <w:vAlign w:val="center"/>
          </w:tcPr>
          <w:p w14:paraId="18BB8FEC">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5669" w:type="dxa"/>
            <w:noWrap w:val="0"/>
            <w:vAlign w:val="center"/>
          </w:tcPr>
          <w:p w14:paraId="658BEB90">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商务</w:t>
            </w:r>
          </w:p>
        </w:tc>
        <w:tc>
          <w:tcPr>
            <w:tcW w:w="4141" w:type="dxa"/>
            <w:noWrap w:val="0"/>
            <w:vAlign w:val="center"/>
          </w:tcPr>
          <w:p w14:paraId="7D775650">
            <w:pPr>
              <w:adjustRightInd w:val="0"/>
              <w:snapToGrid w:val="0"/>
              <w:spacing w:before="156" w:beforeLines="50" w:line="360" w:lineRule="auto"/>
              <w:jc w:val="center"/>
              <w:rPr>
                <w:rFonts w:hint="default" w:ascii="宋体" w:hAnsi="宋体" w:eastAsia="宋体" w:cs="宋体"/>
                <w:color w:val="000000"/>
                <w:sz w:val="20"/>
                <w:szCs w:val="20"/>
                <w:lang w:val="en-US" w:eastAsia="zh-CN"/>
              </w:rPr>
            </w:pPr>
            <w:bookmarkStart w:id="24" w:name="S_2_9"/>
            <w:bookmarkEnd w:id="24"/>
            <w:r>
              <w:rPr>
                <w:rFonts w:hint="eastAsia" w:ascii="宋体" w:hAnsi="宋体" w:eastAsia="宋体" w:cs="宋体"/>
                <w:color w:val="000000"/>
                <w:sz w:val="20"/>
                <w:szCs w:val="20"/>
              </w:rPr>
              <w:t>0.</w:t>
            </w:r>
            <w:r>
              <w:rPr>
                <w:rFonts w:hint="eastAsia" w:ascii="宋体" w:hAnsi="宋体" w:eastAsia="宋体" w:cs="宋体"/>
                <w:color w:val="000000"/>
                <w:sz w:val="20"/>
                <w:szCs w:val="20"/>
                <w:lang w:val="en-US" w:eastAsia="zh-CN"/>
              </w:rPr>
              <w:t>30</w:t>
            </w:r>
          </w:p>
        </w:tc>
      </w:tr>
      <w:tr w14:paraId="4D990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noWrap w:val="0"/>
            <w:vAlign w:val="center"/>
          </w:tcPr>
          <w:p w14:paraId="2E8140F7">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w:t>
            </w:r>
          </w:p>
        </w:tc>
        <w:tc>
          <w:tcPr>
            <w:tcW w:w="5669" w:type="dxa"/>
            <w:noWrap w:val="0"/>
            <w:vAlign w:val="center"/>
          </w:tcPr>
          <w:p w14:paraId="12B84B16">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其他</w:t>
            </w:r>
          </w:p>
        </w:tc>
        <w:tc>
          <w:tcPr>
            <w:tcW w:w="4141" w:type="dxa"/>
            <w:noWrap w:val="0"/>
            <w:vAlign w:val="center"/>
          </w:tcPr>
          <w:p w14:paraId="732F7C9B">
            <w:pPr>
              <w:adjustRightInd w:val="0"/>
              <w:snapToGrid w:val="0"/>
              <w:spacing w:before="156" w:beforeLines="50" w:line="360" w:lineRule="auto"/>
              <w:jc w:val="center"/>
              <w:rPr>
                <w:rFonts w:hint="eastAsia" w:ascii="宋体" w:hAnsi="宋体" w:eastAsia="宋体" w:cs="宋体"/>
                <w:color w:val="000000"/>
                <w:sz w:val="20"/>
                <w:szCs w:val="20"/>
              </w:rPr>
            </w:pPr>
            <w:bookmarkStart w:id="25" w:name="S_2_10"/>
            <w:bookmarkEnd w:id="25"/>
            <w:r>
              <w:rPr>
                <w:rFonts w:hint="eastAsia" w:ascii="宋体" w:hAnsi="宋体" w:eastAsia="宋体" w:cs="宋体"/>
                <w:color w:val="000000"/>
                <w:sz w:val="20"/>
                <w:szCs w:val="20"/>
              </w:rPr>
              <w:t>/</w:t>
            </w:r>
          </w:p>
        </w:tc>
      </w:tr>
      <w:tr w14:paraId="62389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41" w:type="dxa"/>
            <w:gridSpan w:val="2"/>
            <w:noWrap w:val="0"/>
            <w:vAlign w:val="top"/>
          </w:tcPr>
          <w:p w14:paraId="53F4F8BD">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∑(1+2+3+4)=1</w:t>
            </w:r>
          </w:p>
        </w:tc>
        <w:tc>
          <w:tcPr>
            <w:tcW w:w="4141" w:type="dxa"/>
            <w:noWrap w:val="0"/>
            <w:vAlign w:val="center"/>
          </w:tcPr>
          <w:p w14:paraId="36F031CA">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r>
    </w:tbl>
    <w:p w14:paraId="753A1395">
      <w:pPr>
        <w:spacing w:line="440" w:lineRule="exact"/>
        <w:jc w:val="center"/>
        <w:outlineLvl w:val="1"/>
        <w:rPr>
          <w:rFonts w:hint="eastAsia" w:ascii="宋体" w:hAnsi="宋体" w:eastAsia="宋体" w:cs="Times New Roman"/>
          <w:b/>
          <w:color w:val="000000"/>
          <w:sz w:val="24"/>
        </w:rPr>
      </w:pPr>
      <w:bookmarkStart w:id="26" w:name="_Toc18570"/>
      <w:bookmarkStart w:id="27" w:name="_Toc31420"/>
    </w:p>
    <w:bookmarkEnd w:id="26"/>
    <w:bookmarkEnd w:id="27"/>
    <w:p w14:paraId="6E687B30">
      <w:pPr>
        <w:rPr>
          <w:rFonts w:hint="eastAsia" w:ascii="宋体" w:hAnsi="宋体" w:eastAsia="宋体" w:cs="Times New Roman"/>
          <w:b/>
          <w:color w:val="000000"/>
          <w:sz w:val="24"/>
        </w:rPr>
      </w:pPr>
      <w:r>
        <w:rPr>
          <w:rFonts w:hint="eastAsia" w:ascii="宋体" w:hAnsi="宋体" w:eastAsia="宋体" w:cs="Times New Roman"/>
          <w:b/>
          <w:color w:val="000000"/>
          <w:sz w:val="24"/>
        </w:rPr>
        <w:br w:type="page"/>
      </w:r>
    </w:p>
    <w:p w14:paraId="5389F274">
      <w:pPr>
        <w:spacing w:line="440" w:lineRule="exact"/>
        <w:jc w:val="center"/>
        <w:outlineLvl w:val="1"/>
        <w:rPr>
          <w:rFonts w:hint="eastAsia" w:ascii="宋体" w:hAnsi="宋体" w:eastAsia="宋体" w:cs="Times New Roman"/>
          <w:b/>
          <w:color w:val="000000"/>
          <w:sz w:val="24"/>
        </w:rPr>
      </w:pPr>
    </w:p>
    <w:p w14:paraId="00F16AE5">
      <w:pPr>
        <w:spacing w:line="440" w:lineRule="exact"/>
        <w:jc w:val="center"/>
        <w:outlineLvl w:val="1"/>
        <w:rPr>
          <w:rFonts w:hint="eastAsia" w:ascii="宋体" w:hAnsi="宋体" w:eastAsia="宋体" w:cs="Times New Roman"/>
          <w:b/>
          <w:color w:val="000000"/>
          <w:sz w:val="24"/>
        </w:rPr>
      </w:pPr>
      <w:r>
        <w:rPr>
          <w:rFonts w:hint="eastAsia" w:ascii="宋体" w:hAnsi="宋体" w:eastAsia="宋体" w:cs="Times New Roman"/>
          <w:b/>
          <w:color w:val="000000"/>
          <w:sz w:val="24"/>
        </w:rPr>
        <w:t>价格部分评审评分表（分值100分）</w:t>
      </w:r>
    </w:p>
    <w:p w14:paraId="664A03AD">
      <w:pPr>
        <w:keepNext/>
        <w:keepLines/>
        <w:widowControl w:val="0"/>
        <w:spacing w:line="360" w:lineRule="auto"/>
        <w:jc w:val="both"/>
        <w:outlineLvl w:val="1"/>
        <w:rPr>
          <w:rFonts w:ascii="Arial" w:hAnsi="Arial" w:eastAsia="宋体" w:cs="Times New Roman"/>
          <w:b/>
          <w:bCs/>
          <w:color w:val="000000"/>
          <w:kern w:val="0"/>
          <w:sz w:val="24"/>
          <w:szCs w:val="32"/>
          <w:lang w:val="en-US" w:eastAsia="zh-CN" w:bidi="ar-SA"/>
        </w:rPr>
      </w:pPr>
    </w:p>
    <w:tbl>
      <w:tblPr>
        <w:tblStyle w:val="40"/>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513"/>
        <w:gridCol w:w="844"/>
        <w:gridCol w:w="7507"/>
      </w:tblGrid>
      <w:tr w14:paraId="7CA2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blHeader/>
          <w:jc w:val="center"/>
        </w:trPr>
        <w:tc>
          <w:tcPr>
            <w:tcW w:w="741" w:type="dxa"/>
            <w:noWrap w:val="0"/>
            <w:vAlign w:val="center"/>
          </w:tcPr>
          <w:p w14:paraId="28014C8D">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序号</w:t>
            </w:r>
          </w:p>
        </w:tc>
        <w:tc>
          <w:tcPr>
            <w:tcW w:w="1513" w:type="dxa"/>
            <w:noWrap w:val="0"/>
            <w:vAlign w:val="center"/>
          </w:tcPr>
          <w:p w14:paraId="7298F5C7">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评审因素</w:t>
            </w:r>
          </w:p>
        </w:tc>
        <w:tc>
          <w:tcPr>
            <w:tcW w:w="844" w:type="dxa"/>
            <w:noWrap w:val="0"/>
            <w:vAlign w:val="center"/>
          </w:tcPr>
          <w:p w14:paraId="2C50A907">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分值</w:t>
            </w:r>
          </w:p>
        </w:tc>
        <w:tc>
          <w:tcPr>
            <w:tcW w:w="7507" w:type="dxa"/>
            <w:noWrap w:val="0"/>
            <w:vAlign w:val="center"/>
          </w:tcPr>
          <w:p w14:paraId="5D2074D9">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评分标准</w:t>
            </w:r>
          </w:p>
        </w:tc>
      </w:tr>
      <w:tr w14:paraId="7274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blHeader/>
          <w:jc w:val="center"/>
        </w:trPr>
        <w:tc>
          <w:tcPr>
            <w:tcW w:w="741" w:type="dxa"/>
            <w:noWrap w:val="0"/>
            <w:vAlign w:val="center"/>
          </w:tcPr>
          <w:p w14:paraId="4099CD6A">
            <w:pPr>
              <w:autoSpaceDE w:val="0"/>
              <w:autoSpaceDN w:val="0"/>
              <w:adjustRightInd w:val="0"/>
              <w:snapToGrid w:val="0"/>
              <w:spacing w:before="156" w:beforeLines="50" w:line="360" w:lineRule="auto"/>
              <w:jc w:val="center"/>
              <w:rPr>
                <w:rFonts w:ascii="宋体" w:hAnsi="宋体" w:eastAsia="宋体" w:cs="宋体"/>
                <w:color w:val="000000"/>
                <w:szCs w:val="21"/>
              </w:rPr>
            </w:pPr>
            <w:r>
              <w:rPr>
                <w:rFonts w:ascii="宋体" w:hAnsi="宋体" w:eastAsia="宋体" w:cs="宋体"/>
                <w:color w:val="000000"/>
                <w:szCs w:val="21"/>
              </w:rPr>
              <w:t>1</w:t>
            </w:r>
          </w:p>
        </w:tc>
        <w:tc>
          <w:tcPr>
            <w:tcW w:w="1513" w:type="dxa"/>
            <w:noWrap w:val="0"/>
            <w:vAlign w:val="center"/>
          </w:tcPr>
          <w:p w14:paraId="528D0E7E">
            <w:pPr>
              <w:autoSpaceDE w:val="0"/>
              <w:autoSpaceDN w:val="0"/>
              <w:adjustRightInd w:val="0"/>
              <w:snapToGrid w:val="0"/>
              <w:spacing w:before="156" w:beforeLines="50" w:line="276" w:lineRule="auto"/>
              <w:jc w:val="center"/>
              <w:rPr>
                <w:rFonts w:ascii="宋体" w:hAnsi="宋体" w:eastAsia="宋体" w:cs="宋体"/>
                <w:color w:val="000000"/>
                <w:szCs w:val="21"/>
              </w:rPr>
            </w:pPr>
            <w:r>
              <w:rPr>
                <w:rFonts w:hint="eastAsia" w:ascii="Times New Roman" w:hAnsi="宋体" w:eastAsia="宋体" w:cs="宋体"/>
                <w:color w:val="000000"/>
                <w:lang w:val="zh-CN"/>
              </w:rPr>
              <w:t>投标报价</w:t>
            </w:r>
          </w:p>
        </w:tc>
        <w:tc>
          <w:tcPr>
            <w:tcW w:w="844" w:type="dxa"/>
            <w:noWrap w:val="0"/>
            <w:vAlign w:val="center"/>
          </w:tcPr>
          <w:p w14:paraId="730913FE">
            <w:pPr>
              <w:autoSpaceDE w:val="0"/>
              <w:autoSpaceDN w:val="0"/>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100</w:t>
            </w:r>
          </w:p>
        </w:tc>
        <w:tc>
          <w:tcPr>
            <w:tcW w:w="7507" w:type="dxa"/>
            <w:noWrap w:val="0"/>
            <w:vAlign w:val="center"/>
          </w:tcPr>
          <w:p w14:paraId="2F7F94FB">
            <w:pPr>
              <w:spacing w:line="276" w:lineRule="auto"/>
              <w:rPr>
                <w:rFonts w:ascii="宋体" w:hAnsi="宋体" w:eastAsia="宋体" w:cs="宋体"/>
                <w:color w:val="000000"/>
                <w:kern w:val="0"/>
                <w:szCs w:val="21"/>
              </w:rPr>
            </w:pPr>
            <w:r>
              <w:rPr>
                <w:rFonts w:hint="eastAsia" w:ascii="宋体" w:hAnsi="宋体" w:eastAsia="宋体" w:cs="宋体"/>
                <w:color w:val="000000"/>
                <w:kern w:val="0"/>
                <w:szCs w:val="21"/>
              </w:rPr>
              <w:t>满足招标文件要求且投标价格最低的投标报价为评标基准价，除低于成本价的投标报价被拒绝外，其价格分为100分。其他投标人的价格分按照下列公式计算：</w:t>
            </w:r>
          </w:p>
          <w:p w14:paraId="21E2C819">
            <w:pPr>
              <w:spacing w:line="276" w:lineRule="auto"/>
              <w:rPr>
                <w:rFonts w:ascii="宋体" w:hAnsi="宋体" w:eastAsia="宋体" w:cs="宋体"/>
                <w:color w:val="000000"/>
                <w:kern w:val="0"/>
                <w:szCs w:val="21"/>
              </w:rPr>
            </w:pPr>
            <w:r>
              <w:rPr>
                <w:rFonts w:hint="eastAsia" w:ascii="宋体" w:hAnsi="宋体" w:eastAsia="宋体" w:cs="宋体"/>
                <w:bCs/>
                <w:color w:val="000000"/>
                <w:kern w:val="0"/>
                <w:szCs w:val="21"/>
              </w:rPr>
              <w:t>投标报价计分＝（评标基准价/投标报价）×100</w:t>
            </w:r>
          </w:p>
          <w:p w14:paraId="151D14C6">
            <w:pPr>
              <w:widowControl w:val="0"/>
              <w:spacing w:line="276" w:lineRule="auto"/>
              <w:ind w:firstLine="0" w:firstLineChars="0"/>
              <w:jc w:val="both"/>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 xml:space="preserve">低价投标的处理：政府采购评审中出现下列情形之一的，评审委员会应当启动异常低价投标（响应）审查程序（财库〔2026〕2号文）： </w:t>
            </w:r>
          </w:p>
          <w:p w14:paraId="42385F45">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1.投标（响应）报价低于全部通过符合性审查供应商投标（响应）报价平均值50%的，即投标（响应）报价&lt;全部通过符合性审查供应商投标（响应）报价平均值×50%； </w:t>
            </w:r>
          </w:p>
          <w:p w14:paraId="19CF1AC8">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2.投标（响应）报价低于通过符合性审查的次低报价供应商投标（响应）报价50%的，即投标（响应）报价&lt;通过符合性审查的次低报价供应商投标（响应）报价×50%； </w:t>
            </w:r>
          </w:p>
          <w:p w14:paraId="17E75FCA">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3.投标（响应）报价低于采购项目最高限价45%的，即投标（响应）报价&lt;采购项目最高限价×45%； </w:t>
            </w:r>
          </w:p>
          <w:p w14:paraId="1719F0D4">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4.评审委员会基于专业判断，认为供应商报价过低，有可能影响产品质量或者不能诚信履约的其他情形。 </w:t>
            </w:r>
          </w:p>
          <w:p w14:paraId="7159E311">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w:t>
            </w:r>
            <w:r>
              <w:rPr>
                <w:rFonts w:hint="eastAsia" w:ascii="宋体" w:hAnsi="宋体" w:cs="宋体"/>
                <w:bCs/>
                <w:color w:val="auto"/>
                <w:kern w:val="0"/>
                <w:sz w:val="21"/>
                <w:szCs w:val="21"/>
                <w:lang w:val="en-US" w:eastAsia="zh-CN" w:bidi="ar-SA"/>
              </w:rPr>
              <w:t>5.</w:t>
            </w:r>
            <w:r>
              <w:rPr>
                <w:rFonts w:hint="eastAsia" w:ascii="宋体" w:hAnsi="宋体" w:eastAsia="宋体" w:cs="宋体"/>
                <w:bCs/>
                <w:color w:val="auto"/>
                <w:kern w:val="0"/>
                <w:sz w:val="21"/>
                <w:szCs w:val="21"/>
                <w:lang w:val="en-US" w:eastAsia="zh-CN" w:bidi="ar-SA"/>
              </w:rPr>
              <w:t xml:space="preserve">相关法律法规对供应商报价有规定的，从其规定。 </w:t>
            </w:r>
          </w:p>
          <w:p w14:paraId="69DCC46C">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p>
          <w:p w14:paraId="1E8D613A">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06225B0">
            <w:pPr>
              <w:widowControl w:val="0"/>
              <w:spacing w:line="276" w:lineRule="auto"/>
              <w:ind w:firstLine="0" w:firstLineChars="0"/>
              <w:jc w:val="both"/>
              <w:rPr>
                <w:rFonts w:ascii="宋体" w:hAnsi="宋体" w:eastAsia="宋体" w:cs="宋体"/>
                <w:b/>
                <w:color w:val="000000"/>
                <w:kern w:val="0"/>
                <w:sz w:val="21"/>
                <w:szCs w:val="21"/>
                <w:lang w:val="en-US" w:eastAsia="zh-CN" w:bidi="ar-SA"/>
              </w:rPr>
            </w:pPr>
            <w:r>
              <w:rPr>
                <w:rFonts w:hint="eastAsia" w:ascii="宋体" w:hAnsi="宋体" w:eastAsia="宋体" w:cs="宋体"/>
                <w:bCs/>
                <w:color w:val="auto"/>
                <w:kern w:val="0"/>
                <w:sz w:val="21"/>
                <w:szCs w:val="21"/>
                <w:lang w:val="en-US" w:eastAsia="zh-CN" w:bidi="ar-SA"/>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69BFAF19">
      <w:pPr>
        <w:spacing w:line="440" w:lineRule="exact"/>
        <w:jc w:val="center"/>
        <w:outlineLvl w:val="1"/>
        <w:rPr>
          <w:rFonts w:hint="eastAsia" w:ascii="宋体" w:hAnsi="宋体" w:eastAsia="宋体" w:cs="Times New Roman"/>
          <w:b/>
          <w:color w:val="000000"/>
          <w:sz w:val="24"/>
        </w:rPr>
      </w:pPr>
    </w:p>
    <w:p w14:paraId="1158DFDC">
      <w:pPr>
        <w:spacing w:line="440" w:lineRule="exact"/>
        <w:jc w:val="center"/>
        <w:outlineLvl w:val="1"/>
        <w:rPr>
          <w:rFonts w:hint="eastAsia" w:ascii="宋体" w:hAnsi="宋体" w:eastAsia="宋体" w:cs="Times New Roman"/>
          <w:b/>
          <w:color w:val="000000"/>
          <w:sz w:val="24"/>
        </w:rPr>
      </w:pPr>
    </w:p>
    <w:p w14:paraId="4666546E">
      <w:pPr>
        <w:spacing w:line="440" w:lineRule="exact"/>
        <w:jc w:val="center"/>
        <w:outlineLvl w:val="1"/>
        <w:rPr>
          <w:rFonts w:hint="eastAsia" w:ascii="宋体" w:hAnsi="宋体" w:eastAsia="宋体" w:cs="Times New Roman"/>
          <w:b/>
          <w:color w:val="000000"/>
          <w:sz w:val="24"/>
        </w:rPr>
      </w:pPr>
    </w:p>
    <w:p w14:paraId="28112192">
      <w:pPr>
        <w:spacing w:line="440" w:lineRule="exact"/>
        <w:jc w:val="center"/>
        <w:outlineLvl w:val="1"/>
        <w:rPr>
          <w:rFonts w:hint="eastAsia" w:ascii="宋体" w:hAnsi="宋体" w:eastAsia="宋体" w:cs="Times New Roman"/>
          <w:b/>
          <w:color w:val="000000"/>
          <w:sz w:val="24"/>
        </w:rPr>
      </w:pPr>
      <w:r>
        <w:rPr>
          <w:rFonts w:hint="eastAsia" w:ascii="宋体" w:hAnsi="宋体" w:eastAsia="宋体" w:cs="Times New Roman"/>
          <w:b/>
          <w:color w:val="000000"/>
          <w:sz w:val="24"/>
        </w:rPr>
        <w:t>技术部分评审评分表（分值100分）</w:t>
      </w:r>
    </w:p>
    <w:p w14:paraId="29228456">
      <w:pPr>
        <w:keepNext/>
        <w:keepLines/>
        <w:widowControl w:val="0"/>
        <w:spacing w:line="360" w:lineRule="auto"/>
        <w:jc w:val="both"/>
        <w:outlineLvl w:val="1"/>
        <w:rPr>
          <w:rFonts w:ascii="Arial" w:hAnsi="Arial" w:eastAsia="宋体" w:cs="Times New Roman"/>
          <w:b/>
          <w:bCs/>
          <w:color w:val="000000"/>
          <w:kern w:val="0"/>
          <w:sz w:val="24"/>
          <w:szCs w:val="32"/>
          <w:lang w:val="en-US" w:eastAsia="zh-CN" w:bidi="ar-SA"/>
        </w:rPr>
      </w:pPr>
    </w:p>
    <w:tbl>
      <w:tblPr>
        <w:tblStyle w:val="40"/>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513"/>
        <w:gridCol w:w="844"/>
        <w:gridCol w:w="7507"/>
      </w:tblGrid>
      <w:tr w14:paraId="332D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blHeader/>
          <w:jc w:val="center"/>
        </w:trPr>
        <w:tc>
          <w:tcPr>
            <w:tcW w:w="741" w:type="dxa"/>
            <w:noWrap w:val="0"/>
            <w:vAlign w:val="center"/>
          </w:tcPr>
          <w:p w14:paraId="4B06A32F">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序号</w:t>
            </w:r>
          </w:p>
        </w:tc>
        <w:tc>
          <w:tcPr>
            <w:tcW w:w="1513" w:type="dxa"/>
            <w:noWrap w:val="0"/>
            <w:vAlign w:val="center"/>
          </w:tcPr>
          <w:p w14:paraId="77F29713">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评审因素</w:t>
            </w:r>
          </w:p>
        </w:tc>
        <w:tc>
          <w:tcPr>
            <w:tcW w:w="844" w:type="dxa"/>
            <w:noWrap w:val="0"/>
            <w:vAlign w:val="center"/>
          </w:tcPr>
          <w:p w14:paraId="6B62A49B">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分值</w:t>
            </w:r>
          </w:p>
        </w:tc>
        <w:tc>
          <w:tcPr>
            <w:tcW w:w="7507" w:type="dxa"/>
            <w:noWrap w:val="0"/>
            <w:vAlign w:val="center"/>
          </w:tcPr>
          <w:p w14:paraId="2AAA12C5">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评分标准</w:t>
            </w:r>
          </w:p>
        </w:tc>
      </w:tr>
      <w:tr w14:paraId="27C2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blHeader/>
          <w:jc w:val="center"/>
        </w:trPr>
        <w:tc>
          <w:tcPr>
            <w:tcW w:w="741" w:type="dxa"/>
            <w:noWrap w:val="0"/>
            <w:vAlign w:val="center"/>
          </w:tcPr>
          <w:p w14:paraId="69DA2308">
            <w:pPr>
              <w:autoSpaceDE w:val="0"/>
              <w:autoSpaceDN w:val="0"/>
              <w:adjustRightInd w:val="0"/>
              <w:snapToGrid w:val="0"/>
              <w:spacing w:before="156" w:beforeLines="50" w:line="360" w:lineRule="auto"/>
              <w:jc w:val="center"/>
              <w:rPr>
                <w:rFonts w:ascii="宋体" w:hAnsi="宋体" w:eastAsia="宋体" w:cs="宋体"/>
                <w:color w:val="000000"/>
                <w:szCs w:val="21"/>
              </w:rPr>
            </w:pPr>
            <w:r>
              <w:rPr>
                <w:rFonts w:ascii="宋体" w:hAnsi="宋体" w:eastAsia="宋体" w:cs="宋体"/>
                <w:color w:val="000000"/>
                <w:szCs w:val="21"/>
              </w:rPr>
              <w:t>1</w:t>
            </w:r>
          </w:p>
        </w:tc>
        <w:tc>
          <w:tcPr>
            <w:tcW w:w="1513" w:type="dxa"/>
            <w:noWrap w:val="0"/>
            <w:vAlign w:val="center"/>
          </w:tcPr>
          <w:p w14:paraId="5ADD6649">
            <w:pPr>
              <w:autoSpaceDE w:val="0"/>
              <w:autoSpaceDN w:val="0"/>
              <w:adjustRightInd w:val="0"/>
              <w:snapToGrid w:val="0"/>
              <w:spacing w:before="156" w:beforeLines="50" w:line="276" w:lineRule="auto"/>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采购需求</w:t>
            </w:r>
          </w:p>
          <w:p w14:paraId="130F90E9">
            <w:pPr>
              <w:autoSpaceDE w:val="0"/>
              <w:autoSpaceDN w:val="0"/>
              <w:adjustRightInd w:val="0"/>
              <w:snapToGrid w:val="0"/>
              <w:spacing w:before="156" w:beforeLines="50" w:line="276" w:lineRule="auto"/>
              <w:jc w:val="center"/>
              <w:rPr>
                <w:rFonts w:ascii="宋体" w:hAnsi="宋体" w:eastAsia="宋体" w:cs="宋体"/>
                <w:color w:val="000000"/>
                <w:szCs w:val="21"/>
              </w:rPr>
            </w:pPr>
            <w:r>
              <w:rPr>
                <w:rFonts w:ascii="Times New Roman" w:hAnsi="Times New Roman" w:eastAsia="宋体" w:cs="Times New Roman"/>
                <w:color w:val="000000"/>
                <w:szCs w:val="21"/>
              </w:rPr>
              <w:t>响应评分</w:t>
            </w:r>
          </w:p>
        </w:tc>
        <w:tc>
          <w:tcPr>
            <w:tcW w:w="844" w:type="dxa"/>
            <w:noWrap w:val="0"/>
            <w:vAlign w:val="center"/>
          </w:tcPr>
          <w:p w14:paraId="5C6BB0B5">
            <w:pPr>
              <w:autoSpaceDE w:val="0"/>
              <w:autoSpaceDN w:val="0"/>
              <w:adjustRightInd w:val="0"/>
              <w:snapToGrid w:val="0"/>
              <w:spacing w:before="156" w:beforeLines="50" w:line="360" w:lineRule="auto"/>
              <w:jc w:val="center"/>
              <w:rPr>
                <w:rFonts w:ascii="宋体" w:hAnsi="宋体" w:eastAsia="宋体" w:cs="宋体"/>
                <w:color w:val="000000"/>
                <w:szCs w:val="21"/>
              </w:rPr>
            </w:pPr>
            <w:r>
              <w:rPr>
                <w:rFonts w:hint="eastAsia" w:ascii="宋体" w:hAnsi="宋体" w:eastAsia="宋体" w:cs="宋体"/>
                <w:color w:val="000000"/>
                <w:szCs w:val="21"/>
              </w:rPr>
              <w:t>100</w:t>
            </w:r>
          </w:p>
        </w:tc>
        <w:tc>
          <w:tcPr>
            <w:tcW w:w="7507" w:type="dxa"/>
            <w:noWrap w:val="0"/>
            <w:vAlign w:val="center"/>
          </w:tcPr>
          <w:p w14:paraId="30035E92">
            <w:pPr>
              <w:autoSpaceDE w:val="0"/>
              <w:autoSpaceDN w:val="0"/>
              <w:adjustRightInd w:val="0"/>
              <w:snapToGrid w:val="0"/>
              <w:spacing w:before="156" w:beforeLines="50" w:line="276" w:lineRule="auto"/>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投标人应如实填写《</w:t>
            </w:r>
            <w:r>
              <w:rPr>
                <w:rFonts w:hint="eastAsia" w:ascii="Times New Roman" w:hAnsi="Times New Roman" w:eastAsia="宋体" w:cs="Times New Roman"/>
                <w:color w:val="000000"/>
                <w:szCs w:val="21"/>
                <w:lang w:val="en-US" w:eastAsia="zh-CN"/>
              </w:rPr>
              <w:t>货物说明响应一</w:t>
            </w:r>
            <w:r>
              <w:rPr>
                <w:rFonts w:hint="eastAsia" w:ascii="Times New Roman" w:hAnsi="Times New Roman" w:eastAsia="宋体" w:cs="Times New Roman"/>
                <w:color w:val="000000"/>
                <w:szCs w:val="21"/>
              </w:rPr>
              <w:t>览表》，评审委员会根据招标文件《第四章 技术规格、参数与要求》响应情况进行打分。投标文件没有技术条款响应/偏离表的不计分。</w:t>
            </w:r>
          </w:p>
          <w:p w14:paraId="03A07EED">
            <w:pPr>
              <w:autoSpaceDE w:val="0"/>
              <w:autoSpaceDN w:val="0"/>
              <w:adjustRightInd w:val="0"/>
              <w:snapToGrid w:val="0"/>
              <w:spacing w:before="156" w:beforeLines="50" w:line="276" w:lineRule="auto"/>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1、完全满足招标文件“第四章 技术规格、参数与要求”的，计100分。</w:t>
            </w:r>
          </w:p>
          <w:p w14:paraId="7FF4C244">
            <w:pPr>
              <w:autoSpaceDE w:val="0"/>
              <w:autoSpaceDN w:val="0"/>
              <w:adjustRightInd w:val="0"/>
              <w:snapToGrid w:val="0"/>
              <w:spacing w:before="156" w:beforeLines="50" w:line="276" w:lineRule="auto"/>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2、招标文件《第四章 技术规格、参数与要求》中，标注“▲”参数为重要参数，如存在负偏离，每条负偏离扣</w:t>
            </w:r>
            <w:r>
              <w:rPr>
                <w:rFonts w:hint="eastAsia" w:ascii="Times New Roman" w:hAnsi="Times New Roman" w:eastAsia="宋体" w:cs="Times New Roman"/>
                <w:color w:val="000000"/>
                <w:szCs w:val="21"/>
                <w:lang w:val="en-US" w:eastAsia="zh-CN"/>
              </w:rPr>
              <w:t>15</w:t>
            </w:r>
            <w:r>
              <w:rPr>
                <w:rFonts w:hint="eastAsia" w:ascii="Times New Roman" w:hAnsi="Times New Roman" w:eastAsia="宋体" w:cs="Times New Roman"/>
                <w:color w:val="000000"/>
                <w:szCs w:val="21"/>
              </w:rPr>
              <w:t>分，扣完为止。</w:t>
            </w:r>
          </w:p>
          <w:p w14:paraId="51E991FE">
            <w:pPr>
              <w:autoSpaceDE w:val="0"/>
              <w:autoSpaceDN w:val="0"/>
              <w:adjustRightInd w:val="0"/>
              <w:snapToGrid w:val="0"/>
              <w:spacing w:before="156" w:beforeLines="50" w:line="276" w:lineRule="auto"/>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3、招标文件《第四章 技术规格、参数与要求》中，非“▲”参数为一般参数，如存在负偏离，每项扣</w:t>
            </w:r>
            <w:r>
              <w:rPr>
                <w:rFonts w:hint="eastAsia" w:cs="Times New Roman"/>
                <w:color w:val="000000"/>
                <w:szCs w:val="21"/>
                <w:lang w:val="en-US" w:eastAsia="zh-CN"/>
              </w:rPr>
              <w:t>10</w:t>
            </w:r>
            <w:r>
              <w:rPr>
                <w:rFonts w:hint="eastAsia" w:ascii="Times New Roman" w:hAnsi="Times New Roman" w:eastAsia="宋体" w:cs="Times New Roman"/>
                <w:color w:val="000000"/>
                <w:szCs w:val="21"/>
              </w:rPr>
              <w:t>分，扣完为止。</w:t>
            </w:r>
          </w:p>
          <w:p w14:paraId="5FD5E15A">
            <w:pPr>
              <w:autoSpaceDE w:val="0"/>
              <w:autoSpaceDN w:val="0"/>
              <w:adjustRightInd w:val="0"/>
              <w:snapToGrid w:val="0"/>
              <w:spacing w:before="156" w:beforeLines="50" w:line="276" w:lineRule="auto"/>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注：</w:t>
            </w:r>
          </w:p>
          <w:p w14:paraId="135F0963">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szCs w:val="21"/>
              </w:rPr>
              <w:t>1）标注“</w:t>
            </w:r>
            <w:r>
              <w:rPr>
                <w:rFonts w:hint="eastAsia" w:ascii="Times New Roman" w:hAnsi="Times New Roman" w:eastAsia="宋体" w:cs="Times New Roman"/>
                <w:color w:val="000000"/>
                <w:szCs w:val="21"/>
                <w:highlight w:val="none"/>
              </w:rPr>
              <w:t>▲”号的</w:t>
            </w:r>
            <w:r>
              <w:rPr>
                <w:rFonts w:hint="eastAsia" w:cs="Times New Roman"/>
                <w:color w:val="000000"/>
                <w:szCs w:val="21"/>
                <w:highlight w:val="none"/>
                <w:lang w:val="en-US" w:eastAsia="zh-CN"/>
              </w:rPr>
              <w:t>要求</w:t>
            </w:r>
            <w:r>
              <w:rPr>
                <w:rFonts w:hint="eastAsia" w:ascii="Times New Roman" w:hAnsi="Times New Roman" w:eastAsia="宋体" w:cs="Times New Roman"/>
                <w:color w:val="000000"/>
                <w:szCs w:val="21"/>
                <w:highlight w:val="none"/>
              </w:rPr>
              <w:t>，须</w:t>
            </w:r>
            <w:r>
              <w:rPr>
                <w:rFonts w:hint="eastAsia" w:ascii="Times New Roman" w:hAnsi="Times New Roman" w:eastAsia="宋体" w:cs="Times New Roman"/>
                <w:color w:val="000000" w:themeColor="text1"/>
                <w:szCs w:val="21"/>
                <w:highlight w:val="none"/>
                <w14:textFill>
                  <w14:solidFill>
                    <w14:schemeClr w14:val="tx1"/>
                  </w14:solidFill>
                </w14:textFill>
              </w:rPr>
              <w:t>提供相关证明文件，包括但不限于投标货物制造商的印刷资料或原版技术白皮书或使用说明书或检测机构出具的检测报告</w:t>
            </w:r>
            <w:r>
              <w:rPr>
                <w:rFonts w:hint="eastAsia" w:cs="Times New Roman"/>
                <w:color w:val="000000" w:themeColor="text1"/>
                <w:szCs w:val="21"/>
                <w:highlight w:val="none"/>
                <w:lang w:val="en-US" w:eastAsia="zh-CN"/>
                <w14:textFill>
                  <w14:solidFill>
                    <w14:schemeClr w14:val="tx1"/>
                  </w14:solidFill>
                </w14:textFill>
              </w:rPr>
              <w:t>和售后维保及技术支持的授权书</w:t>
            </w:r>
            <w:r>
              <w:rPr>
                <w:rFonts w:hint="eastAsia" w:ascii="Times New Roman" w:hAnsi="Times New Roman" w:eastAsia="宋体" w:cs="Times New Roman"/>
                <w:color w:val="000000" w:themeColor="text1"/>
                <w:szCs w:val="21"/>
                <w:highlight w:val="none"/>
                <w14:textFill>
                  <w14:solidFill>
                    <w14:schemeClr w14:val="tx1"/>
                  </w14:solidFill>
                </w14:textFill>
              </w:rPr>
              <w:t>等形式；</w:t>
            </w:r>
          </w:p>
          <w:p w14:paraId="4F229C3B">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2）一般技术参数中如在招标文件中要求提供相关证明文件的，投标人应提供相应的技术参数的证明文件，包括但不限于投标货物制造商的印刷资料或原版技术白皮书或使用说明书或检测机构出具的检测报告等形式；</w:t>
            </w:r>
          </w:p>
          <w:p w14:paraId="08BFD065">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3）如未按要求提供相关证明文件的条款，按负偏离处理；如相关证明文件技术参数不清楚或缺漏项，该项按负偏离处理；</w:t>
            </w:r>
          </w:p>
          <w:p w14:paraId="08461185">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4）采购文件中要求提供投标货物制造商的印刷资料或原版技术白皮书或使用说明书或检测机构出具的检测报告的；如印刷资料或技术白皮书或使用说明书与检测报告不一致的，以检测机构出具的检测报告为准；如提供的资料不清晰或不完整或有缺漏页，导致评标委员会无法判别</w:t>
            </w:r>
            <w:r>
              <w:rPr>
                <w:rFonts w:hint="eastAsia" w:cs="Times New Roman"/>
                <w:color w:val="000000" w:themeColor="text1"/>
                <w:szCs w:val="21"/>
                <w:lang w:val="en-US" w:eastAsia="zh-CN"/>
                <w14:textFill>
                  <w14:solidFill>
                    <w14:schemeClr w14:val="tx1"/>
                  </w14:solidFill>
                </w14:textFill>
              </w:rPr>
              <w:t>响应情况的</w:t>
            </w:r>
            <w:r>
              <w:rPr>
                <w:rFonts w:hint="eastAsia" w:ascii="Times New Roman" w:hAnsi="Times New Roman" w:eastAsia="宋体" w:cs="Times New Roman"/>
                <w:color w:val="000000" w:themeColor="text1"/>
                <w:szCs w:val="21"/>
                <w14:textFill>
                  <w14:solidFill>
                    <w14:schemeClr w14:val="tx1"/>
                  </w14:solidFill>
                </w14:textFill>
              </w:rPr>
              <w:t>，一律按负偏离处理。</w:t>
            </w:r>
          </w:p>
          <w:p w14:paraId="1E6C87B4">
            <w:pPr>
              <w:autoSpaceDE w:val="0"/>
              <w:autoSpaceDN w:val="0"/>
              <w:adjustRightInd w:val="0"/>
              <w:snapToGrid w:val="0"/>
              <w:spacing w:before="156" w:beforeLines="50" w:line="276" w:lineRule="auto"/>
              <w:rPr>
                <w:rFonts w:hint="default" w:ascii="Times New Roman" w:hAnsi="Times New Roman" w:eastAsia="宋体" w:cs="Times New Roman"/>
                <w:color w:val="FF0000"/>
                <w:szCs w:val="21"/>
                <w:lang w:val="en-US" w:eastAsia="zh-CN"/>
              </w:rPr>
            </w:pPr>
            <w:r>
              <w:rPr>
                <w:rFonts w:hint="eastAsia" w:cs="Times New Roman"/>
                <w:color w:val="000000" w:themeColor="text1"/>
                <w:szCs w:val="21"/>
                <w:lang w:val="en-US" w:eastAsia="zh-CN"/>
                <w14:textFill>
                  <w14:solidFill>
                    <w14:schemeClr w14:val="tx1"/>
                  </w14:solidFill>
                </w14:textFill>
              </w:rPr>
              <w:t>5</w:t>
            </w:r>
            <w:r>
              <w:rPr>
                <w:rFonts w:hint="eastAsia" w:cs="Times New Roman"/>
                <w:color w:val="000000" w:themeColor="text1"/>
                <w:szCs w:val="21"/>
                <w:lang w:eastAsia="zh-CN"/>
                <w14:textFill>
                  <w14:solidFill>
                    <w14:schemeClr w14:val="tx1"/>
                  </w14:solidFill>
                </w14:textFill>
              </w:rPr>
              <w:t>）</w:t>
            </w:r>
            <w:r>
              <w:rPr>
                <w:rFonts w:hint="eastAsia" w:cs="Times New Roman"/>
                <w:b/>
                <w:bCs/>
                <w:color w:val="000000" w:themeColor="text1"/>
                <w:szCs w:val="21"/>
                <w:lang w:val="en-US" w:eastAsia="zh-CN"/>
                <w14:textFill>
                  <w14:solidFill>
                    <w14:schemeClr w14:val="tx1"/>
                  </w14:solidFill>
                </w14:textFill>
              </w:rPr>
              <w:t>以上相关证明材料制造商和投标人均需加盖公章</w:t>
            </w:r>
            <w:r>
              <w:rPr>
                <w:rFonts w:hint="eastAsia" w:cs="Times New Roman"/>
                <w:color w:val="000000" w:themeColor="text1"/>
                <w:szCs w:val="21"/>
                <w:lang w:val="en-US" w:eastAsia="zh-CN"/>
                <w14:textFill>
                  <w14:solidFill>
                    <w14:schemeClr w14:val="tx1"/>
                  </w14:solidFill>
                </w14:textFill>
              </w:rPr>
              <w:t>。</w:t>
            </w:r>
          </w:p>
        </w:tc>
      </w:tr>
    </w:tbl>
    <w:p w14:paraId="29A35164">
      <w:pPr>
        <w:spacing w:line="440" w:lineRule="exact"/>
        <w:jc w:val="center"/>
        <w:rPr>
          <w:rFonts w:hint="eastAsia" w:ascii="宋体" w:hAnsi="宋体" w:eastAsia="宋体" w:cs="Times New Roman"/>
          <w:b/>
          <w:color w:val="000000"/>
          <w:sz w:val="24"/>
        </w:rPr>
      </w:pPr>
    </w:p>
    <w:p w14:paraId="19BA0E4D">
      <w:pPr>
        <w:spacing w:line="440" w:lineRule="exact"/>
        <w:jc w:val="center"/>
        <w:rPr>
          <w:rFonts w:hint="eastAsia" w:ascii="宋体" w:hAnsi="宋体" w:eastAsia="宋体" w:cs="Times New Roman"/>
          <w:b/>
          <w:color w:val="000000"/>
          <w:sz w:val="24"/>
        </w:rPr>
      </w:pPr>
    </w:p>
    <w:p w14:paraId="4A647A61">
      <w:pPr>
        <w:spacing w:line="440" w:lineRule="exact"/>
        <w:jc w:val="center"/>
        <w:rPr>
          <w:rFonts w:hint="eastAsia" w:ascii="宋体" w:hAnsi="宋体" w:eastAsia="宋体" w:cs="Times New Roman"/>
          <w:b/>
          <w:color w:val="000000"/>
          <w:sz w:val="24"/>
        </w:rPr>
      </w:pPr>
    </w:p>
    <w:p w14:paraId="09BBA90D">
      <w:pPr>
        <w:spacing w:line="440" w:lineRule="exact"/>
        <w:jc w:val="center"/>
        <w:rPr>
          <w:rFonts w:hint="eastAsia" w:ascii="宋体" w:hAnsi="宋体" w:eastAsia="宋体" w:cs="Times New Roman"/>
          <w:b/>
          <w:color w:val="000000"/>
          <w:sz w:val="24"/>
        </w:rPr>
      </w:pPr>
    </w:p>
    <w:p w14:paraId="66CF3ABC">
      <w:pPr>
        <w:spacing w:line="440" w:lineRule="exact"/>
        <w:jc w:val="center"/>
        <w:rPr>
          <w:rFonts w:hint="eastAsia" w:ascii="宋体" w:hAnsi="宋体" w:eastAsia="宋体" w:cs="Times New Roman"/>
          <w:b/>
          <w:color w:val="000000"/>
          <w:sz w:val="24"/>
        </w:rPr>
      </w:pPr>
    </w:p>
    <w:p w14:paraId="36DF86A0">
      <w:pPr>
        <w:spacing w:line="440" w:lineRule="exact"/>
        <w:jc w:val="center"/>
        <w:rPr>
          <w:rFonts w:hint="eastAsia" w:ascii="宋体" w:hAnsi="宋体" w:eastAsia="宋体" w:cs="Times New Roman"/>
          <w:b/>
          <w:color w:val="000000"/>
          <w:sz w:val="24"/>
        </w:rPr>
      </w:pPr>
    </w:p>
    <w:p w14:paraId="0170E5C3">
      <w:pPr>
        <w:spacing w:line="440" w:lineRule="exact"/>
        <w:jc w:val="center"/>
        <w:rPr>
          <w:rFonts w:hint="eastAsia" w:ascii="宋体" w:hAnsi="宋体" w:eastAsia="宋体" w:cs="Times New Roman"/>
          <w:b/>
          <w:color w:val="000000"/>
          <w:sz w:val="24"/>
        </w:rPr>
      </w:pPr>
    </w:p>
    <w:p w14:paraId="0D23218A">
      <w:pPr>
        <w:spacing w:line="440" w:lineRule="exact"/>
        <w:jc w:val="center"/>
        <w:rPr>
          <w:rFonts w:hint="eastAsia" w:ascii="宋体" w:hAnsi="宋体" w:eastAsia="宋体" w:cs="Times New Roman"/>
          <w:b/>
          <w:color w:val="000000"/>
          <w:sz w:val="24"/>
        </w:rPr>
      </w:pPr>
    </w:p>
    <w:p w14:paraId="340ABA37">
      <w:pPr>
        <w:spacing w:line="440" w:lineRule="exact"/>
        <w:jc w:val="center"/>
        <w:outlineLvl w:val="1"/>
        <w:rPr>
          <w:rFonts w:ascii="宋体" w:hAnsi="Times New Roman" w:eastAsia="宋体" w:cs="Times New Roman"/>
          <w:b/>
          <w:color w:val="000000"/>
          <w:sz w:val="24"/>
        </w:rPr>
      </w:pPr>
      <w:bookmarkStart w:id="28" w:name="_Toc7074"/>
      <w:r>
        <w:rPr>
          <w:rFonts w:hint="eastAsia" w:ascii="宋体" w:hAnsi="宋体" w:eastAsia="宋体" w:cs="Times New Roman"/>
          <w:b/>
          <w:color w:val="000000"/>
          <w:sz w:val="24"/>
        </w:rPr>
        <w:t>商务部分评审评分表（分值100分）</w:t>
      </w:r>
      <w:bookmarkEnd w:id="28"/>
    </w:p>
    <w:tbl>
      <w:tblPr>
        <w:tblStyle w:val="40"/>
        <w:tblpPr w:leftFromText="180" w:rightFromText="180" w:vertAnchor="text" w:horzAnchor="page" w:tblpX="776" w:tblpY="222"/>
        <w:tblOverlap w:val="never"/>
        <w:tblW w:w="105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364"/>
        <w:gridCol w:w="744"/>
        <w:gridCol w:w="7734"/>
      </w:tblGrid>
      <w:tr w14:paraId="03165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675" w:type="dxa"/>
            <w:noWrap w:val="0"/>
            <w:vAlign w:val="center"/>
          </w:tcPr>
          <w:p w14:paraId="592B6C2F">
            <w:pPr>
              <w:widowControl/>
              <w:spacing w:line="360" w:lineRule="auto"/>
              <w:jc w:val="center"/>
              <w:rPr>
                <w:rFonts w:ascii="宋体" w:hAnsi="宋体" w:eastAsia="宋体" w:cs="宋体"/>
                <w:b/>
                <w:bCs/>
                <w:color w:val="000000"/>
                <w:szCs w:val="21"/>
              </w:rPr>
            </w:pPr>
            <w:r>
              <w:rPr>
                <w:rFonts w:hint="eastAsia" w:ascii="宋体" w:hAnsi="宋体" w:eastAsia="宋体" w:cs="宋体"/>
                <w:b/>
                <w:bCs/>
                <w:color w:val="000000"/>
                <w:szCs w:val="21"/>
              </w:rPr>
              <w:t>序号</w:t>
            </w:r>
          </w:p>
        </w:tc>
        <w:tc>
          <w:tcPr>
            <w:tcW w:w="1364" w:type="dxa"/>
            <w:noWrap w:val="0"/>
            <w:vAlign w:val="center"/>
          </w:tcPr>
          <w:p w14:paraId="5F9F67B0">
            <w:pPr>
              <w:widowControl/>
              <w:spacing w:line="360" w:lineRule="auto"/>
              <w:jc w:val="center"/>
              <w:rPr>
                <w:rFonts w:ascii="宋体" w:hAnsi="宋体" w:eastAsia="宋体" w:cs="宋体"/>
                <w:b/>
                <w:bCs/>
                <w:color w:val="000000"/>
                <w:szCs w:val="21"/>
              </w:rPr>
            </w:pPr>
            <w:r>
              <w:rPr>
                <w:rFonts w:hint="eastAsia" w:ascii="宋体" w:hAnsi="宋体" w:eastAsia="宋体" w:cs="宋体"/>
                <w:b/>
                <w:bCs/>
                <w:color w:val="000000"/>
                <w:szCs w:val="21"/>
              </w:rPr>
              <w:t>评审因素</w:t>
            </w:r>
          </w:p>
        </w:tc>
        <w:tc>
          <w:tcPr>
            <w:tcW w:w="744" w:type="dxa"/>
            <w:noWrap w:val="0"/>
            <w:vAlign w:val="center"/>
          </w:tcPr>
          <w:p w14:paraId="0306B8A3">
            <w:pPr>
              <w:widowControl/>
              <w:spacing w:line="360" w:lineRule="auto"/>
              <w:jc w:val="center"/>
              <w:rPr>
                <w:rFonts w:ascii="宋体" w:hAnsi="宋体" w:eastAsia="宋体" w:cs="宋体"/>
                <w:b/>
                <w:bCs/>
                <w:color w:val="000000"/>
                <w:kern w:val="0"/>
                <w:szCs w:val="21"/>
              </w:rPr>
            </w:pPr>
            <w:r>
              <w:rPr>
                <w:rFonts w:hint="eastAsia" w:ascii="宋体" w:hAnsi="宋体" w:eastAsia="宋体" w:cs="宋体"/>
                <w:b/>
                <w:bCs/>
                <w:color w:val="000000"/>
                <w:szCs w:val="21"/>
              </w:rPr>
              <w:t>分值</w:t>
            </w:r>
          </w:p>
        </w:tc>
        <w:tc>
          <w:tcPr>
            <w:tcW w:w="7734" w:type="dxa"/>
            <w:noWrap w:val="0"/>
            <w:vAlign w:val="center"/>
          </w:tcPr>
          <w:p w14:paraId="608F1B03">
            <w:pPr>
              <w:widowControl/>
              <w:spacing w:line="360" w:lineRule="auto"/>
              <w:ind w:firstLine="17" w:firstLineChars="8"/>
              <w:jc w:val="center"/>
              <w:rPr>
                <w:rFonts w:ascii="宋体" w:hAnsi="宋体" w:eastAsia="宋体" w:cs="宋体"/>
                <w:b/>
                <w:bCs/>
                <w:color w:val="000000"/>
                <w:kern w:val="0"/>
                <w:szCs w:val="21"/>
              </w:rPr>
            </w:pPr>
            <w:r>
              <w:rPr>
                <w:rFonts w:hint="eastAsia" w:ascii="宋体" w:hAnsi="宋体" w:eastAsia="宋体" w:cs="宋体"/>
                <w:b/>
                <w:bCs/>
                <w:color w:val="000000"/>
                <w:szCs w:val="21"/>
              </w:rPr>
              <w:t>评分标准</w:t>
            </w:r>
          </w:p>
        </w:tc>
      </w:tr>
      <w:tr w14:paraId="26B09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trPr>
        <w:tc>
          <w:tcPr>
            <w:tcW w:w="675" w:type="dxa"/>
            <w:noWrap w:val="0"/>
            <w:vAlign w:val="center"/>
          </w:tcPr>
          <w:p w14:paraId="0BDBA52D">
            <w:pPr>
              <w:widowControl w:val="0"/>
              <w:spacing w:line="276" w:lineRule="auto"/>
              <w:ind w:firstLine="0" w:firstLineChars="0"/>
              <w:jc w:val="both"/>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1</w:t>
            </w:r>
          </w:p>
        </w:tc>
        <w:tc>
          <w:tcPr>
            <w:tcW w:w="1364" w:type="dxa"/>
            <w:noWrap w:val="0"/>
            <w:vAlign w:val="center"/>
          </w:tcPr>
          <w:p w14:paraId="15FCFC48">
            <w:pPr>
              <w:widowControl w:val="0"/>
              <w:spacing w:line="276" w:lineRule="auto"/>
              <w:ind w:firstLine="0" w:firstLineChars="0"/>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有效业绩</w:t>
            </w:r>
          </w:p>
        </w:tc>
        <w:tc>
          <w:tcPr>
            <w:tcW w:w="744" w:type="dxa"/>
            <w:noWrap w:val="0"/>
            <w:vAlign w:val="center"/>
          </w:tcPr>
          <w:p w14:paraId="280195B6">
            <w:pPr>
              <w:widowControl w:val="0"/>
              <w:spacing w:line="276" w:lineRule="auto"/>
              <w:ind w:firstLine="0" w:firstLineChars="0"/>
              <w:jc w:val="center"/>
              <w:rPr>
                <w:rFonts w:hint="default"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28</w:t>
            </w:r>
          </w:p>
        </w:tc>
        <w:tc>
          <w:tcPr>
            <w:tcW w:w="7734" w:type="dxa"/>
            <w:noWrap w:val="0"/>
            <w:vAlign w:val="center"/>
          </w:tcPr>
          <w:p w14:paraId="4AA40137">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投标人或制造商</w:t>
            </w:r>
            <w:r>
              <w:rPr>
                <w:rFonts w:hint="eastAsia" w:ascii="宋体" w:hAnsi="宋体" w:eastAsia="宋体" w:cs="宋体"/>
                <w:bCs/>
                <w:color w:val="auto"/>
                <w:kern w:val="0"/>
                <w:sz w:val="21"/>
                <w:szCs w:val="21"/>
                <w:lang w:val="en-US" w:eastAsia="zh-CN" w:bidi="ar-SA"/>
              </w:rPr>
              <w:t xml:space="preserve">提供1项有效业绩的，得14分，最高不超过28分。不提供或者不能有效证明的，得0分。 </w:t>
            </w:r>
          </w:p>
          <w:p w14:paraId="7617A33B">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有效业绩定义：同时满足以下全部要求同类业绩才属于有效业绩。</w:t>
            </w:r>
          </w:p>
          <w:p w14:paraId="183AE68B">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同类业绩指：合同明细须包含所投同类产品。</w:t>
            </w:r>
          </w:p>
          <w:p w14:paraId="7959B215">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合同签订时间为202</w:t>
            </w:r>
            <w:r>
              <w:rPr>
                <w:rFonts w:hint="eastAsia" w:ascii="宋体" w:hAnsi="宋体" w:cs="宋体"/>
                <w:bCs/>
                <w:color w:val="auto"/>
                <w:kern w:val="0"/>
                <w:sz w:val="21"/>
                <w:szCs w:val="21"/>
                <w:lang w:val="en-US" w:eastAsia="zh-CN" w:bidi="ar-SA"/>
              </w:rPr>
              <w:t>3</w:t>
            </w:r>
            <w:r>
              <w:rPr>
                <w:rFonts w:hint="eastAsia" w:ascii="宋体" w:hAnsi="宋体" w:eastAsia="宋体" w:cs="宋体"/>
                <w:bCs/>
                <w:color w:val="auto"/>
                <w:kern w:val="0"/>
                <w:sz w:val="21"/>
                <w:szCs w:val="21"/>
                <w:lang w:val="en-US" w:eastAsia="zh-CN" w:bidi="ar-SA"/>
              </w:rPr>
              <w:t>年</w:t>
            </w:r>
            <w:r>
              <w:rPr>
                <w:rFonts w:hint="eastAsia" w:ascii="宋体" w:hAnsi="宋体" w:cs="宋体"/>
                <w:bCs/>
                <w:color w:val="auto"/>
                <w:kern w:val="0"/>
                <w:sz w:val="21"/>
                <w:szCs w:val="21"/>
                <w:lang w:val="en-US" w:eastAsia="zh-CN" w:bidi="ar-SA"/>
              </w:rPr>
              <w:t>8</w:t>
            </w:r>
            <w:r>
              <w:rPr>
                <w:rFonts w:hint="eastAsia" w:ascii="宋体" w:hAnsi="宋体" w:eastAsia="宋体" w:cs="宋体"/>
                <w:bCs/>
                <w:color w:val="auto"/>
                <w:kern w:val="0"/>
                <w:sz w:val="21"/>
                <w:szCs w:val="21"/>
                <w:lang w:val="en-US" w:eastAsia="zh-CN" w:bidi="ar-SA"/>
              </w:rPr>
              <w:t>月1日至投标截止时间前；</w:t>
            </w:r>
          </w:p>
          <w:p w14:paraId="3304B888">
            <w:pPr>
              <w:widowControl w:val="0"/>
              <w:spacing w:line="276" w:lineRule="auto"/>
              <w:ind w:firstLine="0" w:firstLineChars="0"/>
              <w:jc w:val="both"/>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auto"/>
                <w:kern w:val="0"/>
                <w:sz w:val="21"/>
                <w:szCs w:val="21"/>
                <w:lang w:val="en-US" w:eastAsia="zh-CN" w:bidi="ar-SA"/>
              </w:rPr>
              <w:t>证明文件：必须提供合同扫描件（需含产品清单），未提供不得分。</w:t>
            </w:r>
          </w:p>
        </w:tc>
      </w:tr>
      <w:tr w14:paraId="2CA8E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trPr>
        <w:tc>
          <w:tcPr>
            <w:tcW w:w="675" w:type="dxa"/>
            <w:noWrap w:val="0"/>
            <w:vAlign w:val="center"/>
          </w:tcPr>
          <w:p w14:paraId="7BC52728">
            <w:pPr>
              <w:widowControl w:val="0"/>
              <w:spacing w:line="276" w:lineRule="auto"/>
              <w:ind w:firstLine="0" w:firstLineChars="0"/>
              <w:jc w:val="both"/>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2</w:t>
            </w:r>
          </w:p>
        </w:tc>
        <w:tc>
          <w:tcPr>
            <w:tcW w:w="1364" w:type="dxa"/>
            <w:noWrap w:val="0"/>
            <w:vAlign w:val="center"/>
          </w:tcPr>
          <w:p w14:paraId="0486D10A">
            <w:pPr>
              <w:widowControl w:val="0"/>
              <w:spacing w:line="276" w:lineRule="auto"/>
              <w:ind w:firstLine="0" w:firstLineChars="0"/>
              <w:jc w:val="center"/>
              <w:rPr>
                <w:rFonts w:hint="eastAsia" w:ascii="宋体" w:hAnsi="宋体" w:eastAsia="宋体" w:cs="宋体"/>
                <w:bCs/>
                <w:color w:val="000000"/>
                <w:kern w:val="0"/>
                <w:sz w:val="21"/>
                <w:szCs w:val="21"/>
                <w:lang w:val="en-US" w:eastAsia="zh-CN" w:bidi="ar-SA"/>
              </w:rPr>
            </w:pPr>
            <w:r>
              <w:rPr>
                <w:rFonts w:hint="default" w:ascii="宋体" w:hAnsi="宋体" w:eastAsia="宋体" w:cs="宋体"/>
                <w:bCs/>
                <w:color w:val="000000"/>
                <w:kern w:val="0"/>
                <w:sz w:val="21"/>
                <w:szCs w:val="21"/>
                <w:lang w:val="en-US" w:eastAsia="zh-CN" w:bidi="ar-SA"/>
              </w:rPr>
              <w:t>售后服务方案评价</w:t>
            </w:r>
          </w:p>
        </w:tc>
        <w:tc>
          <w:tcPr>
            <w:tcW w:w="744" w:type="dxa"/>
            <w:noWrap w:val="0"/>
            <w:vAlign w:val="center"/>
          </w:tcPr>
          <w:p w14:paraId="3F457A4D">
            <w:pPr>
              <w:widowControl w:val="0"/>
              <w:spacing w:line="276" w:lineRule="auto"/>
              <w:ind w:firstLine="0" w:firstLineChars="0"/>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40</w:t>
            </w:r>
          </w:p>
        </w:tc>
        <w:tc>
          <w:tcPr>
            <w:tcW w:w="7734" w:type="dxa"/>
            <w:noWrap w:val="0"/>
            <w:vAlign w:val="center"/>
          </w:tcPr>
          <w:p w14:paraId="3E313855">
            <w:pPr>
              <w:widowControl w:val="0"/>
              <w:spacing w:line="276" w:lineRule="auto"/>
              <w:ind w:firstLine="0" w:firstLineChars="0"/>
              <w:jc w:val="both"/>
              <w:rPr>
                <w:rFonts w:hint="default" w:ascii="宋体" w:hAnsi="宋体" w:eastAsia="宋体" w:cs="宋体"/>
                <w:bCs/>
                <w:color w:val="000000"/>
                <w:kern w:val="0"/>
                <w:sz w:val="21"/>
                <w:szCs w:val="21"/>
                <w:lang w:val="en-US" w:eastAsia="zh-CN" w:bidi="ar-SA"/>
              </w:rPr>
            </w:pPr>
            <w:r>
              <w:rPr>
                <w:rFonts w:hint="default" w:ascii="宋体" w:hAnsi="宋体" w:eastAsia="宋体" w:cs="宋体"/>
                <w:bCs/>
                <w:color w:val="000000"/>
                <w:kern w:val="0"/>
                <w:sz w:val="21"/>
                <w:szCs w:val="21"/>
                <w:lang w:val="en-US" w:eastAsia="zh-CN" w:bidi="ar-SA"/>
              </w:rPr>
              <w:t>针对本项目有明确的售后服务方案</w:t>
            </w:r>
            <w:r>
              <w:rPr>
                <w:rFonts w:hint="eastAsia" w:ascii="宋体" w:hAnsi="宋体" w:cs="宋体"/>
                <w:bCs/>
                <w:color w:val="000000"/>
                <w:kern w:val="0"/>
                <w:sz w:val="21"/>
                <w:szCs w:val="21"/>
                <w:lang w:val="en-US" w:eastAsia="zh-CN" w:bidi="ar-SA"/>
              </w:rPr>
              <w:t>：</w:t>
            </w:r>
            <w:r>
              <w:rPr>
                <w:rFonts w:hint="default" w:ascii="宋体" w:hAnsi="宋体" w:eastAsia="宋体" w:cs="宋体"/>
                <w:bCs/>
                <w:color w:val="000000"/>
                <w:kern w:val="0"/>
                <w:sz w:val="21"/>
                <w:szCs w:val="21"/>
                <w:lang w:val="en-US" w:eastAsia="zh-CN" w:bidi="ar-SA"/>
              </w:rPr>
              <w:t>内容包括但不限于</w:t>
            </w:r>
            <w:r>
              <w:rPr>
                <w:rFonts w:hint="eastAsia" w:ascii="宋体" w:hAnsi="宋体" w:cs="宋体"/>
                <w:color w:val="000000"/>
                <w:kern w:val="0"/>
                <w:sz w:val="21"/>
                <w:szCs w:val="21"/>
                <w:highlight w:val="none"/>
                <w:shd w:val="clear" w:color="auto" w:fill="FFFFFF"/>
                <w:lang w:val="en-US" w:eastAsia="zh-CN"/>
              </w:rPr>
              <w:t>①</w:t>
            </w:r>
            <w:r>
              <w:rPr>
                <w:rFonts w:hint="eastAsia" w:ascii="宋体" w:hAnsi="宋体" w:eastAsia="宋体" w:cs="宋体"/>
                <w:color w:val="000000"/>
                <w:kern w:val="0"/>
                <w:sz w:val="21"/>
                <w:szCs w:val="21"/>
                <w:highlight w:val="none"/>
                <w:shd w:val="clear" w:color="auto" w:fill="FFFFFF"/>
              </w:rPr>
              <w:t>售后服务保障措施</w:t>
            </w:r>
            <w:r>
              <w:rPr>
                <w:rFonts w:hint="eastAsia" w:ascii="宋体" w:hAnsi="宋体" w:eastAsia="宋体" w:cs="宋体"/>
                <w:color w:val="000000"/>
                <w:kern w:val="0"/>
                <w:sz w:val="21"/>
                <w:szCs w:val="21"/>
                <w:highlight w:val="none"/>
                <w:shd w:val="clear" w:color="auto" w:fill="FFFFFF"/>
                <w:lang w:eastAsia="zh-CN"/>
              </w:rPr>
              <w:t>、</w:t>
            </w:r>
            <w:r>
              <w:rPr>
                <w:rFonts w:hint="default" w:ascii="宋体" w:hAnsi="宋体" w:eastAsia="宋体" w:cs="宋体"/>
                <w:bCs/>
                <w:color w:val="000000"/>
                <w:kern w:val="0"/>
                <w:sz w:val="21"/>
                <w:szCs w:val="21"/>
                <w:lang w:val="en-US" w:eastAsia="zh-CN" w:bidi="ar-SA"/>
              </w:rPr>
              <w:t>②</w:t>
            </w:r>
            <w:r>
              <w:rPr>
                <w:rFonts w:hint="eastAsia" w:ascii="宋体" w:hAnsi="宋体" w:eastAsia="宋体" w:cs="宋体"/>
                <w:color w:val="000000"/>
                <w:kern w:val="0"/>
                <w:sz w:val="21"/>
                <w:szCs w:val="21"/>
                <w:highlight w:val="none"/>
                <w:shd w:val="clear" w:color="auto" w:fill="FFFFFF"/>
                <w:lang w:eastAsia="zh-CN"/>
              </w:rPr>
              <w:t>配件保障、</w:t>
            </w:r>
            <w:r>
              <w:rPr>
                <w:rFonts w:hint="default" w:ascii="宋体" w:hAnsi="宋体" w:eastAsia="宋体" w:cs="宋体"/>
                <w:bCs/>
                <w:color w:val="000000"/>
                <w:kern w:val="0"/>
                <w:sz w:val="21"/>
                <w:szCs w:val="21"/>
                <w:lang w:val="en-US" w:eastAsia="zh-CN" w:bidi="ar-SA"/>
              </w:rPr>
              <w:t xml:space="preserve"> ③</w:t>
            </w:r>
            <w:r>
              <w:rPr>
                <w:rFonts w:hint="eastAsia" w:ascii="宋体" w:hAnsi="宋体" w:eastAsia="宋体" w:cs="宋体"/>
                <w:color w:val="000000"/>
                <w:sz w:val="21"/>
                <w:szCs w:val="21"/>
                <w:highlight w:val="none"/>
              </w:rPr>
              <w:t>到达故障现场时间</w:t>
            </w:r>
            <w:r>
              <w:rPr>
                <w:rFonts w:hint="eastAsia" w:ascii="宋体" w:hAnsi="宋体" w:eastAsia="宋体" w:cs="宋体"/>
                <w:color w:val="000000"/>
                <w:sz w:val="21"/>
                <w:szCs w:val="21"/>
                <w:highlight w:val="none"/>
                <w:lang w:eastAsia="zh-CN"/>
              </w:rPr>
              <w:t>、</w:t>
            </w:r>
            <w:r>
              <w:rPr>
                <w:rFonts w:hint="default" w:ascii="宋体" w:hAnsi="宋体" w:eastAsia="宋体" w:cs="宋体"/>
                <w:bCs/>
                <w:color w:val="000000"/>
                <w:kern w:val="0"/>
                <w:sz w:val="21"/>
                <w:szCs w:val="21"/>
                <w:lang w:val="en-US" w:eastAsia="zh-CN" w:bidi="ar-SA"/>
              </w:rPr>
              <w:t>④</w:t>
            </w:r>
            <w:r>
              <w:rPr>
                <w:rFonts w:hint="eastAsia" w:ascii="宋体" w:hAnsi="宋体" w:eastAsia="宋体" w:cs="宋体"/>
                <w:color w:val="000000"/>
                <w:sz w:val="21"/>
                <w:szCs w:val="21"/>
                <w:highlight w:val="none"/>
              </w:rPr>
              <w:t>故障解决方案</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highlight w:val="none"/>
                <w:lang w:val="en-US" w:eastAsia="zh-CN"/>
              </w:rPr>
              <w:t>⑤</w:t>
            </w:r>
            <w:r>
              <w:rPr>
                <w:rFonts w:hint="eastAsia" w:ascii="宋体" w:hAnsi="宋体" w:eastAsia="宋体" w:cs="宋体"/>
                <w:color w:val="000000"/>
                <w:sz w:val="21"/>
                <w:szCs w:val="21"/>
                <w:highlight w:val="none"/>
              </w:rPr>
              <w:t>定期维护</w:t>
            </w:r>
            <w:r>
              <w:rPr>
                <w:rFonts w:hint="eastAsia" w:ascii="宋体" w:hAnsi="宋体" w:eastAsia="宋体" w:cs="宋体"/>
                <w:color w:val="000000"/>
                <w:sz w:val="21"/>
                <w:szCs w:val="21"/>
                <w:highlight w:val="none"/>
                <w:lang w:val="en-US" w:eastAsia="zh-CN"/>
              </w:rPr>
              <w:t>方案</w:t>
            </w:r>
            <w:r>
              <w:rPr>
                <w:rFonts w:hint="default" w:ascii="宋体" w:hAnsi="宋体" w:eastAsia="宋体" w:cs="宋体"/>
                <w:bCs/>
                <w:color w:val="000000"/>
                <w:kern w:val="0"/>
                <w:sz w:val="21"/>
                <w:szCs w:val="21"/>
                <w:lang w:val="en-US" w:eastAsia="zh-CN" w:bidi="ar-SA"/>
              </w:rPr>
              <w:t>等方面</w:t>
            </w:r>
            <w:r>
              <w:rPr>
                <w:rFonts w:hint="eastAsia" w:ascii="宋体" w:hAnsi="宋体" w:cs="宋体"/>
                <w:bCs/>
                <w:color w:val="000000"/>
                <w:kern w:val="0"/>
                <w:sz w:val="21"/>
                <w:szCs w:val="21"/>
                <w:lang w:val="en-US" w:eastAsia="zh-CN" w:bidi="ar-SA"/>
              </w:rPr>
              <w:t>；</w:t>
            </w:r>
            <w:r>
              <w:rPr>
                <w:rFonts w:hint="eastAsia" w:ascii="宋体" w:hAnsi="宋体" w:eastAsia="宋体" w:cs="宋体"/>
                <w:color w:val="000000"/>
                <w:sz w:val="21"/>
                <w:szCs w:val="21"/>
                <w:highlight w:val="none"/>
                <w:lang w:val="en-US" w:eastAsia="zh-CN"/>
              </w:rPr>
              <w:t>由评标委员会综合评定，以上</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项内容</w:t>
            </w:r>
            <w:r>
              <w:rPr>
                <w:rFonts w:hint="eastAsia" w:ascii="宋体" w:hAnsi="宋体" w:cs="宋体"/>
                <w:color w:val="000000"/>
                <w:sz w:val="21"/>
                <w:szCs w:val="21"/>
                <w:highlight w:val="none"/>
                <w:lang w:val="en-US" w:eastAsia="zh-CN"/>
              </w:rPr>
              <w:t>。</w:t>
            </w:r>
          </w:p>
          <w:p w14:paraId="674A1F31">
            <w:pPr>
              <w:widowControl w:val="0"/>
              <w:spacing w:line="276" w:lineRule="auto"/>
              <w:ind w:firstLine="0" w:firstLineChars="0"/>
              <w:jc w:val="both"/>
              <w:rPr>
                <w:rFonts w:hint="default" w:ascii="宋体" w:hAnsi="宋体" w:eastAsia="宋体" w:cs="宋体"/>
                <w:bCs/>
                <w:color w:val="000000"/>
                <w:kern w:val="0"/>
                <w:sz w:val="21"/>
                <w:szCs w:val="21"/>
                <w:lang w:val="en-US" w:eastAsia="zh-CN" w:bidi="ar-SA"/>
              </w:rPr>
            </w:pPr>
            <w:r>
              <w:rPr>
                <w:rFonts w:hint="default" w:ascii="宋体" w:hAnsi="宋体" w:eastAsia="宋体" w:cs="宋体"/>
                <w:bCs/>
                <w:color w:val="000000"/>
                <w:kern w:val="0"/>
                <w:sz w:val="21"/>
                <w:szCs w:val="21"/>
                <w:lang w:val="en-US" w:eastAsia="zh-CN" w:bidi="ar-SA"/>
              </w:rPr>
              <w:t xml:space="preserve">方案内容完全符合本采购文件采购需求的计 </w:t>
            </w:r>
            <w:r>
              <w:rPr>
                <w:rFonts w:hint="eastAsia" w:ascii="宋体" w:hAnsi="宋体" w:eastAsia="宋体" w:cs="宋体"/>
                <w:bCs/>
                <w:color w:val="000000"/>
                <w:kern w:val="0"/>
                <w:sz w:val="21"/>
                <w:szCs w:val="21"/>
                <w:lang w:val="en-US" w:eastAsia="zh-CN" w:bidi="ar-SA"/>
              </w:rPr>
              <w:t>40</w:t>
            </w:r>
            <w:r>
              <w:rPr>
                <w:rFonts w:hint="default" w:ascii="宋体" w:hAnsi="宋体" w:eastAsia="宋体" w:cs="宋体"/>
                <w:bCs/>
                <w:color w:val="000000"/>
                <w:kern w:val="0"/>
                <w:sz w:val="21"/>
                <w:szCs w:val="21"/>
                <w:lang w:val="en-US" w:eastAsia="zh-CN" w:bidi="ar-SA"/>
              </w:rPr>
              <w:t>分，每出现一处方案缺漏扣</w:t>
            </w:r>
            <w:r>
              <w:rPr>
                <w:rFonts w:hint="eastAsia" w:ascii="宋体" w:hAnsi="宋体" w:eastAsia="宋体" w:cs="宋体"/>
                <w:bCs/>
                <w:color w:val="000000"/>
                <w:kern w:val="0"/>
                <w:sz w:val="21"/>
                <w:szCs w:val="21"/>
                <w:lang w:val="en-US" w:eastAsia="zh-CN" w:bidi="ar-SA"/>
              </w:rPr>
              <w:t>8</w:t>
            </w:r>
            <w:r>
              <w:rPr>
                <w:rFonts w:hint="default" w:ascii="宋体" w:hAnsi="宋体" w:eastAsia="宋体" w:cs="宋体"/>
                <w:bCs/>
                <w:color w:val="000000"/>
                <w:kern w:val="0"/>
                <w:sz w:val="21"/>
                <w:szCs w:val="21"/>
                <w:lang w:val="en-US" w:eastAsia="zh-CN" w:bidi="ar-SA"/>
              </w:rPr>
              <w:t>分，每有一项缺陷或欠合理的，对服务质量有影响的扣</w:t>
            </w:r>
            <w:r>
              <w:rPr>
                <w:rFonts w:hint="eastAsia" w:ascii="宋体" w:hAnsi="宋体" w:eastAsia="宋体" w:cs="宋体"/>
                <w:bCs/>
                <w:color w:val="000000"/>
                <w:kern w:val="0"/>
                <w:sz w:val="21"/>
                <w:szCs w:val="21"/>
                <w:lang w:val="en-US" w:eastAsia="zh-CN" w:bidi="ar-SA"/>
              </w:rPr>
              <w:t>4</w:t>
            </w:r>
            <w:r>
              <w:rPr>
                <w:rFonts w:hint="default" w:ascii="宋体" w:hAnsi="宋体" w:eastAsia="宋体" w:cs="宋体"/>
                <w:bCs/>
                <w:color w:val="000000"/>
                <w:kern w:val="0"/>
                <w:sz w:val="21"/>
                <w:szCs w:val="21"/>
                <w:lang w:val="en-US" w:eastAsia="zh-CN" w:bidi="ar-SA"/>
              </w:rPr>
              <w:t>分，扣完为止。未提供售后服务方案的本项不得分。</w:t>
            </w:r>
          </w:p>
          <w:p w14:paraId="1ACE9F15">
            <w:pPr>
              <w:widowControl w:val="0"/>
              <w:spacing w:line="276" w:lineRule="auto"/>
              <w:ind w:firstLine="0" w:firstLineChars="0"/>
              <w:jc w:val="both"/>
              <w:rPr>
                <w:rFonts w:hint="eastAsia" w:ascii="宋体" w:hAnsi="宋体" w:eastAsia="宋体" w:cs="宋体"/>
                <w:bCs/>
                <w:color w:val="000000"/>
                <w:kern w:val="0"/>
                <w:sz w:val="21"/>
                <w:szCs w:val="21"/>
                <w:lang w:val="en-US" w:eastAsia="zh-CN" w:bidi="ar-SA"/>
              </w:rPr>
            </w:pPr>
            <w:r>
              <w:rPr>
                <w:rFonts w:hint="default" w:ascii="宋体" w:hAnsi="宋体" w:eastAsia="宋体" w:cs="宋体"/>
                <w:bCs/>
                <w:color w:val="000000"/>
                <w:kern w:val="0"/>
                <w:sz w:val="21"/>
                <w:szCs w:val="21"/>
                <w:lang w:val="en-US" w:eastAsia="zh-CN" w:bidi="ar-SA"/>
              </w:rPr>
              <w:t>(缺陷是指:非专门针对本项目或不适用项目特性的情形、内容不完整或缺少关键节点、套用其他项目方案、内容前后矛盾、涉及的规范及标准错误不利于项目实施、不可能实现的情形等任意一种情形。)</w:t>
            </w:r>
          </w:p>
        </w:tc>
      </w:tr>
      <w:tr w14:paraId="59F25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 w:hRule="atLeast"/>
        </w:trPr>
        <w:tc>
          <w:tcPr>
            <w:tcW w:w="675" w:type="dxa"/>
            <w:noWrap w:val="0"/>
            <w:vAlign w:val="center"/>
          </w:tcPr>
          <w:p w14:paraId="770F4477">
            <w:pPr>
              <w:widowControl w:val="0"/>
              <w:spacing w:line="276" w:lineRule="auto"/>
              <w:ind w:firstLine="0" w:firstLineChars="0"/>
              <w:jc w:val="both"/>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3</w:t>
            </w:r>
          </w:p>
        </w:tc>
        <w:tc>
          <w:tcPr>
            <w:tcW w:w="1364" w:type="dxa"/>
            <w:noWrap w:val="0"/>
            <w:vAlign w:val="center"/>
          </w:tcPr>
          <w:p w14:paraId="3C6F6640">
            <w:pPr>
              <w:widowControl w:val="0"/>
              <w:spacing w:line="276" w:lineRule="auto"/>
              <w:ind w:firstLine="0" w:firstLineChars="0"/>
              <w:jc w:val="center"/>
              <w:rPr>
                <w:rFonts w:hint="eastAsia" w:ascii="宋体" w:hAnsi="宋体" w:eastAsia="宋体" w:cs="宋体"/>
                <w:bCs/>
                <w:color w:val="000000"/>
                <w:kern w:val="0"/>
                <w:sz w:val="21"/>
                <w:szCs w:val="21"/>
                <w:lang w:val="en-US" w:eastAsia="zh-CN" w:bidi="ar-SA"/>
              </w:rPr>
            </w:pPr>
            <w:r>
              <w:rPr>
                <w:rFonts w:hint="default" w:ascii="宋体" w:hAnsi="宋体" w:eastAsia="宋体" w:cs="宋体"/>
                <w:bCs/>
                <w:color w:val="000000"/>
                <w:kern w:val="0"/>
                <w:sz w:val="21"/>
                <w:szCs w:val="21"/>
                <w:lang w:val="en-US" w:eastAsia="zh-CN" w:bidi="ar-SA"/>
              </w:rPr>
              <w:t>培训计划方案</w:t>
            </w:r>
          </w:p>
        </w:tc>
        <w:tc>
          <w:tcPr>
            <w:tcW w:w="744" w:type="dxa"/>
            <w:noWrap w:val="0"/>
            <w:vAlign w:val="center"/>
          </w:tcPr>
          <w:p w14:paraId="4E403DC5">
            <w:pPr>
              <w:widowControl w:val="0"/>
              <w:spacing w:line="276" w:lineRule="auto"/>
              <w:ind w:firstLine="0" w:firstLineChars="0"/>
              <w:jc w:val="center"/>
              <w:rPr>
                <w:rFonts w:hint="default"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32</w:t>
            </w:r>
          </w:p>
        </w:tc>
        <w:tc>
          <w:tcPr>
            <w:tcW w:w="7734" w:type="dxa"/>
            <w:noWrap w:val="0"/>
            <w:vAlign w:val="center"/>
          </w:tcPr>
          <w:p w14:paraId="5A14342E">
            <w:pPr>
              <w:widowControl w:val="0"/>
              <w:spacing w:line="276" w:lineRule="auto"/>
              <w:ind w:firstLine="0" w:firstLineChars="0"/>
              <w:jc w:val="both"/>
              <w:rPr>
                <w:rFonts w:hint="default" w:ascii="宋体" w:hAnsi="宋体" w:eastAsia="宋体" w:cs="宋体"/>
                <w:bCs/>
                <w:color w:val="000000"/>
                <w:kern w:val="0"/>
                <w:sz w:val="21"/>
                <w:szCs w:val="21"/>
                <w:lang w:val="en-US" w:eastAsia="zh-CN" w:bidi="ar-SA"/>
              </w:rPr>
            </w:pPr>
            <w:r>
              <w:rPr>
                <w:rFonts w:hint="default" w:ascii="宋体" w:hAnsi="宋体" w:eastAsia="宋体" w:cs="宋体"/>
                <w:bCs/>
                <w:color w:val="000000"/>
                <w:kern w:val="0"/>
                <w:sz w:val="21"/>
                <w:szCs w:val="21"/>
                <w:lang w:val="en-US" w:eastAsia="zh-CN" w:bidi="ar-SA"/>
              </w:rPr>
              <w:t>针对本项目有可行的培训计划方案：内容包括但不限于 ①设备的原理和技术性能 ②操作维护方法 ③安装调试及故障排除 ④培训后达到的效果</w:t>
            </w:r>
            <w:r>
              <w:rPr>
                <w:rFonts w:hint="eastAsia" w:ascii="宋体" w:hAnsi="宋体" w:eastAsia="宋体" w:cs="宋体"/>
                <w:bCs/>
                <w:color w:val="000000"/>
                <w:kern w:val="0"/>
                <w:sz w:val="21"/>
                <w:szCs w:val="21"/>
                <w:lang w:val="en-US" w:eastAsia="zh-CN" w:bidi="ar-SA"/>
              </w:rPr>
              <w:t>：</w:t>
            </w:r>
            <w:r>
              <w:rPr>
                <w:rFonts w:hint="default" w:ascii="宋体" w:hAnsi="宋体" w:eastAsia="宋体" w:cs="宋体"/>
                <w:bCs/>
                <w:color w:val="000000"/>
                <w:kern w:val="0"/>
                <w:sz w:val="21"/>
                <w:szCs w:val="21"/>
                <w:lang w:val="en-US" w:eastAsia="zh-CN" w:bidi="ar-SA"/>
              </w:rPr>
              <w:t>人员能熟练操作设备，了解设备结构、工作原理，并能排除一般故障。</w:t>
            </w:r>
          </w:p>
          <w:p w14:paraId="27A07362">
            <w:pPr>
              <w:widowControl w:val="0"/>
              <w:spacing w:line="276" w:lineRule="auto"/>
              <w:ind w:firstLine="0" w:firstLineChars="0"/>
              <w:jc w:val="both"/>
              <w:rPr>
                <w:rFonts w:hint="default" w:ascii="宋体" w:hAnsi="宋体" w:eastAsia="宋体" w:cs="宋体"/>
                <w:bCs/>
                <w:color w:val="000000"/>
                <w:kern w:val="0"/>
                <w:sz w:val="21"/>
                <w:szCs w:val="21"/>
                <w:lang w:val="en-US" w:eastAsia="zh-CN" w:bidi="ar-SA"/>
              </w:rPr>
            </w:pPr>
            <w:r>
              <w:rPr>
                <w:rFonts w:hint="default" w:ascii="宋体" w:hAnsi="宋体" w:eastAsia="宋体" w:cs="宋体"/>
                <w:bCs/>
                <w:color w:val="000000"/>
                <w:kern w:val="0"/>
                <w:sz w:val="21"/>
                <w:szCs w:val="21"/>
                <w:lang w:val="en-US" w:eastAsia="zh-CN" w:bidi="ar-SA"/>
              </w:rPr>
              <w:t xml:space="preserve">方案内容完全符合本采购文件采购需求的计 </w:t>
            </w:r>
            <w:r>
              <w:rPr>
                <w:rFonts w:hint="eastAsia" w:ascii="宋体" w:hAnsi="宋体" w:eastAsia="宋体" w:cs="宋体"/>
                <w:bCs/>
                <w:color w:val="000000"/>
                <w:kern w:val="0"/>
                <w:sz w:val="21"/>
                <w:szCs w:val="21"/>
                <w:lang w:val="en-US" w:eastAsia="zh-CN" w:bidi="ar-SA"/>
              </w:rPr>
              <w:t>32</w:t>
            </w:r>
            <w:r>
              <w:rPr>
                <w:rFonts w:hint="default" w:ascii="宋体" w:hAnsi="宋体" w:eastAsia="宋体" w:cs="宋体"/>
                <w:bCs/>
                <w:color w:val="000000"/>
                <w:kern w:val="0"/>
                <w:sz w:val="21"/>
                <w:szCs w:val="21"/>
                <w:lang w:val="en-US" w:eastAsia="zh-CN" w:bidi="ar-SA"/>
              </w:rPr>
              <w:t xml:space="preserve"> 分，每出现一处方案缺漏扣</w:t>
            </w:r>
            <w:r>
              <w:rPr>
                <w:rFonts w:hint="eastAsia" w:ascii="宋体" w:hAnsi="宋体" w:eastAsia="宋体" w:cs="宋体"/>
                <w:bCs/>
                <w:color w:val="000000"/>
                <w:kern w:val="0"/>
                <w:sz w:val="21"/>
                <w:szCs w:val="21"/>
                <w:lang w:val="en-US" w:eastAsia="zh-CN" w:bidi="ar-SA"/>
              </w:rPr>
              <w:t>8</w:t>
            </w:r>
            <w:r>
              <w:rPr>
                <w:rFonts w:hint="default" w:ascii="宋体" w:hAnsi="宋体" w:eastAsia="宋体" w:cs="宋体"/>
                <w:bCs/>
                <w:color w:val="000000"/>
                <w:kern w:val="0"/>
                <w:sz w:val="21"/>
                <w:szCs w:val="21"/>
                <w:lang w:val="en-US" w:eastAsia="zh-CN" w:bidi="ar-SA"/>
              </w:rPr>
              <w:t>分，每有一项缺陷或欠合理的，对服务质量有影响的扣</w:t>
            </w:r>
            <w:r>
              <w:rPr>
                <w:rFonts w:hint="eastAsia" w:ascii="宋体" w:hAnsi="宋体" w:eastAsia="宋体" w:cs="宋体"/>
                <w:bCs/>
                <w:color w:val="000000"/>
                <w:kern w:val="0"/>
                <w:sz w:val="21"/>
                <w:szCs w:val="21"/>
                <w:lang w:val="en-US" w:eastAsia="zh-CN" w:bidi="ar-SA"/>
              </w:rPr>
              <w:t>4</w:t>
            </w:r>
            <w:r>
              <w:rPr>
                <w:rFonts w:hint="default" w:ascii="宋体" w:hAnsi="宋体" w:eastAsia="宋体" w:cs="宋体"/>
                <w:bCs/>
                <w:color w:val="000000"/>
                <w:kern w:val="0"/>
                <w:sz w:val="21"/>
                <w:szCs w:val="21"/>
                <w:lang w:val="en-US" w:eastAsia="zh-CN" w:bidi="ar-SA"/>
              </w:rPr>
              <w:t>分，扣完为止。未提供售后服务方案的本项不得分。</w:t>
            </w:r>
          </w:p>
          <w:p w14:paraId="79609C97">
            <w:pPr>
              <w:widowControl w:val="0"/>
              <w:spacing w:line="276" w:lineRule="auto"/>
              <w:ind w:firstLine="0" w:firstLineChars="0"/>
              <w:jc w:val="both"/>
              <w:rPr>
                <w:rFonts w:hint="eastAsia" w:ascii="宋体" w:hAnsi="宋体" w:eastAsia="宋体" w:cs="宋体"/>
                <w:bCs/>
                <w:color w:val="000000"/>
                <w:kern w:val="0"/>
                <w:sz w:val="21"/>
                <w:szCs w:val="21"/>
                <w:lang w:val="en-US" w:eastAsia="zh-CN" w:bidi="ar-SA"/>
              </w:rPr>
            </w:pPr>
            <w:r>
              <w:rPr>
                <w:rFonts w:hint="default" w:ascii="宋体" w:hAnsi="宋体" w:eastAsia="宋体" w:cs="宋体"/>
                <w:bCs/>
                <w:color w:val="000000"/>
                <w:kern w:val="0"/>
                <w:sz w:val="21"/>
                <w:szCs w:val="21"/>
                <w:lang w:val="en-US" w:eastAsia="zh-CN" w:bidi="ar-SA"/>
              </w:rPr>
              <w:t>(缺陷是指:非专门针对本项目或不适用项目特性的情形、内容不完整或缺少关键节点、套用其他项目方案、内容前后矛盾、涉及的规范及标准错误不利于项目实施、不可能实现的情形等任意一种情形。)</w:t>
            </w:r>
          </w:p>
        </w:tc>
      </w:tr>
    </w:tbl>
    <w:p w14:paraId="1578EAAF">
      <w:pPr>
        <w:jc w:val="center"/>
        <w:outlineLvl w:val="0"/>
        <w:rPr>
          <w:rFonts w:ascii="宋体" w:hAnsi="宋体" w:cs="宋体"/>
          <w:b/>
          <w:bCs/>
          <w:sz w:val="28"/>
          <w:szCs w:val="28"/>
        </w:rPr>
      </w:pPr>
      <w:r>
        <w:rPr>
          <w:rFonts w:hint="eastAsia" w:ascii="宋体" w:hAnsi="宋体" w:cs="宋体"/>
          <w:b/>
          <w:bCs/>
          <w:sz w:val="28"/>
          <w:szCs w:val="28"/>
        </w:rPr>
        <w:t>★条款汇总</w:t>
      </w:r>
      <w:bookmarkEnd w:id="18"/>
      <w:bookmarkEnd w:id="19"/>
    </w:p>
    <w:tbl>
      <w:tblPr>
        <w:tblStyle w:val="40"/>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9298"/>
      </w:tblGrid>
      <w:tr w14:paraId="5E6C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384" w:type="dxa"/>
            <w:noWrap/>
            <w:vAlign w:val="center"/>
          </w:tcPr>
          <w:p w14:paraId="63CA2EDA">
            <w:pPr>
              <w:adjustRightInd w:val="0"/>
              <w:snapToGrid w:val="0"/>
              <w:spacing w:beforeLines="50" w:line="360" w:lineRule="auto"/>
              <w:jc w:val="center"/>
              <w:rPr>
                <w:rFonts w:ascii="宋体" w:hAnsi="宋体" w:cs="宋体"/>
                <w:sz w:val="20"/>
                <w:szCs w:val="20"/>
              </w:rPr>
            </w:pPr>
            <w:bookmarkStart w:id="29" w:name="T_1_3"/>
            <w:r>
              <w:rPr>
                <w:rFonts w:hint="eastAsia" w:ascii="宋体" w:hAnsi="宋体" w:cs="宋体"/>
                <w:sz w:val="20"/>
                <w:szCs w:val="20"/>
              </w:rPr>
              <w:t>序号</w:t>
            </w:r>
          </w:p>
        </w:tc>
        <w:tc>
          <w:tcPr>
            <w:tcW w:w="9298" w:type="dxa"/>
            <w:noWrap/>
            <w:vAlign w:val="center"/>
          </w:tcPr>
          <w:p w14:paraId="3AAF49F7">
            <w:pPr>
              <w:adjustRightInd w:val="0"/>
              <w:snapToGrid w:val="0"/>
              <w:spacing w:beforeLines="50" w:line="360" w:lineRule="auto"/>
              <w:jc w:val="center"/>
              <w:rPr>
                <w:rFonts w:ascii="宋体" w:hAnsi="宋体" w:cs="宋体"/>
                <w:sz w:val="20"/>
                <w:szCs w:val="20"/>
              </w:rPr>
            </w:pPr>
            <w:r>
              <w:rPr>
                <w:rFonts w:hint="eastAsia" w:ascii="宋体" w:hAnsi="宋体" w:cs="宋体"/>
                <w:sz w:val="20"/>
                <w:szCs w:val="20"/>
              </w:rPr>
              <w:t>条款内容</w:t>
            </w:r>
          </w:p>
        </w:tc>
      </w:tr>
      <w:tr w14:paraId="5166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384" w:type="dxa"/>
            <w:noWrap/>
            <w:vAlign w:val="center"/>
          </w:tcPr>
          <w:p w14:paraId="0A39DEAE">
            <w:pPr>
              <w:jc w:val="center"/>
              <w:rPr>
                <w:rFonts w:ascii="宋体" w:hAnsi="宋体" w:cs="宋体"/>
              </w:rPr>
            </w:pPr>
          </w:p>
        </w:tc>
        <w:tc>
          <w:tcPr>
            <w:tcW w:w="9298" w:type="dxa"/>
            <w:noWrap/>
            <w:vAlign w:val="center"/>
          </w:tcPr>
          <w:p w14:paraId="4DD02BF4">
            <w:pPr>
              <w:pStyle w:val="13"/>
              <w:keepNext w:val="0"/>
              <w:keepLines w:val="0"/>
              <w:pageBreakBefore w:val="0"/>
              <w:widowControl w:val="0"/>
              <w:numPr>
                <w:ilvl w:val="0"/>
                <w:numId w:val="0"/>
              </w:numPr>
              <w:kinsoku/>
              <w:wordWrap/>
              <w:overflowPunct/>
              <w:topLinePunct w:val="0"/>
              <w:bidi w:val="0"/>
              <w:adjustRightInd w:val="0"/>
              <w:snapToGrid/>
              <w:spacing w:line="360" w:lineRule="exact"/>
              <w:ind w:left="0" w:leftChars="0" w:firstLine="400" w:firstLineChars="200"/>
              <w:textAlignment w:val="auto"/>
            </w:pPr>
          </w:p>
        </w:tc>
      </w:tr>
      <w:bookmarkEnd w:id="29"/>
    </w:tbl>
    <w:p w14:paraId="184B5FB7">
      <w:pPr>
        <w:jc w:val="left"/>
        <w:rPr>
          <w:rFonts w:ascii="宋体" w:hAnsi="宋体" w:cs="宋体"/>
        </w:rPr>
      </w:pPr>
    </w:p>
    <w:p w14:paraId="01BE4A37">
      <w:pPr>
        <w:jc w:val="left"/>
        <w:rPr>
          <w:rFonts w:hint="eastAsia" w:ascii="宋体" w:hAnsi="宋体" w:cs="宋体"/>
        </w:rPr>
        <w:sectPr>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cs="宋体"/>
        </w:rPr>
        <w:t>商务部分，技术部分★号条款未在“★条款汇总表中的”，将视为无效★号条款</w:t>
      </w:r>
    </w:p>
    <w:p w14:paraId="00BF6C02">
      <w:pPr>
        <w:pStyle w:val="2"/>
        <w:spacing w:line="480" w:lineRule="exact"/>
        <w:rPr>
          <w:rFonts w:hint="eastAsia" w:ascii="黑体" w:hAnsi="黑体" w:eastAsia="黑体" w:cs="黑体"/>
          <w:b/>
          <w:bCs w:val="0"/>
          <w:sz w:val="32"/>
          <w:szCs w:val="32"/>
        </w:rPr>
      </w:pPr>
      <w:bookmarkStart w:id="30" w:name="_Toc15925"/>
      <w:r>
        <w:rPr>
          <w:rFonts w:hint="eastAsia" w:ascii="黑体" w:hAnsi="黑体" w:eastAsia="黑体" w:cs="黑体"/>
          <w:b/>
          <w:bCs w:val="0"/>
          <w:sz w:val="32"/>
          <w:szCs w:val="32"/>
        </w:rPr>
        <w:t>第一章 投标邀请</w:t>
      </w:r>
      <w:bookmarkEnd w:id="8"/>
      <w:bookmarkEnd w:id="9"/>
      <w:bookmarkEnd w:id="30"/>
      <w:r>
        <w:rPr>
          <w:rFonts w:hint="eastAsia" w:ascii="黑体" w:hAnsi="黑体" w:eastAsia="黑体" w:cs="黑体"/>
          <w:b/>
          <w:bCs w:val="0"/>
          <w:sz w:val="32"/>
          <w:szCs w:val="32"/>
        </w:rPr>
        <w:t>（公开招标）</w:t>
      </w:r>
    </w:p>
    <w:p w14:paraId="0F4B95D6">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cs="宋体"/>
          <w:szCs w:val="21"/>
        </w:rPr>
      </w:pPr>
      <w:bookmarkStart w:id="31" w:name="OLE_LINK2"/>
      <w:bookmarkStart w:id="32" w:name="OLE_LINK6"/>
      <w:bookmarkStart w:id="33" w:name="OLE_LINK8"/>
      <w:bookmarkStart w:id="34" w:name="OLE_LINK5"/>
      <w:bookmarkStart w:id="35" w:name="_Toc6205"/>
      <w:bookmarkStart w:id="36" w:name="_Toc16909"/>
      <w:r>
        <w:rPr>
          <w:rFonts w:hint="eastAsia" w:ascii="宋体" w:hAnsi="宋体" w:cs="宋体"/>
          <w:szCs w:val="21"/>
        </w:rPr>
        <w:t>受</w:t>
      </w:r>
      <w:r>
        <w:rPr>
          <w:rFonts w:hint="eastAsia" w:ascii="宋体" w:hAnsi="宋体" w:cs="宋体"/>
          <w:szCs w:val="21"/>
          <w:lang w:eastAsia="zh-CN"/>
        </w:rPr>
        <w:t>岳阳市人民医院</w:t>
      </w:r>
      <w:r>
        <w:rPr>
          <w:rFonts w:hint="eastAsia" w:ascii="宋体" w:hAnsi="宋体" w:cs="宋体"/>
          <w:szCs w:val="21"/>
        </w:rPr>
        <w:t>的委托，本代理机构对</w:t>
      </w:r>
      <w:r>
        <w:rPr>
          <w:rFonts w:hint="eastAsia" w:ascii="宋体" w:hAnsi="宋体" w:cs="宋体"/>
          <w:szCs w:val="21"/>
          <w:lang w:eastAsia="zh-CN"/>
        </w:rPr>
        <w:t>岳阳市人民医院麻醉机、多功能监护仪采购项目</w:t>
      </w:r>
      <w:r>
        <w:rPr>
          <w:rFonts w:hint="eastAsia" w:ascii="宋体" w:hAnsi="宋体" w:cs="宋体"/>
          <w:szCs w:val="21"/>
        </w:rPr>
        <w:t>进行公开招标采购，现将采购事项公告如下：</w:t>
      </w:r>
      <w:bookmarkStart w:id="37" w:name="_Toc21957"/>
    </w:p>
    <w:bookmarkEnd w:id="37"/>
    <w:p w14:paraId="1C44D038">
      <w:pPr>
        <w:keepNext w:val="0"/>
        <w:keepLines w:val="0"/>
        <w:pageBreakBefore w:val="0"/>
        <w:kinsoku/>
        <w:wordWrap/>
        <w:overflowPunct/>
        <w:topLinePunct w:val="0"/>
        <w:bidi w:val="0"/>
        <w:adjustRightInd w:val="0"/>
        <w:snapToGrid w:val="0"/>
        <w:spacing w:line="480" w:lineRule="exact"/>
        <w:ind w:firstLine="422" w:firstLineChars="200"/>
        <w:textAlignment w:val="auto"/>
        <w:rPr>
          <w:rFonts w:ascii="宋体" w:hAnsi="宋体"/>
          <w:b/>
          <w:szCs w:val="21"/>
        </w:rPr>
      </w:pPr>
      <w:bookmarkStart w:id="38" w:name="_Toc29253"/>
      <w:r>
        <w:rPr>
          <w:rFonts w:hint="eastAsia" w:ascii="宋体" w:hAnsi="宋体"/>
          <w:b/>
          <w:szCs w:val="21"/>
        </w:rPr>
        <w:t>一、采购项目基本信息</w:t>
      </w:r>
    </w:p>
    <w:p w14:paraId="28DBF4FD">
      <w:pPr>
        <w:keepNext w:val="0"/>
        <w:keepLines w:val="0"/>
        <w:pageBreakBefore w:val="0"/>
        <w:kinsoku/>
        <w:wordWrap/>
        <w:overflowPunct/>
        <w:topLinePunct w:val="0"/>
        <w:bidi w:val="0"/>
        <w:adjustRightInd w:val="0"/>
        <w:snapToGrid w:val="0"/>
        <w:spacing w:line="480" w:lineRule="exact"/>
        <w:ind w:firstLine="420" w:firstLineChars="200"/>
        <w:textAlignment w:val="auto"/>
        <w:rPr>
          <w:rFonts w:hint="eastAsia" w:ascii="宋体" w:hAnsi="宋体" w:eastAsia="宋体"/>
          <w:szCs w:val="21"/>
          <w:lang w:eastAsia="zh-CN"/>
        </w:rPr>
      </w:pPr>
      <w:r>
        <w:rPr>
          <w:rFonts w:hint="eastAsia" w:ascii="宋体" w:hAnsi="宋体"/>
          <w:szCs w:val="21"/>
        </w:rPr>
        <w:t>1、采购项目名称：</w:t>
      </w:r>
      <w:r>
        <w:rPr>
          <w:rFonts w:hint="eastAsia" w:ascii="宋体" w:hAnsi="宋体"/>
          <w:szCs w:val="21"/>
          <w:u w:val="single"/>
        </w:rPr>
        <w:t xml:space="preserve"> </w:t>
      </w:r>
      <w:r>
        <w:rPr>
          <w:rFonts w:hint="eastAsia" w:ascii="宋体" w:hAnsi="宋体" w:cs="宋体"/>
          <w:szCs w:val="21"/>
          <w:u w:val="single"/>
          <w:lang w:eastAsia="zh-CN"/>
        </w:rPr>
        <w:t>岳阳市人民医院麻醉机、多功能监护仪采购项目</w:t>
      </w:r>
    </w:p>
    <w:p w14:paraId="7CFA3BBA">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2、政府采购计划编号：</w:t>
      </w:r>
      <w:r>
        <w:rPr>
          <w:rFonts w:hint="eastAsia" w:ascii="宋体" w:hAnsi="宋体"/>
          <w:color w:val="auto"/>
          <w:szCs w:val="21"/>
          <w:u w:val="single"/>
          <w:lang w:eastAsia="zh-CN"/>
        </w:rPr>
        <w:t>(2026)430600000056-1</w:t>
      </w:r>
      <w:r>
        <w:rPr>
          <w:rFonts w:hint="eastAsia" w:ascii="宋体" w:hAnsi="宋体"/>
          <w:color w:val="auto"/>
          <w:szCs w:val="21"/>
          <w:u w:val="single"/>
        </w:rPr>
        <w:t xml:space="preserve"> </w:t>
      </w:r>
    </w:p>
    <w:p w14:paraId="3947A1E6">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i/>
          <w:szCs w:val="21"/>
        </w:rPr>
      </w:pPr>
      <w:r>
        <w:rPr>
          <w:rFonts w:hint="eastAsia" w:ascii="宋体" w:hAnsi="宋体"/>
          <w:szCs w:val="21"/>
        </w:rPr>
        <w:t>3、委托代理编号：</w:t>
      </w:r>
      <w:r>
        <w:rPr>
          <w:rFonts w:hint="eastAsia" w:ascii="宋体" w:hAnsi="宋体"/>
          <w:szCs w:val="21"/>
          <w:u w:val="single"/>
        </w:rPr>
        <w:t xml:space="preserve"> </w:t>
      </w:r>
      <w:r>
        <w:rPr>
          <w:rFonts w:hint="eastAsia" w:ascii="宋体" w:hAnsi="宋体" w:cs="宋体"/>
          <w:szCs w:val="21"/>
          <w:u w:val="single"/>
          <w:lang w:eastAsia="zh-CN"/>
        </w:rPr>
        <w:t>AY-YY-2026015</w:t>
      </w:r>
      <w:r>
        <w:rPr>
          <w:rFonts w:hint="eastAsia" w:ascii="宋体" w:hAnsi="宋体"/>
          <w:szCs w:val="21"/>
          <w:u w:val="single"/>
        </w:rPr>
        <w:t xml:space="preserve"> </w:t>
      </w:r>
    </w:p>
    <w:p w14:paraId="3C7BEAFE">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bCs/>
          <w:szCs w:val="21"/>
        </w:rPr>
      </w:pPr>
      <w:r>
        <w:rPr>
          <w:rFonts w:hint="eastAsia" w:ascii="宋体" w:hAnsi="宋体"/>
          <w:bCs/>
          <w:szCs w:val="21"/>
        </w:rPr>
        <w:t>4、采购项目预算：</w:t>
      </w:r>
      <w:r>
        <w:rPr>
          <w:rFonts w:hint="eastAsia" w:ascii="宋体" w:hAnsi="宋体"/>
          <w:bCs/>
          <w:szCs w:val="21"/>
          <w:u w:val="single"/>
        </w:rPr>
        <w:t xml:space="preserve">  </w:t>
      </w:r>
      <w:r>
        <w:rPr>
          <w:rFonts w:hint="eastAsia" w:ascii="宋体" w:hAnsi="宋体"/>
          <w:bCs/>
          <w:szCs w:val="21"/>
          <w:u w:val="single"/>
          <w:lang w:val="en-US" w:eastAsia="zh-CN"/>
        </w:rPr>
        <w:t>22</w:t>
      </w:r>
      <w:r>
        <w:rPr>
          <w:rFonts w:hint="eastAsia" w:ascii="宋体" w:hAnsi="宋体" w:cs="宋体"/>
          <w:szCs w:val="21"/>
          <w:u w:val="single"/>
          <w:lang w:val="en-US" w:eastAsia="zh-CN"/>
        </w:rPr>
        <w:t>00000</w:t>
      </w:r>
      <w:r>
        <w:rPr>
          <w:rFonts w:hint="eastAsia" w:ascii="宋体" w:hAnsi="宋体" w:cs="宋体"/>
          <w:szCs w:val="21"/>
          <w:u w:val="single"/>
          <w:lang w:eastAsia="zh-CN"/>
        </w:rPr>
        <w:t>.00</w:t>
      </w:r>
      <w:r>
        <w:rPr>
          <w:rFonts w:hint="eastAsia" w:ascii="宋体" w:hAnsi="宋体" w:cs="宋体"/>
          <w:szCs w:val="21"/>
          <w:u w:val="single"/>
        </w:rPr>
        <w:t>元</w:t>
      </w:r>
      <w:r>
        <w:rPr>
          <w:rFonts w:hint="eastAsia" w:ascii="宋体" w:hAnsi="宋体"/>
          <w:bCs/>
          <w:szCs w:val="21"/>
          <w:u w:val="single"/>
        </w:rPr>
        <w:t xml:space="preserve">  </w:t>
      </w:r>
    </w:p>
    <w:p w14:paraId="20938CFD">
      <w:pPr>
        <w:keepNext w:val="0"/>
        <w:keepLines w:val="0"/>
        <w:pageBreakBefore w:val="0"/>
        <w:kinsoku/>
        <w:wordWrap/>
        <w:overflowPunct/>
        <w:topLinePunct w:val="0"/>
        <w:bidi w:val="0"/>
        <w:adjustRightInd w:val="0"/>
        <w:snapToGrid w:val="0"/>
        <w:spacing w:line="480" w:lineRule="exact"/>
        <w:ind w:firstLine="630" w:firstLineChars="300"/>
        <w:textAlignment w:val="auto"/>
        <w:rPr>
          <w:rFonts w:ascii="宋体" w:hAnsi="宋体"/>
          <w:bCs/>
          <w:szCs w:val="21"/>
          <w:u w:val="single"/>
        </w:rPr>
      </w:pPr>
      <w:r>
        <w:rPr>
          <w:rFonts w:hint="eastAsia" w:ascii="宋体" w:hAnsi="宋体"/>
          <w:iCs/>
          <w:szCs w:val="21"/>
        </w:rPr>
        <w:sym w:font="Wingdings" w:char="00A8"/>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      </w:t>
      </w:r>
    </w:p>
    <w:p w14:paraId="25AB79A9">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bCs/>
          <w:szCs w:val="21"/>
          <w:u w:val="single"/>
        </w:rPr>
      </w:pPr>
      <w:r>
        <w:rPr>
          <w:rFonts w:hint="eastAsia" w:ascii="宋体" w:hAnsi="宋体"/>
          <w:bCs/>
          <w:szCs w:val="21"/>
        </w:rPr>
        <w:t>5、本项目</w:t>
      </w:r>
      <w:r>
        <w:rPr>
          <w:rFonts w:hint="eastAsia" w:ascii="宋体" w:hAnsi="宋体"/>
          <w:szCs w:val="21"/>
        </w:rPr>
        <w:t>对应的中小企业划分标准所属行业：</w:t>
      </w:r>
      <w:r>
        <w:rPr>
          <w:rFonts w:hint="eastAsia" w:ascii="宋体" w:hAnsi="宋体"/>
          <w:bCs/>
          <w:szCs w:val="21"/>
          <w:u w:val="single"/>
        </w:rPr>
        <w:t xml:space="preserve">  </w:t>
      </w:r>
      <w:r>
        <w:rPr>
          <w:rFonts w:hint="eastAsia" w:ascii="宋体" w:hAnsi="宋体"/>
          <w:bCs/>
          <w:szCs w:val="21"/>
          <w:u w:val="single"/>
          <w:lang w:val="en-US" w:eastAsia="zh-CN"/>
        </w:rPr>
        <w:t>工</w:t>
      </w:r>
      <w:r>
        <w:rPr>
          <w:rFonts w:hint="eastAsia" w:ascii="宋体" w:hAnsi="宋体"/>
          <w:bCs/>
          <w:szCs w:val="21"/>
          <w:u w:val="single"/>
        </w:rPr>
        <w:t xml:space="preserve">业  </w:t>
      </w:r>
    </w:p>
    <w:p w14:paraId="3FECB50C">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bCs/>
          <w:szCs w:val="21"/>
          <w:u w:val="single"/>
        </w:rPr>
      </w:pPr>
      <w:r>
        <w:rPr>
          <w:rFonts w:hint="eastAsia" w:ascii="宋体" w:hAnsi="宋体"/>
          <w:bCs/>
          <w:szCs w:val="21"/>
        </w:rPr>
        <w:t>6、评标方法：</w:t>
      </w:r>
      <w:r>
        <w:rPr>
          <w:rFonts w:hint="eastAsia" w:ascii="宋体" w:hAnsi="宋体"/>
          <w:iCs/>
          <w:szCs w:val="21"/>
        </w:rPr>
        <w:sym w:font="Wingdings" w:char="00FE"/>
      </w:r>
      <w:r>
        <w:rPr>
          <w:rFonts w:hint="eastAsia" w:ascii="宋体" w:hAnsi="宋体"/>
          <w:iCs/>
          <w:szCs w:val="21"/>
        </w:rPr>
        <w:t xml:space="preserve">综合评分法 </w:t>
      </w:r>
      <w:r>
        <w:rPr>
          <w:rFonts w:hint="eastAsia" w:ascii="宋体" w:hAnsi="宋体"/>
          <w:iCs/>
          <w:szCs w:val="21"/>
        </w:rPr>
        <w:sym w:font="Wingdings" w:char="00A8"/>
      </w:r>
      <w:r>
        <w:rPr>
          <w:rFonts w:hint="eastAsia" w:ascii="宋体" w:hAnsi="宋体"/>
          <w:iCs/>
          <w:szCs w:val="21"/>
        </w:rPr>
        <w:t>最低评标价法</w:t>
      </w:r>
    </w:p>
    <w:p w14:paraId="04C37B9B">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bCs/>
          <w:szCs w:val="21"/>
          <w:u w:val="single"/>
        </w:rPr>
      </w:pPr>
      <w:r>
        <w:rPr>
          <w:rFonts w:hint="eastAsia" w:ascii="宋体" w:hAnsi="宋体"/>
          <w:bCs/>
          <w:szCs w:val="21"/>
        </w:rPr>
        <w:t>7、合同定价方式：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20E000CB">
      <w:pPr>
        <w:keepNext w:val="0"/>
        <w:keepLines w:val="0"/>
        <w:pageBreakBefore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Times New Roman"/>
          <w:bCs/>
          <w:szCs w:val="21"/>
          <w:u w:val="single"/>
          <w:lang w:eastAsia="zh-CN"/>
        </w:rPr>
      </w:pPr>
      <w:r>
        <w:rPr>
          <w:rFonts w:hint="eastAsia" w:ascii="宋体" w:hAnsi="宋体"/>
          <w:bCs/>
          <w:szCs w:val="21"/>
        </w:rPr>
        <w:t>8、合同履行期限：</w:t>
      </w:r>
      <w:r>
        <w:rPr>
          <w:rFonts w:hint="eastAsia" w:ascii="宋体" w:hAnsi="宋体"/>
          <w:bCs/>
          <w:color w:val="auto"/>
          <w:szCs w:val="21"/>
          <w:u w:val="single"/>
          <w:lang w:val="en-US" w:eastAsia="zh-CN"/>
        </w:rPr>
        <w:t>合同签订后30日</w:t>
      </w:r>
    </w:p>
    <w:p w14:paraId="5EFED9E6">
      <w:pPr>
        <w:pStyle w:val="125"/>
        <w:keepNext w:val="0"/>
        <w:keepLines w:val="0"/>
        <w:pageBreakBefore w:val="0"/>
        <w:kinsoku/>
        <w:wordWrap/>
        <w:overflowPunct/>
        <w:topLinePunct w:val="0"/>
        <w:bidi w:val="0"/>
        <w:spacing w:line="480" w:lineRule="exact"/>
        <w:textAlignment w:val="auto"/>
        <w:rPr>
          <w:color w:val="auto"/>
          <w:sz w:val="21"/>
          <w:szCs w:val="21"/>
        </w:rPr>
      </w:pPr>
      <w:r>
        <w:rPr>
          <w:rFonts w:hint="eastAsia" w:hAnsi="宋体"/>
          <w:bCs/>
          <w:color w:val="auto"/>
          <w:sz w:val="21"/>
          <w:szCs w:val="21"/>
        </w:rPr>
        <w:t>9、</w:t>
      </w:r>
      <w:r>
        <w:rPr>
          <w:rFonts w:hint="eastAsia"/>
          <w:color w:val="auto"/>
          <w:sz w:val="21"/>
          <w:szCs w:val="21"/>
        </w:rPr>
        <w:t>本项目分阶段要求投标人提供以下保证：</w:t>
      </w:r>
    </w:p>
    <w:p w14:paraId="1B264F72">
      <w:pPr>
        <w:pStyle w:val="125"/>
        <w:keepNext w:val="0"/>
        <w:keepLines w:val="0"/>
        <w:pageBreakBefore w:val="0"/>
        <w:kinsoku/>
        <w:wordWrap/>
        <w:overflowPunct/>
        <w:topLinePunct w:val="0"/>
        <w:bidi w:val="0"/>
        <w:spacing w:line="480" w:lineRule="exact"/>
        <w:textAlignment w:val="auto"/>
        <w:rPr>
          <w:rFonts w:hAnsi="宋体"/>
          <w:iCs/>
          <w:color w:val="auto"/>
          <w:sz w:val="21"/>
          <w:szCs w:val="21"/>
        </w:rPr>
      </w:pPr>
      <w:r>
        <w:rPr>
          <w:rFonts w:hint="eastAsia" w:hAnsi="宋体"/>
          <w:iCs/>
          <w:color w:val="auto"/>
          <w:sz w:val="21"/>
          <w:szCs w:val="21"/>
        </w:rPr>
        <w:sym w:font="Wingdings" w:char="00A8"/>
      </w:r>
      <w:r>
        <w:rPr>
          <w:rFonts w:hint="eastAsia" w:hAnsi="宋体"/>
          <w:color w:val="auto"/>
          <w:sz w:val="21"/>
          <w:szCs w:val="21"/>
        </w:rPr>
        <w:t>投标保证金：</w:t>
      </w:r>
      <w:r>
        <w:rPr>
          <w:rFonts w:hint="eastAsia" w:hAnsi="宋体"/>
          <w:iCs/>
          <w:color w:val="auto"/>
          <w:sz w:val="21"/>
          <w:szCs w:val="21"/>
        </w:rPr>
        <w:t>采购项目预算的</w:t>
      </w:r>
      <w:r>
        <w:rPr>
          <w:rFonts w:hint="eastAsia" w:hAnsi="宋体"/>
          <w:iCs/>
          <w:color w:val="auto"/>
          <w:sz w:val="21"/>
          <w:szCs w:val="21"/>
          <w:u w:val="single"/>
        </w:rPr>
        <w:t xml:space="preserve">  /  </w:t>
      </w:r>
      <w:r>
        <w:rPr>
          <w:rFonts w:hint="eastAsia" w:hAnsi="宋体"/>
          <w:iCs/>
          <w:color w:val="auto"/>
          <w:sz w:val="21"/>
          <w:szCs w:val="21"/>
        </w:rPr>
        <w:t>%</w:t>
      </w:r>
      <w:r>
        <w:rPr>
          <w:rFonts w:hint="eastAsia" w:hAnsi="宋体"/>
          <w:color w:val="auto"/>
          <w:sz w:val="21"/>
          <w:szCs w:val="21"/>
        </w:rPr>
        <w:t>；</w:t>
      </w:r>
    </w:p>
    <w:p w14:paraId="3D9E7490">
      <w:pPr>
        <w:pStyle w:val="125"/>
        <w:keepNext w:val="0"/>
        <w:keepLines w:val="0"/>
        <w:pageBreakBefore w:val="0"/>
        <w:kinsoku/>
        <w:wordWrap/>
        <w:overflowPunct/>
        <w:topLinePunct w:val="0"/>
        <w:bidi w:val="0"/>
        <w:spacing w:line="480" w:lineRule="exact"/>
        <w:textAlignment w:val="auto"/>
        <w:rPr>
          <w:rFonts w:hAnsi="宋体"/>
          <w:iCs/>
          <w:color w:val="auto"/>
          <w:sz w:val="21"/>
          <w:szCs w:val="21"/>
        </w:rPr>
      </w:pPr>
      <w:r>
        <w:rPr>
          <w:rFonts w:hint="eastAsia" w:hAnsi="宋体"/>
          <w:iCs/>
          <w:color w:val="auto"/>
          <w:sz w:val="21"/>
          <w:szCs w:val="21"/>
        </w:rPr>
        <w:sym w:font="Wingdings" w:char="00A8"/>
      </w:r>
      <w:r>
        <w:rPr>
          <w:rFonts w:hint="eastAsia" w:hAnsi="宋体"/>
          <w:iCs/>
          <w:color w:val="auto"/>
          <w:sz w:val="21"/>
          <w:szCs w:val="21"/>
        </w:rPr>
        <w:t>履约保证金：中标金额的</w:t>
      </w:r>
      <w:r>
        <w:rPr>
          <w:rFonts w:hint="eastAsia" w:hAnsi="宋体"/>
          <w:iCs/>
          <w:color w:val="auto"/>
          <w:sz w:val="21"/>
          <w:szCs w:val="21"/>
          <w:u w:val="single"/>
        </w:rPr>
        <w:t xml:space="preserve">  /  </w:t>
      </w:r>
      <w:r>
        <w:rPr>
          <w:rFonts w:hint="eastAsia" w:hAnsi="宋体"/>
          <w:iCs/>
          <w:color w:val="auto"/>
          <w:sz w:val="21"/>
          <w:szCs w:val="21"/>
        </w:rPr>
        <w:t>%</w:t>
      </w:r>
      <w:r>
        <w:rPr>
          <w:rFonts w:hint="eastAsia" w:hAnsi="宋体"/>
          <w:color w:val="auto"/>
          <w:sz w:val="21"/>
          <w:szCs w:val="21"/>
        </w:rPr>
        <w:t>；</w:t>
      </w:r>
    </w:p>
    <w:p w14:paraId="69E2FF47">
      <w:pPr>
        <w:pStyle w:val="125"/>
        <w:keepNext w:val="0"/>
        <w:keepLines w:val="0"/>
        <w:pageBreakBefore w:val="0"/>
        <w:kinsoku/>
        <w:wordWrap/>
        <w:overflowPunct/>
        <w:topLinePunct w:val="0"/>
        <w:bidi w:val="0"/>
        <w:spacing w:line="480" w:lineRule="exact"/>
        <w:textAlignment w:val="auto"/>
        <w:rPr>
          <w:rFonts w:hAnsi="宋体"/>
          <w:iCs/>
          <w:color w:val="auto"/>
          <w:sz w:val="21"/>
          <w:szCs w:val="21"/>
        </w:rPr>
      </w:pPr>
      <w:r>
        <w:rPr>
          <w:rFonts w:hint="eastAsia" w:hAnsi="宋体"/>
          <w:iCs/>
          <w:color w:val="auto"/>
          <w:sz w:val="21"/>
          <w:szCs w:val="21"/>
        </w:rPr>
        <w:sym w:font="Wingdings" w:char="00A8"/>
      </w:r>
      <w:r>
        <w:rPr>
          <w:rFonts w:hint="eastAsia" w:hAnsi="宋体"/>
          <w:iCs/>
          <w:color w:val="auto"/>
          <w:sz w:val="21"/>
          <w:szCs w:val="21"/>
        </w:rPr>
        <w:t>预付款保证金：预付款的</w:t>
      </w:r>
      <w:r>
        <w:rPr>
          <w:rFonts w:hint="eastAsia" w:hAnsi="宋体"/>
          <w:iCs/>
          <w:color w:val="auto"/>
          <w:sz w:val="21"/>
          <w:szCs w:val="21"/>
          <w:u w:val="single"/>
        </w:rPr>
        <w:t xml:space="preserve">  /  </w:t>
      </w:r>
      <w:r>
        <w:rPr>
          <w:rFonts w:hint="eastAsia" w:hAnsi="宋体"/>
          <w:iCs/>
          <w:color w:val="auto"/>
          <w:sz w:val="21"/>
          <w:szCs w:val="21"/>
        </w:rPr>
        <w:t>%；</w:t>
      </w:r>
    </w:p>
    <w:p w14:paraId="40B489F3">
      <w:pPr>
        <w:pStyle w:val="125"/>
        <w:keepNext w:val="0"/>
        <w:keepLines w:val="0"/>
        <w:pageBreakBefore w:val="0"/>
        <w:kinsoku/>
        <w:wordWrap/>
        <w:overflowPunct/>
        <w:topLinePunct w:val="0"/>
        <w:bidi w:val="0"/>
        <w:spacing w:line="480" w:lineRule="exact"/>
        <w:textAlignment w:val="auto"/>
        <w:rPr>
          <w:rFonts w:hAnsi="宋体"/>
          <w:iCs/>
          <w:color w:val="auto"/>
          <w:sz w:val="21"/>
          <w:szCs w:val="21"/>
        </w:rPr>
      </w:pPr>
      <w:r>
        <w:rPr>
          <w:rFonts w:hint="eastAsia" w:hAnsi="宋体"/>
          <w:iCs/>
          <w:color w:val="auto"/>
          <w:sz w:val="21"/>
          <w:szCs w:val="21"/>
        </w:rPr>
        <w:sym w:font="Wingdings" w:char="00A8"/>
      </w:r>
      <w:r>
        <w:rPr>
          <w:rFonts w:hint="eastAsia" w:hAnsi="宋体"/>
          <w:iCs/>
          <w:color w:val="auto"/>
          <w:sz w:val="21"/>
          <w:szCs w:val="21"/>
        </w:rPr>
        <w:t>质量保证金：合同金额的</w:t>
      </w:r>
      <w:r>
        <w:rPr>
          <w:rFonts w:hint="eastAsia" w:hAnsi="宋体"/>
          <w:iCs/>
          <w:color w:val="auto"/>
          <w:sz w:val="21"/>
          <w:szCs w:val="21"/>
          <w:u w:val="single"/>
        </w:rPr>
        <w:t xml:space="preserve">  /  </w:t>
      </w:r>
      <w:r>
        <w:rPr>
          <w:rFonts w:hint="eastAsia" w:hAnsi="宋体"/>
          <w:iCs/>
          <w:color w:val="auto"/>
          <w:sz w:val="21"/>
          <w:szCs w:val="21"/>
        </w:rPr>
        <w:t>%。</w:t>
      </w:r>
    </w:p>
    <w:p w14:paraId="312CC2C8">
      <w:pPr>
        <w:keepNext w:val="0"/>
        <w:keepLines w:val="0"/>
        <w:pageBreakBefore w:val="0"/>
        <w:kinsoku/>
        <w:wordWrap/>
        <w:overflowPunct/>
        <w:topLinePunct w:val="0"/>
        <w:bidi w:val="0"/>
        <w:adjustRightInd w:val="0"/>
        <w:snapToGrid w:val="0"/>
        <w:spacing w:line="480" w:lineRule="exact"/>
        <w:ind w:firstLine="422" w:firstLineChars="200"/>
        <w:textAlignment w:val="auto"/>
        <w:outlineLvl w:val="1"/>
        <w:rPr>
          <w:rFonts w:ascii="宋体" w:hAnsi="宋体" w:cs="宋体"/>
          <w:b/>
          <w:szCs w:val="21"/>
        </w:rPr>
      </w:pPr>
      <w:bookmarkStart w:id="39" w:name="_Toc9314"/>
      <w:r>
        <w:rPr>
          <w:rFonts w:hint="eastAsia" w:ascii="宋体" w:hAnsi="宋体" w:cs="宋体"/>
          <w:b/>
          <w:szCs w:val="21"/>
        </w:rPr>
        <w:t>二、采购人的采购需求</w:t>
      </w:r>
      <w:bookmarkEnd w:id="38"/>
      <w:bookmarkEnd w:id="39"/>
    </w:p>
    <w:tbl>
      <w:tblPr>
        <w:tblStyle w:val="40"/>
        <w:tblW w:w="1001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25"/>
        <w:gridCol w:w="2050"/>
        <w:gridCol w:w="2566"/>
        <w:gridCol w:w="765"/>
        <w:gridCol w:w="1310"/>
        <w:gridCol w:w="1311"/>
        <w:gridCol w:w="744"/>
        <w:gridCol w:w="645"/>
      </w:tblGrid>
      <w:tr w14:paraId="59B3BD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jc w:val="center"/>
        </w:trPr>
        <w:tc>
          <w:tcPr>
            <w:tcW w:w="625" w:type="dxa"/>
            <w:noWrap/>
            <w:vAlign w:val="center"/>
          </w:tcPr>
          <w:p w14:paraId="3EE71F48">
            <w:pPr>
              <w:keepNext w:val="0"/>
              <w:keepLines w:val="0"/>
              <w:pageBreakBefore w:val="0"/>
              <w:kinsoku/>
              <w:wordWrap/>
              <w:overflowPunct/>
              <w:topLinePunct w:val="0"/>
              <w:bidi w:val="0"/>
              <w:adjustRightInd w:val="0"/>
              <w:snapToGrid w:val="0"/>
              <w:spacing w:line="480" w:lineRule="exact"/>
              <w:jc w:val="center"/>
              <w:textAlignment w:val="auto"/>
              <w:rPr>
                <w:szCs w:val="21"/>
              </w:rPr>
            </w:pPr>
            <w:bookmarkStart w:id="40" w:name="_Toc28450"/>
            <w:bookmarkStart w:id="41" w:name="_Toc1624"/>
            <w:r>
              <w:rPr>
                <w:rFonts w:hint="eastAsia"/>
                <w:szCs w:val="21"/>
              </w:rPr>
              <w:t xml:space="preserve">包号 </w:t>
            </w:r>
          </w:p>
        </w:tc>
        <w:tc>
          <w:tcPr>
            <w:tcW w:w="2050" w:type="dxa"/>
            <w:noWrap/>
            <w:vAlign w:val="center"/>
          </w:tcPr>
          <w:p w14:paraId="677E8D87">
            <w:pPr>
              <w:keepNext w:val="0"/>
              <w:keepLines w:val="0"/>
              <w:pageBreakBefore w:val="0"/>
              <w:kinsoku/>
              <w:wordWrap/>
              <w:overflowPunct/>
              <w:topLinePunct w:val="0"/>
              <w:bidi w:val="0"/>
              <w:adjustRightInd w:val="0"/>
              <w:snapToGrid w:val="0"/>
              <w:spacing w:line="480" w:lineRule="exact"/>
              <w:jc w:val="center"/>
              <w:textAlignment w:val="auto"/>
              <w:rPr>
                <w:szCs w:val="21"/>
              </w:rPr>
            </w:pPr>
            <w:r>
              <w:rPr>
                <w:rFonts w:hint="eastAsia"/>
                <w:szCs w:val="21"/>
              </w:rPr>
              <w:t>标的名称</w:t>
            </w:r>
          </w:p>
        </w:tc>
        <w:tc>
          <w:tcPr>
            <w:tcW w:w="2566" w:type="dxa"/>
            <w:tcBorders>
              <w:left w:val="single" w:color="auto" w:sz="4" w:space="0"/>
            </w:tcBorders>
            <w:noWrap/>
            <w:vAlign w:val="center"/>
          </w:tcPr>
          <w:p w14:paraId="1B4103E3">
            <w:pPr>
              <w:keepNext w:val="0"/>
              <w:keepLines w:val="0"/>
              <w:pageBreakBefore w:val="0"/>
              <w:kinsoku/>
              <w:wordWrap/>
              <w:overflowPunct/>
              <w:topLinePunct w:val="0"/>
              <w:bidi w:val="0"/>
              <w:adjustRightInd w:val="0"/>
              <w:snapToGrid w:val="0"/>
              <w:spacing w:line="480" w:lineRule="exact"/>
              <w:jc w:val="center"/>
              <w:textAlignment w:val="auto"/>
              <w:rPr>
                <w:szCs w:val="21"/>
              </w:rPr>
            </w:pPr>
            <w:r>
              <w:rPr>
                <w:rFonts w:hint="eastAsia"/>
                <w:szCs w:val="21"/>
              </w:rPr>
              <w:t>简要技术要求</w:t>
            </w:r>
          </w:p>
        </w:tc>
        <w:tc>
          <w:tcPr>
            <w:tcW w:w="765" w:type="dxa"/>
            <w:tcBorders>
              <w:left w:val="single" w:color="auto" w:sz="4" w:space="0"/>
            </w:tcBorders>
            <w:noWrap/>
            <w:vAlign w:val="center"/>
          </w:tcPr>
          <w:p w14:paraId="1AEC2754">
            <w:pPr>
              <w:keepNext w:val="0"/>
              <w:keepLines w:val="0"/>
              <w:pageBreakBefore w:val="0"/>
              <w:kinsoku/>
              <w:wordWrap/>
              <w:overflowPunct/>
              <w:topLinePunct w:val="0"/>
              <w:bidi w:val="0"/>
              <w:adjustRightInd w:val="0"/>
              <w:snapToGrid w:val="0"/>
              <w:spacing w:line="480" w:lineRule="exact"/>
              <w:jc w:val="center"/>
              <w:textAlignment w:val="auto"/>
              <w:rPr>
                <w:rFonts w:ascii="宋体" w:hAnsi="宋体" w:cs="宋体"/>
                <w:kern w:val="0"/>
                <w:szCs w:val="21"/>
              </w:rPr>
            </w:pPr>
            <w:r>
              <w:rPr>
                <w:rFonts w:hint="eastAsia"/>
                <w:szCs w:val="21"/>
              </w:rPr>
              <w:t>数量</w:t>
            </w:r>
          </w:p>
        </w:tc>
        <w:tc>
          <w:tcPr>
            <w:tcW w:w="1310" w:type="dxa"/>
            <w:noWrap/>
            <w:vAlign w:val="center"/>
          </w:tcPr>
          <w:p w14:paraId="5F654719">
            <w:pPr>
              <w:keepNext w:val="0"/>
              <w:keepLines w:val="0"/>
              <w:pageBreakBefore w:val="0"/>
              <w:kinsoku/>
              <w:wordWrap/>
              <w:overflowPunct/>
              <w:topLinePunct w:val="0"/>
              <w:bidi w:val="0"/>
              <w:adjustRightInd w:val="0"/>
              <w:snapToGrid w:val="0"/>
              <w:spacing w:line="480" w:lineRule="exact"/>
              <w:jc w:val="center"/>
              <w:textAlignment w:val="auto"/>
              <w:rPr>
                <w:szCs w:val="21"/>
              </w:rPr>
            </w:pPr>
            <w:r>
              <w:rPr>
                <w:rFonts w:hint="eastAsia"/>
                <w:szCs w:val="21"/>
              </w:rPr>
              <w:t>标的预算(元)</w:t>
            </w:r>
          </w:p>
        </w:tc>
        <w:tc>
          <w:tcPr>
            <w:tcW w:w="1311" w:type="dxa"/>
            <w:noWrap/>
            <w:vAlign w:val="center"/>
          </w:tcPr>
          <w:p w14:paraId="28CDEF8B">
            <w:pPr>
              <w:keepNext w:val="0"/>
              <w:keepLines w:val="0"/>
              <w:pageBreakBefore w:val="0"/>
              <w:kinsoku/>
              <w:wordWrap/>
              <w:overflowPunct/>
              <w:topLinePunct w:val="0"/>
              <w:bidi w:val="0"/>
              <w:adjustRightInd w:val="0"/>
              <w:snapToGrid w:val="0"/>
              <w:spacing w:line="480" w:lineRule="exact"/>
              <w:jc w:val="center"/>
              <w:textAlignment w:val="auto"/>
              <w:rPr>
                <w:szCs w:val="21"/>
              </w:rPr>
            </w:pPr>
            <w:r>
              <w:rPr>
                <w:rFonts w:hint="eastAsia"/>
                <w:szCs w:val="21"/>
              </w:rPr>
              <w:t>最高限价(元)</w:t>
            </w:r>
          </w:p>
        </w:tc>
        <w:tc>
          <w:tcPr>
            <w:tcW w:w="744" w:type="dxa"/>
            <w:noWrap/>
            <w:vAlign w:val="center"/>
          </w:tcPr>
          <w:p w14:paraId="0C129258">
            <w:pPr>
              <w:keepNext w:val="0"/>
              <w:keepLines w:val="0"/>
              <w:pageBreakBefore w:val="0"/>
              <w:kinsoku/>
              <w:wordWrap/>
              <w:overflowPunct/>
              <w:topLinePunct w:val="0"/>
              <w:bidi w:val="0"/>
              <w:adjustRightInd w:val="0"/>
              <w:snapToGrid w:val="0"/>
              <w:spacing w:line="480" w:lineRule="exact"/>
              <w:jc w:val="center"/>
              <w:textAlignment w:val="auto"/>
              <w:rPr>
                <w:szCs w:val="21"/>
              </w:rPr>
            </w:pPr>
            <w:r>
              <w:rPr>
                <w:rFonts w:hint="eastAsia"/>
                <w:szCs w:val="21"/>
              </w:rPr>
              <w:t>节能产品</w:t>
            </w:r>
          </w:p>
        </w:tc>
        <w:tc>
          <w:tcPr>
            <w:tcW w:w="645" w:type="dxa"/>
            <w:noWrap/>
            <w:vAlign w:val="center"/>
          </w:tcPr>
          <w:p w14:paraId="154D7365">
            <w:pPr>
              <w:keepNext w:val="0"/>
              <w:keepLines w:val="0"/>
              <w:pageBreakBefore w:val="0"/>
              <w:kinsoku/>
              <w:wordWrap/>
              <w:overflowPunct/>
              <w:topLinePunct w:val="0"/>
              <w:bidi w:val="0"/>
              <w:adjustRightInd w:val="0"/>
              <w:snapToGrid w:val="0"/>
              <w:spacing w:line="480" w:lineRule="exact"/>
              <w:jc w:val="center"/>
              <w:textAlignment w:val="auto"/>
              <w:rPr>
                <w:szCs w:val="21"/>
              </w:rPr>
            </w:pPr>
            <w:r>
              <w:rPr>
                <w:rFonts w:hint="eastAsia"/>
                <w:szCs w:val="21"/>
              </w:rPr>
              <w:t>进口产品</w:t>
            </w:r>
          </w:p>
        </w:tc>
      </w:tr>
      <w:tr w14:paraId="0ECA02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625" w:type="dxa"/>
            <w:noWrap/>
            <w:vAlign w:val="center"/>
          </w:tcPr>
          <w:p w14:paraId="18E49D8C">
            <w:pPr>
              <w:keepNext w:val="0"/>
              <w:keepLines w:val="0"/>
              <w:pageBreakBefore w:val="0"/>
              <w:kinsoku/>
              <w:wordWrap/>
              <w:overflowPunct/>
              <w:topLinePunct w:val="0"/>
              <w:bidi w:val="0"/>
              <w:adjustRightInd w:val="0"/>
              <w:snapToGrid w:val="0"/>
              <w:spacing w:line="480" w:lineRule="exact"/>
              <w:jc w:val="center"/>
              <w:textAlignment w:val="auto"/>
              <w:rPr>
                <w:szCs w:val="21"/>
              </w:rPr>
            </w:pPr>
            <w:r>
              <w:rPr>
                <w:rFonts w:hint="eastAsia"/>
                <w:szCs w:val="21"/>
                <w:lang w:eastAsia="zh-CN"/>
              </w:rPr>
              <w:t>1</w:t>
            </w:r>
          </w:p>
        </w:tc>
        <w:tc>
          <w:tcPr>
            <w:tcW w:w="2050" w:type="dxa"/>
            <w:noWrap/>
            <w:vAlign w:val="center"/>
          </w:tcPr>
          <w:p w14:paraId="5894E80E">
            <w:pPr>
              <w:keepNext w:val="0"/>
              <w:keepLines w:val="0"/>
              <w:pageBreakBefore w:val="0"/>
              <w:kinsoku/>
              <w:wordWrap/>
              <w:overflowPunct/>
              <w:topLinePunct w:val="0"/>
              <w:bidi w:val="0"/>
              <w:adjustRightInd w:val="0"/>
              <w:snapToGrid w:val="0"/>
              <w:spacing w:line="480" w:lineRule="exact"/>
              <w:jc w:val="center"/>
              <w:textAlignment w:val="auto"/>
              <w:rPr>
                <w:rFonts w:hint="eastAsia" w:eastAsia="宋体"/>
                <w:szCs w:val="21"/>
                <w:lang w:eastAsia="zh-CN"/>
              </w:rPr>
            </w:pPr>
            <w:r>
              <w:rPr>
                <w:rFonts w:hint="eastAsia"/>
                <w:szCs w:val="21"/>
                <w:lang w:eastAsia="zh-CN"/>
              </w:rPr>
              <w:t>麻醉机</w:t>
            </w:r>
          </w:p>
        </w:tc>
        <w:tc>
          <w:tcPr>
            <w:tcW w:w="2566" w:type="dxa"/>
            <w:tcBorders>
              <w:left w:val="single" w:color="auto" w:sz="4" w:space="0"/>
            </w:tcBorders>
            <w:noWrap/>
            <w:vAlign w:val="center"/>
          </w:tcPr>
          <w:p w14:paraId="2D567DAF">
            <w:pPr>
              <w:keepNext w:val="0"/>
              <w:keepLines w:val="0"/>
              <w:pageBreakBefore w:val="0"/>
              <w:kinsoku/>
              <w:wordWrap/>
              <w:overflowPunct/>
              <w:topLinePunct w:val="0"/>
              <w:bidi w:val="0"/>
              <w:adjustRightInd w:val="0"/>
              <w:snapToGrid w:val="0"/>
              <w:spacing w:line="480" w:lineRule="exact"/>
              <w:jc w:val="center"/>
              <w:textAlignment w:val="auto"/>
              <w:rPr>
                <w:rFonts w:hint="default" w:eastAsia="宋体"/>
                <w:szCs w:val="21"/>
                <w:lang w:val="en-US" w:eastAsia="zh-CN"/>
              </w:rPr>
            </w:pPr>
            <w:r>
              <w:rPr>
                <w:rFonts w:hint="eastAsia"/>
                <w:szCs w:val="21"/>
                <w:lang w:val="en-US" w:eastAsia="zh-CN"/>
              </w:rPr>
              <w:t>详见采购文件</w:t>
            </w:r>
          </w:p>
        </w:tc>
        <w:tc>
          <w:tcPr>
            <w:tcW w:w="765" w:type="dxa"/>
            <w:tcBorders>
              <w:left w:val="single" w:color="auto" w:sz="4" w:space="0"/>
            </w:tcBorders>
            <w:noWrap/>
            <w:vAlign w:val="center"/>
          </w:tcPr>
          <w:p w14:paraId="33B6BFE1">
            <w:pPr>
              <w:keepNext w:val="0"/>
              <w:keepLines w:val="0"/>
              <w:pageBreakBefore w:val="0"/>
              <w:kinsoku/>
              <w:wordWrap/>
              <w:overflowPunct/>
              <w:topLinePunct w:val="0"/>
              <w:bidi w:val="0"/>
              <w:adjustRightInd w:val="0"/>
              <w:snapToGrid w:val="0"/>
              <w:spacing w:line="480" w:lineRule="exact"/>
              <w:jc w:val="center"/>
              <w:textAlignment w:val="auto"/>
              <w:rPr>
                <w:rFonts w:hint="default" w:eastAsia="宋体"/>
                <w:szCs w:val="21"/>
                <w:lang w:val="en-US" w:eastAsia="zh-CN"/>
              </w:rPr>
            </w:pPr>
            <w:r>
              <w:rPr>
                <w:rFonts w:hint="eastAsia"/>
                <w:szCs w:val="21"/>
                <w:lang w:val="en-US" w:eastAsia="zh-CN"/>
              </w:rPr>
              <w:t>4台</w:t>
            </w:r>
          </w:p>
        </w:tc>
        <w:tc>
          <w:tcPr>
            <w:tcW w:w="1310" w:type="dxa"/>
            <w:noWrap/>
            <w:vAlign w:val="center"/>
          </w:tcPr>
          <w:p w14:paraId="59935D01">
            <w:pPr>
              <w:keepNext w:val="0"/>
              <w:keepLines w:val="0"/>
              <w:pageBreakBefore w:val="0"/>
              <w:kinsoku/>
              <w:wordWrap/>
              <w:overflowPunct/>
              <w:topLinePunct w:val="0"/>
              <w:bidi w:val="0"/>
              <w:adjustRightInd w:val="0"/>
              <w:snapToGrid w:val="0"/>
              <w:spacing w:line="480" w:lineRule="exact"/>
              <w:jc w:val="center"/>
              <w:textAlignment w:val="auto"/>
              <w:rPr>
                <w:rFonts w:hint="default" w:eastAsia="宋体"/>
                <w:szCs w:val="21"/>
                <w:lang w:val="en-US" w:eastAsia="zh-CN"/>
              </w:rPr>
            </w:pPr>
            <w:r>
              <w:rPr>
                <w:rFonts w:hint="eastAsia"/>
                <w:szCs w:val="21"/>
                <w:lang w:val="en-US" w:eastAsia="zh-CN"/>
              </w:rPr>
              <w:t>1500000.00</w:t>
            </w:r>
          </w:p>
        </w:tc>
        <w:tc>
          <w:tcPr>
            <w:tcW w:w="1311" w:type="dxa"/>
            <w:noWrap/>
            <w:vAlign w:val="center"/>
          </w:tcPr>
          <w:p w14:paraId="62993CCF">
            <w:pPr>
              <w:keepNext w:val="0"/>
              <w:keepLines w:val="0"/>
              <w:pageBreakBefore w:val="0"/>
              <w:kinsoku/>
              <w:wordWrap/>
              <w:overflowPunct/>
              <w:topLinePunct w:val="0"/>
              <w:bidi w:val="0"/>
              <w:adjustRightInd w:val="0"/>
              <w:snapToGrid w:val="0"/>
              <w:spacing w:line="480" w:lineRule="exact"/>
              <w:jc w:val="center"/>
              <w:textAlignment w:val="auto"/>
              <w:rPr>
                <w:szCs w:val="21"/>
              </w:rPr>
            </w:pPr>
            <w:r>
              <w:rPr>
                <w:rFonts w:hint="eastAsia" w:ascii="Times New Roman" w:eastAsia="宋体"/>
                <w:szCs w:val="21"/>
                <w:lang w:val="en-US" w:eastAsia="zh-CN"/>
              </w:rPr>
              <w:t>1500000.00</w:t>
            </w:r>
          </w:p>
        </w:tc>
        <w:tc>
          <w:tcPr>
            <w:tcW w:w="744" w:type="dxa"/>
            <w:noWrap/>
            <w:vAlign w:val="top"/>
          </w:tcPr>
          <w:p w14:paraId="7EB15817">
            <w:pPr>
              <w:keepNext w:val="0"/>
              <w:keepLines w:val="0"/>
              <w:pageBreakBefore w:val="0"/>
              <w:kinsoku/>
              <w:wordWrap/>
              <w:overflowPunct/>
              <w:topLinePunct w:val="0"/>
              <w:bidi w:val="0"/>
              <w:adjustRightInd w:val="0"/>
              <w:snapToGrid w:val="0"/>
              <w:spacing w:beforeLines="50" w:line="480" w:lineRule="exact"/>
              <w:jc w:val="center"/>
              <w:textAlignment w:val="auto"/>
              <w:rPr>
                <w:szCs w:val="21"/>
              </w:rPr>
            </w:pPr>
            <w:r>
              <w:rPr>
                <w:rFonts w:hint="eastAsia" w:ascii="宋体" w:hAnsi="宋体"/>
                <w:iCs/>
                <w:szCs w:val="21"/>
              </w:rPr>
              <w:sym w:font="Wingdings" w:char="00A8"/>
            </w:r>
          </w:p>
        </w:tc>
        <w:tc>
          <w:tcPr>
            <w:tcW w:w="645" w:type="dxa"/>
            <w:noWrap/>
            <w:vAlign w:val="top"/>
          </w:tcPr>
          <w:p w14:paraId="4856E30B">
            <w:pPr>
              <w:keepNext w:val="0"/>
              <w:keepLines w:val="0"/>
              <w:pageBreakBefore w:val="0"/>
              <w:kinsoku/>
              <w:wordWrap/>
              <w:overflowPunct/>
              <w:topLinePunct w:val="0"/>
              <w:bidi w:val="0"/>
              <w:adjustRightInd w:val="0"/>
              <w:snapToGrid w:val="0"/>
              <w:spacing w:beforeLines="50" w:line="480" w:lineRule="exact"/>
              <w:jc w:val="center"/>
              <w:textAlignment w:val="auto"/>
              <w:rPr>
                <w:szCs w:val="21"/>
              </w:rPr>
            </w:pPr>
            <w:r>
              <w:rPr>
                <w:rFonts w:hint="eastAsia" w:ascii="宋体" w:hAnsi="宋体"/>
                <w:iCs/>
                <w:szCs w:val="21"/>
              </w:rPr>
              <w:sym w:font="Wingdings" w:char="00A8"/>
            </w:r>
          </w:p>
        </w:tc>
      </w:tr>
      <w:tr w14:paraId="64FBAA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8" w:hRule="atLeast"/>
          <w:jc w:val="center"/>
        </w:trPr>
        <w:tc>
          <w:tcPr>
            <w:tcW w:w="625" w:type="dxa"/>
            <w:noWrap/>
            <w:vAlign w:val="center"/>
          </w:tcPr>
          <w:p w14:paraId="772E2DE4">
            <w:pPr>
              <w:keepNext w:val="0"/>
              <w:keepLines w:val="0"/>
              <w:pageBreakBefore w:val="0"/>
              <w:kinsoku/>
              <w:wordWrap/>
              <w:overflowPunct/>
              <w:topLinePunct w:val="0"/>
              <w:bidi w:val="0"/>
              <w:adjustRightInd w:val="0"/>
              <w:snapToGrid w:val="0"/>
              <w:spacing w:line="480" w:lineRule="exact"/>
              <w:jc w:val="center"/>
              <w:textAlignment w:val="auto"/>
              <w:rPr>
                <w:rFonts w:hint="eastAsia" w:eastAsia="宋体"/>
                <w:szCs w:val="21"/>
                <w:lang w:val="en-US" w:eastAsia="zh-CN"/>
              </w:rPr>
            </w:pPr>
            <w:r>
              <w:rPr>
                <w:rFonts w:hint="eastAsia"/>
                <w:szCs w:val="21"/>
                <w:lang w:val="en-US" w:eastAsia="zh-CN"/>
              </w:rPr>
              <w:t>2</w:t>
            </w:r>
          </w:p>
        </w:tc>
        <w:tc>
          <w:tcPr>
            <w:tcW w:w="2050" w:type="dxa"/>
            <w:noWrap/>
            <w:vAlign w:val="center"/>
          </w:tcPr>
          <w:p w14:paraId="2221F8E8">
            <w:pPr>
              <w:keepNext w:val="0"/>
              <w:keepLines w:val="0"/>
              <w:pageBreakBefore w:val="0"/>
              <w:kinsoku/>
              <w:wordWrap/>
              <w:overflowPunct/>
              <w:topLinePunct w:val="0"/>
              <w:bidi w:val="0"/>
              <w:adjustRightInd w:val="0"/>
              <w:snapToGrid w:val="0"/>
              <w:spacing w:line="480" w:lineRule="exact"/>
              <w:jc w:val="center"/>
              <w:textAlignment w:val="auto"/>
              <w:rPr>
                <w:rFonts w:hint="eastAsia"/>
                <w:szCs w:val="21"/>
                <w:lang w:eastAsia="zh-CN"/>
              </w:rPr>
            </w:pPr>
            <w:r>
              <w:rPr>
                <w:rFonts w:hint="eastAsia"/>
                <w:szCs w:val="21"/>
                <w:lang w:eastAsia="zh-CN"/>
              </w:rPr>
              <w:t>多功能监护仪</w:t>
            </w:r>
          </w:p>
        </w:tc>
        <w:tc>
          <w:tcPr>
            <w:tcW w:w="2566" w:type="dxa"/>
            <w:tcBorders>
              <w:left w:val="single" w:color="auto" w:sz="4" w:space="0"/>
            </w:tcBorders>
            <w:noWrap/>
            <w:vAlign w:val="center"/>
          </w:tcPr>
          <w:p w14:paraId="409CC1A8">
            <w:pPr>
              <w:keepNext w:val="0"/>
              <w:keepLines w:val="0"/>
              <w:pageBreakBefore w:val="0"/>
              <w:kinsoku/>
              <w:wordWrap/>
              <w:overflowPunct/>
              <w:topLinePunct w:val="0"/>
              <w:bidi w:val="0"/>
              <w:adjustRightInd w:val="0"/>
              <w:snapToGrid w:val="0"/>
              <w:spacing w:line="480" w:lineRule="exact"/>
              <w:jc w:val="center"/>
              <w:textAlignment w:val="auto"/>
              <w:rPr>
                <w:rFonts w:hint="eastAsia"/>
                <w:szCs w:val="21"/>
                <w:highlight w:val="none"/>
                <w:lang w:val="en-US" w:eastAsia="zh-CN"/>
              </w:rPr>
            </w:pPr>
            <w:r>
              <w:rPr>
                <w:rFonts w:hint="eastAsia"/>
                <w:szCs w:val="21"/>
                <w:lang w:val="en-US" w:eastAsia="zh-CN"/>
              </w:rPr>
              <w:t>详见采购文件</w:t>
            </w:r>
          </w:p>
        </w:tc>
        <w:tc>
          <w:tcPr>
            <w:tcW w:w="765" w:type="dxa"/>
            <w:tcBorders>
              <w:left w:val="single" w:color="auto" w:sz="4" w:space="0"/>
            </w:tcBorders>
            <w:noWrap/>
            <w:vAlign w:val="center"/>
          </w:tcPr>
          <w:p w14:paraId="60DC1D05">
            <w:pPr>
              <w:keepNext w:val="0"/>
              <w:keepLines w:val="0"/>
              <w:pageBreakBefore w:val="0"/>
              <w:kinsoku/>
              <w:wordWrap/>
              <w:overflowPunct/>
              <w:topLinePunct w:val="0"/>
              <w:bidi w:val="0"/>
              <w:adjustRightInd w:val="0"/>
              <w:snapToGrid w:val="0"/>
              <w:spacing w:line="480" w:lineRule="exact"/>
              <w:jc w:val="center"/>
              <w:textAlignment w:val="auto"/>
              <w:rPr>
                <w:rFonts w:hint="default"/>
                <w:szCs w:val="21"/>
                <w:lang w:val="en-US" w:eastAsia="zh-CN"/>
              </w:rPr>
            </w:pPr>
            <w:r>
              <w:rPr>
                <w:rFonts w:hint="eastAsia"/>
                <w:szCs w:val="21"/>
                <w:lang w:val="en-US" w:eastAsia="zh-CN"/>
              </w:rPr>
              <w:t>7台</w:t>
            </w:r>
          </w:p>
        </w:tc>
        <w:tc>
          <w:tcPr>
            <w:tcW w:w="1310" w:type="dxa"/>
            <w:noWrap/>
            <w:vAlign w:val="center"/>
          </w:tcPr>
          <w:p w14:paraId="58814700">
            <w:pPr>
              <w:keepNext w:val="0"/>
              <w:keepLines w:val="0"/>
              <w:pageBreakBefore w:val="0"/>
              <w:kinsoku/>
              <w:wordWrap/>
              <w:overflowPunct/>
              <w:topLinePunct w:val="0"/>
              <w:bidi w:val="0"/>
              <w:adjustRightInd w:val="0"/>
              <w:snapToGrid w:val="0"/>
              <w:spacing w:line="480" w:lineRule="exact"/>
              <w:jc w:val="center"/>
              <w:textAlignment w:val="auto"/>
              <w:rPr>
                <w:rFonts w:hint="default"/>
                <w:szCs w:val="21"/>
                <w:lang w:val="en-US" w:eastAsia="zh-CN"/>
              </w:rPr>
            </w:pPr>
            <w:r>
              <w:rPr>
                <w:rFonts w:hint="eastAsia"/>
                <w:szCs w:val="21"/>
                <w:lang w:val="en-US" w:eastAsia="zh-CN"/>
              </w:rPr>
              <w:t>700000.00</w:t>
            </w:r>
          </w:p>
        </w:tc>
        <w:tc>
          <w:tcPr>
            <w:tcW w:w="1311" w:type="dxa"/>
            <w:noWrap/>
            <w:vAlign w:val="center"/>
          </w:tcPr>
          <w:p w14:paraId="7674C4BE">
            <w:pPr>
              <w:keepNext w:val="0"/>
              <w:keepLines w:val="0"/>
              <w:pageBreakBefore w:val="0"/>
              <w:kinsoku/>
              <w:wordWrap/>
              <w:overflowPunct/>
              <w:topLinePunct w:val="0"/>
              <w:bidi w:val="0"/>
              <w:adjustRightInd w:val="0"/>
              <w:snapToGrid w:val="0"/>
              <w:spacing w:line="480" w:lineRule="exact"/>
              <w:jc w:val="center"/>
              <w:textAlignment w:val="auto"/>
              <w:rPr>
                <w:rFonts w:hint="eastAsia"/>
                <w:szCs w:val="21"/>
                <w:lang w:val="en-US" w:eastAsia="zh-CN"/>
              </w:rPr>
            </w:pPr>
            <w:r>
              <w:rPr>
                <w:rFonts w:hint="eastAsia"/>
                <w:szCs w:val="21"/>
                <w:lang w:val="en-US" w:eastAsia="zh-CN"/>
              </w:rPr>
              <w:t>700000.00</w:t>
            </w:r>
          </w:p>
        </w:tc>
        <w:tc>
          <w:tcPr>
            <w:tcW w:w="744" w:type="dxa"/>
            <w:shd w:val="clear" w:color="auto" w:fill="auto"/>
            <w:noWrap/>
            <w:vAlign w:val="top"/>
          </w:tcPr>
          <w:p w14:paraId="53CB68D0">
            <w:pPr>
              <w:keepNext w:val="0"/>
              <w:keepLines w:val="0"/>
              <w:pageBreakBefore w:val="0"/>
              <w:kinsoku/>
              <w:wordWrap/>
              <w:overflowPunct/>
              <w:topLinePunct w:val="0"/>
              <w:bidi w:val="0"/>
              <w:adjustRightInd w:val="0"/>
              <w:snapToGrid w:val="0"/>
              <w:spacing w:beforeLines="50" w:line="480" w:lineRule="exact"/>
              <w:jc w:val="center"/>
              <w:textAlignment w:val="auto"/>
              <w:rPr>
                <w:rFonts w:hint="eastAsia" w:ascii="Times New Roman" w:hAnsi="Times New Roman" w:eastAsia="宋体" w:cs="Times New Roman"/>
                <w:kern w:val="2"/>
                <w:sz w:val="21"/>
                <w:szCs w:val="21"/>
                <w:lang w:val="en-US" w:eastAsia="zh-CN" w:bidi="ar-SA"/>
              </w:rPr>
            </w:pPr>
            <w:r>
              <w:rPr>
                <w:rFonts w:hint="eastAsia" w:ascii="宋体" w:hAnsi="宋体"/>
                <w:iCs/>
                <w:szCs w:val="21"/>
              </w:rPr>
              <w:sym w:font="Wingdings" w:char="00A8"/>
            </w:r>
          </w:p>
        </w:tc>
        <w:tc>
          <w:tcPr>
            <w:tcW w:w="645" w:type="dxa"/>
            <w:shd w:val="clear" w:color="auto" w:fill="auto"/>
            <w:noWrap/>
            <w:vAlign w:val="top"/>
          </w:tcPr>
          <w:p w14:paraId="35D4E1B5">
            <w:pPr>
              <w:keepNext w:val="0"/>
              <w:keepLines w:val="0"/>
              <w:pageBreakBefore w:val="0"/>
              <w:kinsoku/>
              <w:wordWrap/>
              <w:overflowPunct/>
              <w:topLinePunct w:val="0"/>
              <w:bidi w:val="0"/>
              <w:adjustRightInd w:val="0"/>
              <w:snapToGrid w:val="0"/>
              <w:spacing w:beforeLines="50" w:line="480" w:lineRule="exact"/>
              <w:jc w:val="center"/>
              <w:textAlignment w:val="auto"/>
              <w:rPr>
                <w:rFonts w:hint="eastAsia" w:ascii="Times New Roman" w:hAnsi="Times New Roman" w:eastAsia="宋体" w:cs="Times New Roman"/>
                <w:kern w:val="2"/>
                <w:sz w:val="21"/>
                <w:szCs w:val="21"/>
                <w:lang w:val="en-US" w:eastAsia="zh-CN" w:bidi="ar-SA"/>
              </w:rPr>
            </w:pPr>
            <w:r>
              <w:rPr>
                <w:rFonts w:hint="eastAsia" w:ascii="宋体" w:hAnsi="宋体"/>
                <w:iCs/>
                <w:szCs w:val="21"/>
              </w:rPr>
              <w:sym w:font="Wingdings" w:char="00A8"/>
            </w:r>
          </w:p>
        </w:tc>
      </w:tr>
    </w:tbl>
    <w:p w14:paraId="062B13EA">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说明：</w:t>
      </w:r>
    </w:p>
    <w:p w14:paraId="709078B3">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1.节能产品实行</w:t>
      </w:r>
      <w:r>
        <w:rPr>
          <w:rFonts w:hint="eastAsia" w:ascii="宋体" w:hAnsi="宋体"/>
          <w:iCs/>
          <w:szCs w:val="21"/>
        </w:rPr>
        <w:t>强制采购的</w:t>
      </w:r>
      <w:r>
        <w:rPr>
          <w:rFonts w:hint="eastAsia" w:ascii="宋体" w:hAnsi="宋体"/>
          <w:szCs w:val="21"/>
        </w:rPr>
        <w:t>，需提供国家认证机构出具的、处于有效期内的节能产品证书。</w:t>
      </w:r>
    </w:p>
    <w:p w14:paraId="59754CF2">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2.同意购买进口产品的，不限制满足采购需求的国内产品参与投标。</w:t>
      </w:r>
    </w:p>
    <w:p w14:paraId="6E0B73D5">
      <w:pPr>
        <w:keepNext w:val="0"/>
        <w:keepLines w:val="0"/>
        <w:pageBreakBefore w:val="0"/>
        <w:kinsoku/>
        <w:wordWrap/>
        <w:overflowPunct/>
        <w:topLinePunct w:val="0"/>
        <w:bidi w:val="0"/>
        <w:adjustRightInd w:val="0"/>
        <w:snapToGrid w:val="0"/>
        <w:spacing w:line="480" w:lineRule="exact"/>
        <w:ind w:firstLine="422" w:firstLineChars="200"/>
        <w:textAlignment w:val="auto"/>
        <w:rPr>
          <w:rFonts w:ascii="宋体" w:hAnsi="宋体"/>
          <w:b/>
          <w:szCs w:val="21"/>
        </w:rPr>
      </w:pPr>
      <w:r>
        <w:rPr>
          <w:rFonts w:hint="eastAsia" w:ascii="宋体" w:hAnsi="宋体"/>
          <w:b/>
          <w:szCs w:val="21"/>
        </w:rPr>
        <w:t>三、采购项目需落实的政府采购政策</w:t>
      </w:r>
    </w:p>
    <w:p w14:paraId="26CB75DA">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1、优先采购：节能产品、环境标志产品享受加分或价格折扣。</w:t>
      </w:r>
    </w:p>
    <w:p w14:paraId="4C2B150F">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2、支持中小企业：中小企业享受预留采购份额或价格折扣。</w:t>
      </w:r>
    </w:p>
    <w:p w14:paraId="647D582B">
      <w:pPr>
        <w:keepNext w:val="0"/>
        <w:keepLines w:val="0"/>
        <w:pageBreakBefore w:val="0"/>
        <w:kinsoku/>
        <w:wordWrap/>
        <w:overflowPunct/>
        <w:topLinePunct w:val="0"/>
        <w:bidi w:val="0"/>
        <w:adjustRightInd w:val="0"/>
        <w:snapToGrid w:val="0"/>
        <w:spacing w:line="480" w:lineRule="exact"/>
        <w:ind w:firstLine="422" w:firstLineChars="200"/>
        <w:textAlignment w:val="auto"/>
        <w:outlineLvl w:val="1"/>
        <w:rPr>
          <w:rFonts w:ascii="宋体" w:hAnsi="宋体" w:cs="宋体"/>
          <w:szCs w:val="21"/>
        </w:rPr>
      </w:pPr>
      <w:r>
        <w:rPr>
          <w:rFonts w:hint="eastAsia" w:ascii="宋体" w:hAnsi="宋体" w:cs="宋体"/>
          <w:b/>
          <w:szCs w:val="21"/>
        </w:rPr>
        <w:t>四、投标人的资格要求</w:t>
      </w:r>
      <w:bookmarkEnd w:id="40"/>
      <w:bookmarkEnd w:id="41"/>
    </w:p>
    <w:bookmarkEnd w:id="31"/>
    <w:p w14:paraId="30BE7BFF">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bookmarkStart w:id="42" w:name="_Toc18325"/>
      <w:bookmarkStart w:id="43" w:name="_Toc5144"/>
      <w:r>
        <w:rPr>
          <w:rFonts w:hint="eastAsia" w:ascii="宋体" w:hAnsi="宋体"/>
          <w:szCs w:val="21"/>
        </w:rPr>
        <w:t>1、投标人的基本资格条件：投标人必须是在中华人民共和国境内注册登记的法人、其他组织或者自然人，且应当符合《政府采购法》第二十二条第一款的规定。</w:t>
      </w:r>
    </w:p>
    <w:p w14:paraId="1A7E3D52">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（1）具有独立承担民事责任的能力；</w:t>
      </w:r>
    </w:p>
    <w:p w14:paraId="26EA0214">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787D0DA4">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33949E95">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39DAA3F5">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6E72822B">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（6）法律、行政法规规定的其他条件。</w:t>
      </w:r>
    </w:p>
    <w:p w14:paraId="611D0655">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2、落实政府采购政策需满足的资格要求：</w:t>
      </w:r>
    </w:p>
    <w:p w14:paraId="2898F3E0">
      <w:pPr>
        <w:keepNext w:val="0"/>
        <w:keepLines w:val="0"/>
        <w:pageBreakBefore w:val="0"/>
        <w:kinsoku/>
        <w:wordWrap/>
        <w:overflowPunct/>
        <w:topLinePunct w:val="0"/>
        <w:bidi w:val="0"/>
        <w:adjustRightInd w:val="0"/>
        <w:snapToGrid w:val="0"/>
        <w:spacing w:line="480" w:lineRule="exact"/>
        <w:ind w:firstLine="630" w:firstLineChars="300"/>
        <w:textAlignment w:val="auto"/>
        <w:rPr>
          <w:rFonts w:ascii="宋体" w:hAnsi="宋体"/>
          <w:szCs w:val="21"/>
        </w:rPr>
      </w:pPr>
      <w:r>
        <w:rPr>
          <w:rFonts w:hint="eastAsia" w:ascii="宋体" w:hAnsi="宋体"/>
          <w:iCs/>
          <w:szCs w:val="21"/>
        </w:rPr>
        <w:sym w:font="Wingdings" w:char="00A8"/>
      </w:r>
      <w:r>
        <w:rPr>
          <w:rFonts w:hint="eastAsia" w:ascii="宋体" w:hAnsi="宋体"/>
          <w:iCs/>
          <w:szCs w:val="21"/>
        </w:rPr>
        <w:t>专门面向</w:t>
      </w:r>
      <w:r>
        <w:rPr>
          <w:rFonts w:hint="eastAsia" w:ascii="宋体" w:hAnsi="宋体"/>
          <w:bCs/>
          <w:szCs w:val="21"/>
        </w:rPr>
        <w:t>：</w:t>
      </w:r>
      <w:r>
        <w:rPr>
          <w:rFonts w:hint="eastAsia" w:ascii="宋体" w:hAnsi="宋体"/>
          <w:iCs/>
          <w:szCs w:val="21"/>
        </w:rPr>
        <w:sym w:font="Wingdings" w:char="00A8"/>
      </w:r>
      <w:r>
        <w:rPr>
          <w:rFonts w:hint="eastAsia" w:ascii="宋体" w:hAnsi="宋体"/>
          <w:iCs/>
          <w:szCs w:val="21"/>
        </w:rPr>
        <w:t xml:space="preserve">中小企业  </w:t>
      </w:r>
      <w:r>
        <w:rPr>
          <w:rFonts w:hint="eastAsia" w:ascii="宋体" w:hAnsi="宋体"/>
          <w:iCs/>
          <w:szCs w:val="21"/>
        </w:rPr>
        <w:sym w:font="Wingdings" w:char="00A8"/>
      </w:r>
      <w:r>
        <w:rPr>
          <w:rFonts w:hint="eastAsia" w:ascii="宋体" w:hAnsi="宋体"/>
          <w:iCs/>
          <w:szCs w:val="21"/>
        </w:rPr>
        <w:t xml:space="preserve">小微企业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福利性单位。</w:t>
      </w:r>
    </w:p>
    <w:p w14:paraId="17534E1D">
      <w:pPr>
        <w:keepNext w:val="0"/>
        <w:keepLines w:val="0"/>
        <w:pageBreakBefore w:val="0"/>
        <w:kinsoku/>
        <w:wordWrap/>
        <w:overflowPunct/>
        <w:topLinePunct w:val="0"/>
        <w:bidi w:val="0"/>
        <w:adjustRightInd w:val="0"/>
        <w:snapToGrid w:val="0"/>
        <w:spacing w:line="480" w:lineRule="exact"/>
        <w:ind w:firstLine="630" w:firstLineChars="300"/>
        <w:jc w:val="left"/>
        <w:textAlignment w:val="auto"/>
        <w:rPr>
          <w:rFonts w:hint="eastAsia"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强制分包：大型企业应将采购份额的         %分包给中小企业。</w:t>
      </w:r>
    </w:p>
    <w:p w14:paraId="454E091F">
      <w:pPr>
        <w:keepNext w:val="0"/>
        <w:keepLines w:val="0"/>
        <w:pageBreakBefore w:val="0"/>
        <w:kinsoku/>
        <w:wordWrap/>
        <w:overflowPunct/>
        <w:topLinePunct w:val="0"/>
        <w:bidi w:val="0"/>
        <w:adjustRightInd w:val="0"/>
        <w:snapToGrid w:val="0"/>
        <w:spacing w:line="480" w:lineRule="exact"/>
        <w:ind w:firstLine="420" w:firstLineChars="200"/>
        <w:jc w:val="left"/>
        <w:textAlignment w:val="auto"/>
        <w:rPr>
          <w:rFonts w:hint="eastAsia" w:ascii="宋体" w:hAnsi="宋体" w:eastAsia="宋体" w:cs="Times New Roman"/>
          <w:szCs w:val="21"/>
        </w:rPr>
      </w:pPr>
      <w:r>
        <w:rPr>
          <w:rFonts w:hint="eastAsia" w:ascii="宋体" w:hAnsi="宋体" w:eastAsia="宋体" w:cs="Times New Roman"/>
          <w:szCs w:val="21"/>
          <w:lang w:val="en-US" w:eastAsia="zh-CN"/>
        </w:rPr>
        <w:t>3、</w:t>
      </w:r>
      <w:r>
        <w:rPr>
          <w:rFonts w:hint="eastAsia" w:ascii="宋体" w:hAnsi="宋体" w:eastAsia="宋体" w:cs="Times New Roman"/>
          <w:szCs w:val="21"/>
        </w:rPr>
        <w:t>采购项目的特定资格条件：</w:t>
      </w:r>
      <w:r>
        <w:rPr>
          <w:rFonts w:hint="eastAsia" w:ascii="宋体" w:hAnsi="宋体" w:cs="宋体"/>
          <w:color w:val="auto"/>
          <w:sz w:val="20"/>
          <w:szCs w:val="20"/>
          <w:lang w:eastAsia="zh-CN"/>
        </w:rPr>
        <w:t>（</w:t>
      </w:r>
      <w:r>
        <w:rPr>
          <w:rFonts w:hint="eastAsia" w:ascii="宋体" w:hAnsi="宋体" w:eastAsia="宋体" w:cs="宋体"/>
          <w:color w:val="auto"/>
          <w:szCs w:val="21"/>
          <w:lang w:val="en-US" w:eastAsia="zh-CN"/>
        </w:rPr>
        <w:t>适用于本项目所有分包</w:t>
      </w:r>
      <w:r>
        <w:rPr>
          <w:rFonts w:hint="eastAsia" w:ascii="宋体" w:hAnsi="宋体" w:cs="宋体"/>
          <w:color w:val="auto"/>
          <w:sz w:val="20"/>
          <w:szCs w:val="20"/>
          <w:lang w:eastAsia="zh-CN"/>
        </w:rPr>
        <w:t>）</w:t>
      </w:r>
    </w:p>
    <w:p w14:paraId="4CC7772C">
      <w:pPr>
        <w:keepNext w:val="0"/>
        <w:keepLines w:val="0"/>
        <w:pageBreakBefore w:val="0"/>
        <w:kinsoku/>
        <w:wordWrap/>
        <w:overflowPunct/>
        <w:topLinePunct w:val="0"/>
        <w:bidi w:val="0"/>
        <w:adjustRightInd w:val="0"/>
        <w:snapToGrid w:val="0"/>
        <w:spacing w:line="480" w:lineRule="exact"/>
        <w:ind w:firstLine="422" w:firstLineChars="200"/>
        <w:jc w:val="left"/>
        <w:textAlignment w:val="auto"/>
        <w:rPr>
          <w:rFonts w:hint="eastAsia" w:ascii="宋体" w:hAnsi="宋体" w:eastAsia="宋体" w:cs="Times New Roman"/>
          <w:b/>
          <w:bCs/>
          <w:szCs w:val="21"/>
        </w:rPr>
      </w:pPr>
      <w:r>
        <w:rPr>
          <w:rFonts w:hint="eastAsia" w:ascii="宋体" w:hAnsi="宋体" w:eastAsia="宋体" w:cs="Times New Roman"/>
          <w:b/>
          <w:bCs/>
          <w:szCs w:val="21"/>
        </w:rPr>
        <w:t>（1）所投货物纳入医疗器械管理的，须具有相应的医疗器械经营许可证（或备案凭证）、或有效的医疗器械生产许可证（或备案凭证）、且证件在有效期内。</w:t>
      </w:r>
    </w:p>
    <w:p w14:paraId="7BE197AE">
      <w:pPr>
        <w:keepNext w:val="0"/>
        <w:keepLines w:val="0"/>
        <w:pageBreakBefore w:val="0"/>
        <w:kinsoku/>
        <w:wordWrap/>
        <w:overflowPunct/>
        <w:topLinePunct w:val="0"/>
        <w:bidi w:val="0"/>
        <w:adjustRightInd w:val="0"/>
        <w:snapToGrid w:val="0"/>
        <w:spacing w:line="480" w:lineRule="exact"/>
        <w:ind w:firstLine="422" w:firstLineChars="200"/>
        <w:jc w:val="left"/>
        <w:textAlignment w:val="auto"/>
        <w:rPr>
          <w:rFonts w:hint="eastAsia" w:ascii="宋体" w:hAnsi="宋体" w:eastAsia="宋体" w:cs="Times New Roman"/>
          <w:b/>
          <w:bCs/>
          <w:szCs w:val="21"/>
        </w:rPr>
      </w:pPr>
      <w:r>
        <w:rPr>
          <w:rFonts w:hint="eastAsia" w:ascii="宋体" w:hAnsi="宋体" w:eastAsia="宋体" w:cs="Times New Roman"/>
          <w:b/>
          <w:bCs/>
          <w:szCs w:val="21"/>
        </w:rPr>
        <w:t>（2）所投货物纳入医疗器械管理的，货物须具有有效的医疗器械注册证（或备案凭证）且在证件有效期内生产。</w:t>
      </w:r>
    </w:p>
    <w:p w14:paraId="500BD1D4">
      <w:pPr>
        <w:keepNext w:val="0"/>
        <w:keepLines w:val="0"/>
        <w:pageBreakBefore w:val="0"/>
        <w:kinsoku/>
        <w:wordWrap/>
        <w:overflowPunct/>
        <w:topLinePunct w:val="0"/>
        <w:bidi w:val="0"/>
        <w:adjustRightInd w:val="0"/>
        <w:snapToGrid w:val="0"/>
        <w:spacing w:line="480" w:lineRule="exact"/>
        <w:ind w:firstLine="420" w:firstLineChars="200"/>
        <w:jc w:val="left"/>
        <w:textAlignment w:val="auto"/>
        <w:rPr>
          <w:rFonts w:ascii="宋体" w:hAnsi="宋体"/>
          <w:szCs w:val="21"/>
        </w:rPr>
      </w:pPr>
      <w:r>
        <w:rPr>
          <w:rFonts w:hint="eastAsia" w:ascii="宋体" w:hAnsi="宋体"/>
          <w:szCs w:val="21"/>
        </w:rPr>
        <w:t>注：</w:t>
      </w:r>
      <w:r>
        <w:rPr>
          <w:rFonts w:hint="eastAsia" w:ascii="宋体" w:hAnsi="宋体"/>
          <w:szCs w:val="21"/>
          <w:lang w:val="en-US" w:eastAsia="zh-CN"/>
        </w:rPr>
        <w:t>1.</w:t>
      </w:r>
      <w:r>
        <w:rPr>
          <w:rFonts w:hint="eastAsia" w:ascii="宋体" w:hAnsi="宋体"/>
          <w:szCs w:val="21"/>
        </w:rPr>
        <w:t>被“信用中国”网站（www.creditchina.gov.cn）或“湖南信用网”（https://credit.fgw.hunan.gov.cn/)列入失信被执行人和重大税收违法失信主体的、被“中国政府采购网”（www.ccgp.gov.cn）或“湖南政府采购网”（www.ccgp-hunan.gov.cn)网站列入政府采购严重违法失信行为记录名单（处罚期限尚未届满的），不得参与本项目的政府采购活动；提供投标截止日前一个月内以上网站查询记录的网上截图。</w:t>
      </w:r>
    </w:p>
    <w:p w14:paraId="096BFF73">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lang w:val="en-US" w:eastAsia="zh-CN"/>
        </w:rPr>
        <w:t>2.</w:t>
      </w:r>
      <w:r>
        <w:rPr>
          <w:rFonts w:hint="eastAsia" w:ascii="宋体" w:hAnsi="宋体"/>
          <w:szCs w:val="21"/>
        </w:rPr>
        <w:t>根据《湖南省财政厅湖南省工业和信息化厅关于运用政府采购促进中小企业发展有关事项的通知》（湘财购【2021】16号文）和《湖南省财政厅关于政府采购促进中小企业发展有关措施的通知》（湘财购【2022】17号文），符合法定条件的供应商凭《湖南省政府采购供应商资格承诺函》（格式详见（湘财购【2022】17号文））参与政府采购活动，也可通过在金融机构办理电子增信取得对应信用星级参与政府采购活动和电子卖场交易，无需提供财务状况、缴纳税收和社会保障资金等资格证明材料。经采购人或监管部门查实，提供虚假承诺的供应商将以虚假资料谋取中标（成交）的违法行为，被列入不良记录名单，采购人有权取消其中标资格。</w:t>
      </w:r>
    </w:p>
    <w:p w14:paraId="61804743">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4、单位负责人为同一人或者存在直接控股、管理关系的不同投标人，不得参加同一合同项下的政府采购活动。</w:t>
      </w:r>
    </w:p>
    <w:p w14:paraId="268BC1B1">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5、为本采购项目提供整体设计、规范编制或者项目管理、监理、检测等服务的，不得再参加此项目的其他采购活动。</w:t>
      </w:r>
    </w:p>
    <w:p w14:paraId="0BABD0A6">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6、列入失信被执行人、重大税收违法失信主体名单、政府采购严重违法失信行为记录名单的，拒绝其参与政府采购活动。</w:t>
      </w:r>
    </w:p>
    <w:p w14:paraId="49FA5240">
      <w:pPr>
        <w:keepNext w:val="0"/>
        <w:keepLines w:val="0"/>
        <w:pageBreakBefore w:val="0"/>
        <w:kinsoku/>
        <w:wordWrap/>
        <w:overflowPunct/>
        <w:topLinePunct w:val="0"/>
        <w:bidi w:val="0"/>
        <w:adjustRightInd w:val="0"/>
        <w:snapToGrid w:val="0"/>
        <w:spacing w:line="480" w:lineRule="exact"/>
        <w:ind w:left="420" w:leftChars="200"/>
        <w:textAlignment w:val="auto"/>
        <w:rPr>
          <w:rFonts w:hint="eastAsia" w:ascii="宋体" w:hAnsi="宋体"/>
          <w:szCs w:val="21"/>
        </w:rPr>
      </w:pPr>
      <w:r>
        <w:rPr>
          <w:rFonts w:hint="eastAsia" w:ascii="宋体" w:hAnsi="宋体"/>
          <w:szCs w:val="21"/>
        </w:rPr>
        <w:t>7、联合体投标。本次招标</w:t>
      </w:r>
      <w:r>
        <w:rPr>
          <w:rFonts w:hint="eastAsia" w:ascii="宋体" w:hAnsi="宋体"/>
          <w:szCs w:val="21"/>
          <w:u w:val="single"/>
        </w:rPr>
        <w:t>不接受</w:t>
      </w:r>
      <w:r>
        <w:rPr>
          <w:rFonts w:hint="eastAsia" w:ascii="宋体" w:hAnsi="宋体"/>
          <w:szCs w:val="21"/>
        </w:rPr>
        <w:t>联合体投标。接受联合体投标的，联合体应当具备下列条件：</w:t>
      </w:r>
      <w:r>
        <w:rPr>
          <w:rFonts w:hint="eastAsia" w:ascii="宋体" w:hAnsi="宋体"/>
          <w:szCs w:val="21"/>
          <w:u w:val="single"/>
        </w:rPr>
        <w:t xml:space="preserve">  /  </w:t>
      </w:r>
      <w:r>
        <w:rPr>
          <w:rFonts w:hint="eastAsia" w:ascii="宋体" w:hAnsi="宋体"/>
          <w:szCs w:val="21"/>
        </w:rPr>
        <w:t>。</w:t>
      </w:r>
    </w:p>
    <w:p w14:paraId="2C04F986">
      <w:pPr>
        <w:keepNext w:val="0"/>
        <w:keepLines w:val="0"/>
        <w:pageBreakBefore w:val="0"/>
        <w:kinsoku/>
        <w:wordWrap/>
        <w:overflowPunct/>
        <w:topLinePunct w:val="0"/>
        <w:bidi w:val="0"/>
        <w:adjustRightInd w:val="0"/>
        <w:snapToGrid w:val="0"/>
        <w:spacing w:line="480" w:lineRule="exact"/>
        <w:ind w:left="420" w:leftChars="200"/>
        <w:textAlignment w:val="auto"/>
        <w:rPr>
          <w:rFonts w:ascii="宋体" w:hAnsi="宋体" w:cs="宋体"/>
          <w:b/>
          <w:szCs w:val="21"/>
        </w:rPr>
      </w:pPr>
      <w:r>
        <w:rPr>
          <w:rFonts w:hint="eastAsia" w:ascii="宋体" w:hAnsi="宋体" w:cs="宋体"/>
          <w:b/>
          <w:szCs w:val="21"/>
        </w:rPr>
        <w:t>五、招标文件的获取</w:t>
      </w:r>
      <w:bookmarkEnd w:id="42"/>
      <w:bookmarkEnd w:id="43"/>
    </w:p>
    <w:p w14:paraId="47FC9C7F">
      <w:pPr>
        <w:keepNext w:val="0"/>
        <w:keepLines w:val="0"/>
        <w:pageBreakBefore w:val="0"/>
        <w:tabs>
          <w:tab w:val="left" w:pos="4700"/>
          <w:tab w:val="left" w:pos="6000"/>
          <w:tab w:val="left" w:pos="7160"/>
          <w:tab w:val="left" w:pos="8520"/>
        </w:tabs>
        <w:kinsoku/>
        <w:wordWrap/>
        <w:overflowPunct/>
        <w:topLinePunct w:val="0"/>
        <w:autoSpaceDE w:val="0"/>
        <w:autoSpaceDN w:val="0"/>
        <w:bidi w:val="0"/>
        <w:adjustRightInd w:val="0"/>
        <w:snapToGrid w:val="0"/>
        <w:spacing w:line="480" w:lineRule="exact"/>
        <w:ind w:right="-23" w:firstLine="420" w:firstLineChars="200"/>
        <w:jc w:val="left"/>
        <w:textAlignment w:val="auto"/>
        <w:rPr>
          <w:rFonts w:ascii="宋体" w:hAnsi="宋体" w:cs="微软雅黑"/>
          <w:spacing w:val="-14"/>
          <w:kern w:val="0"/>
          <w:szCs w:val="21"/>
        </w:rPr>
      </w:pPr>
      <w:bookmarkStart w:id="44" w:name="_Toc14553"/>
      <w:bookmarkStart w:id="45" w:name="_Toc4885"/>
      <w:r>
        <w:rPr>
          <w:rFonts w:hint="eastAsia" w:ascii="宋体" w:hAnsi="宋体" w:cs="微软雅黑"/>
          <w:kern w:val="0"/>
          <w:szCs w:val="21"/>
        </w:rPr>
        <w:t>有</w:t>
      </w:r>
      <w:r>
        <w:rPr>
          <w:rFonts w:hint="eastAsia" w:ascii="宋体" w:hAnsi="宋体" w:cs="微软雅黑"/>
          <w:spacing w:val="-2"/>
          <w:kern w:val="0"/>
          <w:szCs w:val="21"/>
        </w:rPr>
        <w:t>意</w:t>
      </w:r>
      <w:r>
        <w:rPr>
          <w:rFonts w:hint="eastAsia" w:ascii="宋体" w:hAnsi="宋体" w:cs="微软雅黑"/>
          <w:kern w:val="0"/>
          <w:szCs w:val="21"/>
        </w:rPr>
        <w:t>参</w:t>
      </w:r>
      <w:r>
        <w:rPr>
          <w:rFonts w:hint="eastAsia" w:ascii="宋体" w:hAnsi="宋体" w:cs="微软雅黑"/>
          <w:spacing w:val="-2"/>
          <w:kern w:val="0"/>
          <w:szCs w:val="21"/>
        </w:rPr>
        <w:t>加</w:t>
      </w:r>
      <w:r>
        <w:rPr>
          <w:rFonts w:hint="eastAsia" w:ascii="宋体" w:hAnsi="宋体" w:cs="微软雅黑"/>
          <w:kern w:val="0"/>
          <w:szCs w:val="21"/>
        </w:rPr>
        <w:t>投</w:t>
      </w:r>
      <w:r>
        <w:rPr>
          <w:rFonts w:hint="eastAsia" w:ascii="宋体" w:hAnsi="宋体" w:cs="微软雅黑"/>
          <w:spacing w:val="-2"/>
          <w:kern w:val="0"/>
          <w:szCs w:val="21"/>
        </w:rPr>
        <w:t>标</w:t>
      </w:r>
      <w:r>
        <w:rPr>
          <w:rFonts w:hint="eastAsia" w:ascii="宋体" w:hAnsi="宋体" w:cs="微软雅黑"/>
          <w:kern w:val="0"/>
          <w:szCs w:val="21"/>
        </w:rPr>
        <w:t>者，</w:t>
      </w:r>
      <w:r>
        <w:rPr>
          <w:rFonts w:hint="eastAsia" w:ascii="宋体" w:hAnsi="宋体" w:cs="微软雅黑"/>
          <w:spacing w:val="-2"/>
          <w:kern w:val="0"/>
          <w:szCs w:val="21"/>
          <w:u w:val="single"/>
        </w:rPr>
        <w:t>于</w:t>
      </w:r>
      <w:r>
        <w:rPr>
          <w:rFonts w:hint="eastAsia" w:ascii="宋体" w:hAnsi="宋体" w:cs="宋体"/>
          <w:color w:val="000000"/>
          <w:szCs w:val="21"/>
          <w:highlight w:val="none"/>
          <w:u w:val="single"/>
          <w:lang w:val="en"/>
        </w:rPr>
        <w:t>202</w:t>
      </w:r>
      <w:r>
        <w:rPr>
          <w:rFonts w:hint="eastAsia" w:ascii="宋体" w:hAnsi="宋体" w:cs="宋体"/>
          <w:color w:val="000000"/>
          <w:szCs w:val="21"/>
          <w:highlight w:val="none"/>
          <w:u w:val="single"/>
          <w:lang w:val="en-US" w:eastAsia="zh-CN"/>
        </w:rPr>
        <w:t>6</w:t>
      </w:r>
      <w:r>
        <w:rPr>
          <w:rFonts w:hint="eastAsia" w:ascii="宋体" w:hAnsi="宋体" w:cs="宋体"/>
          <w:color w:val="000000"/>
          <w:szCs w:val="21"/>
          <w:highlight w:val="none"/>
          <w:u w:val="single"/>
          <w:lang w:val="en"/>
        </w:rPr>
        <w:t>年</w:t>
      </w:r>
      <w:r>
        <w:rPr>
          <w:rFonts w:hint="eastAsia" w:ascii="宋体" w:hAnsi="宋体" w:cs="宋体"/>
          <w:color w:val="000000"/>
          <w:szCs w:val="21"/>
          <w:highlight w:val="none"/>
          <w:u w:val="single"/>
          <w:lang w:val="en-US" w:eastAsia="zh-CN"/>
        </w:rPr>
        <w:t xml:space="preserve"> 08 </w:t>
      </w:r>
      <w:r>
        <w:rPr>
          <w:rFonts w:hint="eastAsia" w:ascii="宋体" w:hAnsi="宋体" w:cs="宋体"/>
          <w:color w:val="000000"/>
          <w:szCs w:val="21"/>
          <w:highlight w:val="none"/>
          <w:u w:val="single"/>
          <w:lang w:val="en"/>
        </w:rPr>
        <w:t>月</w:t>
      </w:r>
      <w:r>
        <w:rPr>
          <w:rFonts w:hint="eastAsia" w:ascii="宋体" w:hAnsi="宋体" w:cs="宋体"/>
          <w:color w:val="000000"/>
          <w:szCs w:val="21"/>
          <w:highlight w:val="none"/>
          <w:u w:val="single"/>
          <w:lang w:val="en-US" w:eastAsia="zh-CN"/>
        </w:rPr>
        <w:t xml:space="preserve"> 31 </w:t>
      </w:r>
      <w:r>
        <w:rPr>
          <w:rFonts w:hint="eastAsia" w:ascii="宋体" w:hAnsi="宋体" w:cs="宋体"/>
          <w:color w:val="000000"/>
          <w:szCs w:val="21"/>
          <w:highlight w:val="none"/>
          <w:u w:val="single"/>
          <w:lang w:val="en"/>
        </w:rPr>
        <w:t>日</w:t>
      </w:r>
      <w:r>
        <w:rPr>
          <w:rFonts w:hint="eastAsia" w:ascii="宋体" w:hAnsi="宋体" w:cs="微软雅黑"/>
          <w:spacing w:val="-2"/>
          <w:kern w:val="0"/>
          <w:szCs w:val="21"/>
          <w:u w:val="single"/>
        </w:rPr>
        <w:t>至</w:t>
      </w:r>
      <w:r>
        <w:rPr>
          <w:rFonts w:hint="eastAsia" w:ascii="宋体" w:hAnsi="宋体" w:cs="宋体"/>
          <w:color w:val="000000"/>
          <w:szCs w:val="21"/>
          <w:highlight w:val="none"/>
          <w:u w:val="single"/>
          <w:lang w:val="en"/>
        </w:rPr>
        <w:t>202</w:t>
      </w:r>
      <w:r>
        <w:rPr>
          <w:rFonts w:hint="eastAsia" w:ascii="宋体" w:hAnsi="宋体" w:cs="宋体"/>
          <w:color w:val="000000"/>
          <w:szCs w:val="21"/>
          <w:highlight w:val="none"/>
          <w:u w:val="single"/>
          <w:lang w:val="en-US" w:eastAsia="zh-CN"/>
        </w:rPr>
        <w:t>6</w:t>
      </w:r>
      <w:r>
        <w:rPr>
          <w:rFonts w:hint="eastAsia" w:ascii="宋体" w:hAnsi="宋体" w:cs="宋体"/>
          <w:color w:val="000000"/>
          <w:szCs w:val="21"/>
          <w:highlight w:val="none"/>
          <w:u w:val="single"/>
          <w:lang w:val="en"/>
        </w:rPr>
        <w:t>年</w:t>
      </w:r>
      <w:r>
        <w:rPr>
          <w:rFonts w:hint="eastAsia" w:ascii="宋体" w:hAnsi="宋体" w:cs="宋体"/>
          <w:color w:val="000000"/>
          <w:szCs w:val="21"/>
          <w:highlight w:val="none"/>
          <w:u w:val="single"/>
          <w:lang w:val="en-US" w:eastAsia="zh-CN"/>
        </w:rPr>
        <w:t xml:space="preserve"> 09 </w:t>
      </w:r>
      <w:r>
        <w:rPr>
          <w:rFonts w:hint="eastAsia" w:ascii="宋体" w:hAnsi="宋体" w:cs="宋体"/>
          <w:color w:val="000000"/>
          <w:szCs w:val="21"/>
          <w:highlight w:val="none"/>
          <w:u w:val="single"/>
          <w:lang w:val="en"/>
        </w:rPr>
        <w:t>月</w:t>
      </w:r>
      <w:r>
        <w:rPr>
          <w:rFonts w:hint="eastAsia" w:ascii="宋体" w:hAnsi="宋体" w:cs="宋体"/>
          <w:color w:val="000000"/>
          <w:szCs w:val="21"/>
          <w:highlight w:val="none"/>
          <w:u w:val="single"/>
          <w:lang w:val="en-US" w:eastAsia="zh-CN"/>
        </w:rPr>
        <w:t xml:space="preserve"> 07 </w:t>
      </w:r>
      <w:r>
        <w:rPr>
          <w:rFonts w:hint="eastAsia" w:ascii="宋体" w:hAnsi="宋体" w:cs="宋体"/>
          <w:color w:val="000000"/>
          <w:szCs w:val="21"/>
          <w:highlight w:val="none"/>
          <w:u w:val="single"/>
          <w:lang w:val="en"/>
        </w:rPr>
        <w:t>日</w:t>
      </w:r>
      <w:r>
        <w:rPr>
          <w:rFonts w:hint="eastAsia" w:ascii="宋体" w:hAnsi="宋体" w:cs="微软雅黑"/>
          <w:spacing w:val="-2"/>
          <w:kern w:val="0"/>
          <w:szCs w:val="21"/>
        </w:rPr>
        <w:t>，09:00-17:00，</w:t>
      </w:r>
      <w:r>
        <w:rPr>
          <w:rFonts w:hint="eastAsia" w:ascii="宋体" w:hAnsi="宋体" w:cs="微软雅黑"/>
          <w:kern w:val="0"/>
          <w:szCs w:val="21"/>
        </w:rPr>
        <w:t xml:space="preserve">在 </w:t>
      </w:r>
      <w:r>
        <w:rPr>
          <w:rFonts w:hint="eastAsia" w:ascii="宋体" w:hAnsi="宋体" w:cs="微软雅黑"/>
          <w:kern w:val="0"/>
          <w:szCs w:val="21"/>
          <w:u w:val="single"/>
        </w:rPr>
        <w:t>岳阳市公共资源交易平台（http://222.242.228.197:8083/TPBidder/memberLogin）</w:t>
      </w:r>
      <w:r>
        <w:rPr>
          <w:rFonts w:hint="eastAsia" w:ascii="宋体" w:hAnsi="宋体" w:cs="微软雅黑"/>
          <w:spacing w:val="-2"/>
          <w:kern w:val="0"/>
          <w:szCs w:val="21"/>
        </w:rPr>
        <w:t>获取</w:t>
      </w:r>
      <w:r>
        <w:rPr>
          <w:rFonts w:hint="eastAsia" w:ascii="宋体" w:hAnsi="宋体" w:cs="微软雅黑"/>
          <w:kern w:val="0"/>
          <w:szCs w:val="21"/>
        </w:rPr>
        <w:t>招标</w:t>
      </w:r>
      <w:r>
        <w:rPr>
          <w:rFonts w:hint="eastAsia" w:ascii="宋体" w:hAnsi="宋体" w:cs="微软雅黑"/>
          <w:spacing w:val="-2"/>
          <w:kern w:val="0"/>
          <w:szCs w:val="21"/>
        </w:rPr>
        <w:t>文件</w:t>
      </w:r>
      <w:r>
        <w:rPr>
          <w:rFonts w:hint="eastAsia" w:ascii="宋体" w:hAnsi="宋体" w:cs="微软雅黑"/>
          <w:spacing w:val="-14"/>
          <w:kern w:val="0"/>
          <w:szCs w:val="21"/>
        </w:rPr>
        <w:t>。</w:t>
      </w:r>
    </w:p>
    <w:p w14:paraId="3D0AEE73">
      <w:pPr>
        <w:keepNext w:val="0"/>
        <w:keepLines w:val="0"/>
        <w:pageBreakBefore w:val="0"/>
        <w:tabs>
          <w:tab w:val="left" w:pos="4700"/>
          <w:tab w:val="left" w:pos="6000"/>
          <w:tab w:val="left" w:pos="7160"/>
          <w:tab w:val="left" w:pos="8520"/>
        </w:tabs>
        <w:kinsoku/>
        <w:wordWrap/>
        <w:overflowPunct/>
        <w:topLinePunct w:val="0"/>
        <w:autoSpaceDE w:val="0"/>
        <w:autoSpaceDN w:val="0"/>
        <w:bidi w:val="0"/>
        <w:adjustRightInd w:val="0"/>
        <w:snapToGrid w:val="0"/>
        <w:spacing w:line="480" w:lineRule="exact"/>
        <w:ind w:right="-23" w:firstLine="420" w:firstLineChars="200"/>
        <w:jc w:val="left"/>
        <w:textAlignment w:val="auto"/>
        <w:rPr>
          <w:rFonts w:ascii="宋体" w:hAnsi="宋体" w:cs="微软雅黑"/>
          <w:spacing w:val="-14"/>
          <w:kern w:val="0"/>
          <w:szCs w:val="21"/>
        </w:rPr>
      </w:pPr>
      <w:r>
        <w:rPr>
          <w:rFonts w:hint="eastAsia" w:ascii="宋体" w:hAnsi="宋体"/>
          <w:iCs/>
          <w:szCs w:val="21"/>
        </w:rPr>
        <w:sym w:font="Wingdings" w:char="00FE"/>
      </w:r>
      <w:r>
        <w:rPr>
          <w:rFonts w:hint="eastAsia" w:ascii="宋体" w:hAnsi="宋体"/>
          <w:iCs/>
          <w:szCs w:val="21"/>
        </w:rPr>
        <w:t>本项目</w:t>
      </w:r>
      <w:r>
        <w:rPr>
          <w:rFonts w:hint="eastAsia" w:ascii="宋体" w:hAnsi="宋体" w:cs="微软雅黑"/>
          <w:spacing w:val="-14"/>
          <w:kern w:val="0"/>
          <w:szCs w:val="21"/>
        </w:rPr>
        <w:t>实行电子交易，</w:t>
      </w:r>
      <w:r>
        <w:rPr>
          <w:rFonts w:hint="eastAsia" w:ascii="宋体" w:hAnsi="宋体" w:cs="微软雅黑"/>
          <w:kern w:val="0"/>
          <w:szCs w:val="21"/>
        </w:rPr>
        <w:t>有</w:t>
      </w:r>
      <w:r>
        <w:rPr>
          <w:rFonts w:hint="eastAsia" w:ascii="宋体" w:hAnsi="宋体" w:cs="微软雅黑"/>
          <w:spacing w:val="-2"/>
          <w:kern w:val="0"/>
          <w:szCs w:val="21"/>
        </w:rPr>
        <w:t>意</w:t>
      </w:r>
      <w:r>
        <w:rPr>
          <w:rFonts w:hint="eastAsia" w:ascii="宋体" w:hAnsi="宋体" w:cs="微软雅黑"/>
          <w:kern w:val="0"/>
          <w:szCs w:val="21"/>
        </w:rPr>
        <w:t>参</w:t>
      </w:r>
      <w:r>
        <w:rPr>
          <w:rFonts w:hint="eastAsia" w:ascii="宋体" w:hAnsi="宋体" w:cs="微软雅黑"/>
          <w:spacing w:val="-2"/>
          <w:kern w:val="0"/>
          <w:szCs w:val="21"/>
        </w:rPr>
        <w:t>加</w:t>
      </w:r>
      <w:r>
        <w:rPr>
          <w:rFonts w:hint="eastAsia" w:ascii="宋体" w:hAnsi="宋体" w:cs="微软雅黑"/>
          <w:kern w:val="0"/>
          <w:szCs w:val="21"/>
        </w:rPr>
        <w:t>投</w:t>
      </w:r>
      <w:r>
        <w:rPr>
          <w:rFonts w:hint="eastAsia" w:ascii="宋体" w:hAnsi="宋体" w:cs="微软雅黑"/>
          <w:spacing w:val="-2"/>
          <w:kern w:val="0"/>
          <w:szCs w:val="21"/>
        </w:rPr>
        <w:t>标</w:t>
      </w:r>
      <w:r>
        <w:rPr>
          <w:rFonts w:hint="eastAsia" w:ascii="宋体" w:hAnsi="宋体" w:cs="微软雅黑"/>
          <w:kern w:val="0"/>
          <w:szCs w:val="21"/>
        </w:rPr>
        <w:t>者，在</w:t>
      </w:r>
      <w:r>
        <w:rPr>
          <w:rFonts w:hint="eastAsia" w:ascii="宋体" w:hAnsi="宋体" w:cs="微软雅黑"/>
          <w:kern w:val="0"/>
          <w:szCs w:val="21"/>
          <w:u w:val="single"/>
        </w:rPr>
        <w:t xml:space="preserve">岳阳市公共资源交易平台（http://222.242.228.197:8083/TPBidder/memberLogin）  </w:t>
      </w:r>
      <w:r>
        <w:rPr>
          <w:rFonts w:hint="eastAsia" w:ascii="宋体" w:hAnsi="宋体" w:cs="微软雅黑"/>
          <w:spacing w:val="-2"/>
          <w:kern w:val="0"/>
          <w:szCs w:val="21"/>
        </w:rPr>
        <w:t>获取电子版</w:t>
      </w:r>
      <w:r>
        <w:rPr>
          <w:rFonts w:hint="eastAsia" w:ascii="宋体" w:hAnsi="宋体" w:cs="微软雅黑"/>
          <w:kern w:val="0"/>
          <w:szCs w:val="21"/>
        </w:rPr>
        <w:t>招标</w:t>
      </w:r>
      <w:r>
        <w:rPr>
          <w:rFonts w:hint="eastAsia" w:ascii="宋体" w:hAnsi="宋体" w:cs="微软雅黑"/>
          <w:spacing w:val="-2"/>
          <w:kern w:val="0"/>
          <w:szCs w:val="21"/>
        </w:rPr>
        <w:t>文件</w:t>
      </w:r>
      <w:r>
        <w:rPr>
          <w:rFonts w:hint="eastAsia" w:ascii="宋体" w:hAnsi="宋体" w:cs="微软雅黑"/>
          <w:spacing w:val="-14"/>
          <w:kern w:val="0"/>
          <w:szCs w:val="21"/>
        </w:rPr>
        <w:t>。</w:t>
      </w:r>
    </w:p>
    <w:p w14:paraId="4BBC919B">
      <w:pPr>
        <w:keepNext w:val="0"/>
        <w:keepLines w:val="0"/>
        <w:pageBreakBefore w:val="0"/>
        <w:tabs>
          <w:tab w:val="left" w:pos="4700"/>
          <w:tab w:val="left" w:pos="6000"/>
          <w:tab w:val="left" w:pos="7160"/>
          <w:tab w:val="left" w:pos="8520"/>
        </w:tabs>
        <w:kinsoku/>
        <w:wordWrap/>
        <w:overflowPunct/>
        <w:topLinePunct w:val="0"/>
        <w:autoSpaceDE w:val="0"/>
        <w:autoSpaceDN w:val="0"/>
        <w:bidi w:val="0"/>
        <w:adjustRightInd w:val="0"/>
        <w:snapToGrid w:val="0"/>
        <w:spacing w:line="480" w:lineRule="exact"/>
        <w:ind w:right="-23" w:firstLine="420" w:firstLineChars="200"/>
        <w:jc w:val="left"/>
        <w:textAlignment w:val="auto"/>
        <w:rPr>
          <w:rFonts w:ascii="宋体" w:hAnsi="宋体"/>
          <w:iCs/>
          <w:szCs w:val="21"/>
        </w:rPr>
      </w:pPr>
      <w:r>
        <w:rPr>
          <w:rFonts w:hint="eastAsia" w:ascii="宋体" w:hAnsi="宋体"/>
          <w:iCs/>
          <w:szCs w:val="21"/>
        </w:rPr>
        <w:sym w:font="Wingdings" w:char="00A8"/>
      </w:r>
      <w:r>
        <w:rPr>
          <w:rFonts w:hint="eastAsia" w:ascii="宋体" w:hAnsi="宋体"/>
          <w:iCs/>
          <w:szCs w:val="21"/>
        </w:rPr>
        <w:t>本项目进行资格预审，招标文件将向所有通过资格预审的供应商提供。</w:t>
      </w:r>
    </w:p>
    <w:p w14:paraId="41B08C15">
      <w:pPr>
        <w:keepNext w:val="0"/>
        <w:keepLines w:val="0"/>
        <w:pageBreakBefore w:val="0"/>
        <w:kinsoku/>
        <w:wordWrap/>
        <w:overflowPunct/>
        <w:topLinePunct w:val="0"/>
        <w:bidi w:val="0"/>
        <w:adjustRightInd w:val="0"/>
        <w:snapToGrid w:val="0"/>
        <w:spacing w:line="480" w:lineRule="exact"/>
        <w:ind w:firstLine="422" w:firstLineChars="200"/>
        <w:textAlignment w:val="auto"/>
        <w:outlineLvl w:val="1"/>
        <w:rPr>
          <w:rFonts w:ascii="宋体" w:hAnsi="宋体" w:cs="宋体"/>
          <w:b/>
          <w:bCs/>
          <w:szCs w:val="21"/>
        </w:rPr>
      </w:pPr>
      <w:r>
        <w:rPr>
          <w:rFonts w:hint="eastAsia" w:ascii="宋体" w:hAnsi="宋体" w:cs="宋体"/>
          <w:b/>
          <w:bCs/>
          <w:szCs w:val="21"/>
        </w:rPr>
        <w:t>六、投标文件的制作</w:t>
      </w:r>
      <w:bookmarkEnd w:id="44"/>
      <w:bookmarkEnd w:id="45"/>
    </w:p>
    <w:p w14:paraId="4A6DEE94">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cs="宋体"/>
          <w:szCs w:val="21"/>
        </w:rPr>
      </w:pPr>
      <w:r>
        <w:rPr>
          <w:rFonts w:hint="eastAsia" w:ascii="宋体" w:hAnsi="宋体" w:cs="宋体"/>
          <w:szCs w:val="21"/>
        </w:rPr>
        <w:t>投标人在“岳阳市公共资源交易网”（http://ggzy.yueyang.gov.cn/）服务指南中及时下载安装最新版本“新点投标文件制作软件（湖南公共资源版）”。参与投标的投标人需使用电子标书编制软件制作YYGCZF格式投标文件。本项目电子投标文件最大容量为200MB，超过此容量的文件将被拒绝。制作电子投标文件时，投标人须编制投标文件的内容目录和详细页码，其制作软件的下载安装和电子投标文件的制件说明（含电子签章的操作流程）可详见“岳阳市公共资源交易网”（http://ggzy.yueyang.gov.cn/）的服务指南《全流程电子化招投标操作手册》。</w:t>
      </w:r>
    </w:p>
    <w:p w14:paraId="426B68DE">
      <w:pPr>
        <w:pStyle w:val="39"/>
        <w:keepNext w:val="0"/>
        <w:keepLines w:val="0"/>
        <w:pageBreakBefore w:val="0"/>
        <w:kinsoku/>
        <w:wordWrap/>
        <w:overflowPunct/>
        <w:topLinePunct w:val="0"/>
        <w:bidi w:val="0"/>
        <w:spacing w:line="480" w:lineRule="exact"/>
        <w:ind w:left="0" w:leftChars="0" w:firstLine="422"/>
        <w:textAlignment w:val="auto"/>
        <w:rPr>
          <w:rFonts w:ascii="宋体" w:hAnsi="宋体"/>
          <w:b/>
        </w:rPr>
      </w:pPr>
      <w:bookmarkStart w:id="46" w:name="_Toc18798"/>
      <w:bookmarkStart w:id="47" w:name="_Toc5590"/>
      <w:r>
        <w:rPr>
          <w:rFonts w:hint="eastAsia" w:ascii="宋体" w:hAnsi="宋体"/>
          <w:b/>
        </w:rPr>
        <w:t>七、投标文件的递交</w:t>
      </w:r>
    </w:p>
    <w:p w14:paraId="2BCA0113">
      <w:pPr>
        <w:pStyle w:val="125"/>
        <w:keepNext w:val="0"/>
        <w:keepLines w:val="0"/>
        <w:pageBreakBefore w:val="0"/>
        <w:kinsoku/>
        <w:wordWrap/>
        <w:overflowPunct/>
        <w:topLinePunct w:val="0"/>
        <w:bidi w:val="0"/>
        <w:spacing w:line="480" w:lineRule="exact"/>
        <w:textAlignment w:val="auto"/>
        <w:rPr>
          <w:rFonts w:hAnsi="宋体" w:cs="宋体"/>
          <w:color w:val="auto"/>
          <w:kern w:val="2"/>
          <w:sz w:val="21"/>
          <w:szCs w:val="21"/>
        </w:rPr>
      </w:pPr>
      <w:r>
        <w:rPr>
          <w:rFonts w:hint="eastAsia" w:hAnsi="宋体" w:cs="宋体"/>
          <w:color w:val="auto"/>
          <w:kern w:val="2"/>
          <w:sz w:val="21"/>
          <w:szCs w:val="21"/>
        </w:rPr>
        <w:t>投标文件递交截止时间（投标截止时间，下同）</w:t>
      </w:r>
      <w:r>
        <w:rPr>
          <w:rFonts w:hint="eastAsia" w:hAnsi="宋体" w:cs="宋体"/>
          <w:color w:val="auto"/>
          <w:kern w:val="2"/>
          <w:sz w:val="21"/>
          <w:szCs w:val="21"/>
          <w:u w:val="single"/>
        </w:rPr>
        <w:t>202</w:t>
      </w:r>
      <w:r>
        <w:rPr>
          <w:rFonts w:hint="eastAsia" w:hAnsi="宋体" w:cs="宋体"/>
          <w:color w:val="auto"/>
          <w:kern w:val="2"/>
          <w:sz w:val="21"/>
          <w:szCs w:val="21"/>
          <w:u w:val="single"/>
          <w:lang w:val="en-US" w:eastAsia="zh-CN"/>
        </w:rPr>
        <w:t>6</w:t>
      </w:r>
      <w:r>
        <w:rPr>
          <w:rFonts w:hint="eastAsia" w:hAnsi="宋体" w:cs="宋体"/>
          <w:color w:val="auto"/>
          <w:kern w:val="2"/>
          <w:sz w:val="21"/>
          <w:szCs w:val="21"/>
          <w:u w:val="single"/>
        </w:rPr>
        <w:t>年</w:t>
      </w:r>
      <w:r>
        <w:rPr>
          <w:rFonts w:hint="eastAsia" w:hAnsi="宋体" w:cs="宋体"/>
          <w:color w:val="auto"/>
          <w:kern w:val="2"/>
          <w:sz w:val="21"/>
          <w:szCs w:val="21"/>
          <w:u w:val="single"/>
          <w:lang w:val="en-US" w:eastAsia="zh-CN"/>
        </w:rPr>
        <w:t xml:space="preserve"> 09</w:t>
      </w:r>
      <w:r>
        <w:rPr>
          <w:rFonts w:hint="eastAsia" w:hAnsi="宋体" w:cs="宋体"/>
          <w:color w:val="auto"/>
          <w:kern w:val="2"/>
          <w:sz w:val="21"/>
          <w:szCs w:val="21"/>
          <w:u w:val="single"/>
        </w:rPr>
        <w:t>月</w:t>
      </w:r>
      <w:r>
        <w:rPr>
          <w:rFonts w:hint="eastAsia" w:hAnsi="宋体" w:cs="宋体"/>
          <w:color w:val="auto"/>
          <w:kern w:val="2"/>
          <w:sz w:val="21"/>
          <w:szCs w:val="21"/>
          <w:u w:val="single"/>
          <w:lang w:val="en-US" w:eastAsia="zh-CN"/>
        </w:rPr>
        <w:t xml:space="preserve"> 22 </w:t>
      </w:r>
      <w:r>
        <w:rPr>
          <w:rFonts w:hint="eastAsia" w:hAnsi="宋体" w:cs="宋体"/>
          <w:color w:val="auto"/>
          <w:kern w:val="2"/>
          <w:sz w:val="21"/>
          <w:szCs w:val="21"/>
          <w:u w:val="single"/>
        </w:rPr>
        <w:t>日09 时30分（北京时间）</w:t>
      </w:r>
      <w:r>
        <w:rPr>
          <w:rFonts w:hint="eastAsia" w:hAnsi="宋体" w:cs="宋体"/>
          <w:color w:val="auto"/>
          <w:kern w:val="2"/>
          <w:sz w:val="21"/>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p w14:paraId="4728642B">
      <w:pPr>
        <w:keepNext w:val="0"/>
        <w:keepLines w:val="0"/>
        <w:pageBreakBefore w:val="0"/>
        <w:widowControl/>
        <w:kinsoku/>
        <w:wordWrap/>
        <w:overflowPunct/>
        <w:topLinePunct w:val="0"/>
        <w:bidi w:val="0"/>
        <w:spacing w:line="480" w:lineRule="exact"/>
        <w:ind w:firstLine="422" w:firstLineChars="200"/>
        <w:textAlignment w:val="auto"/>
        <w:rPr>
          <w:rFonts w:ascii="宋体" w:hAnsi="宋体"/>
          <w:b/>
          <w:szCs w:val="21"/>
        </w:rPr>
      </w:pPr>
      <w:r>
        <w:rPr>
          <w:rFonts w:hint="eastAsia" w:ascii="宋体" w:hAnsi="宋体"/>
          <w:b/>
          <w:szCs w:val="21"/>
        </w:rPr>
        <w:t>八、投标文件的解密</w:t>
      </w:r>
    </w:p>
    <w:p w14:paraId="2C8EA7FA">
      <w:pPr>
        <w:keepNext w:val="0"/>
        <w:keepLines w:val="0"/>
        <w:pageBreakBefore w:val="0"/>
        <w:widowControl/>
        <w:kinsoku/>
        <w:wordWrap/>
        <w:overflowPunct/>
        <w:topLinePunct w:val="0"/>
        <w:bidi w:val="0"/>
        <w:spacing w:line="480" w:lineRule="exact"/>
        <w:ind w:firstLine="420" w:firstLineChars="200"/>
        <w:textAlignment w:val="auto"/>
        <w:rPr>
          <w:rFonts w:ascii="宋体" w:hAnsi="宋体"/>
          <w:szCs w:val="21"/>
        </w:rPr>
      </w:pPr>
      <w:r>
        <w:rPr>
          <w:rFonts w:hint="eastAsia" w:ascii="宋体" w:hAnsi="宋体"/>
          <w:szCs w:val="21"/>
        </w:rPr>
        <w:t>1、</w:t>
      </w:r>
      <w:r>
        <w:rPr>
          <w:rFonts w:hint="eastAsia" w:ascii="宋体" w:hAnsi="宋体" w:eastAsia="宋体" w:cs="宋体"/>
          <w:szCs w:val="21"/>
        </w:rPr>
        <w:t>电子投标文件的解密截止时间为</w:t>
      </w:r>
      <w:r>
        <w:rPr>
          <w:rFonts w:hint="eastAsia" w:ascii="宋体" w:hAnsi="宋体" w:eastAsia="宋体" w:cs="宋体"/>
          <w:color w:val="auto"/>
          <w:kern w:val="2"/>
          <w:sz w:val="21"/>
          <w:szCs w:val="21"/>
          <w:u w:val="single"/>
        </w:rPr>
        <w:t>202</w:t>
      </w:r>
      <w:r>
        <w:rPr>
          <w:rFonts w:hint="eastAsia" w:ascii="宋体" w:hAnsi="宋体" w:eastAsia="宋体" w:cs="宋体"/>
          <w:color w:val="auto"/>
          <w:kern w:val="2"/>
          <w:sz w:val="21"/>
          <w:szCs w:val="21"/>
          <w:u w:val="single"/>
          <w:lang w:val="en-US" w:eastAsia="zh-CN"/>
        </w:rPr>
        <w:t>6</w:t>
      </w:r>
      <w:r>
        <w:rPr>
          <w:rFonts w:hint="eastAsia" w:ascii="宋体" w:hAnsi="宋体" w:eastAsia="宋体" w:cs="宋体"/>
          <w:color w:val="auto"/>
          <w:kern w:val="2"/>
          <w:sz w:val="21"/>
          <w:szCs w:val="21"/>
          <w:u w:val="single"/>
        </w:rPr>
        <w:t>年</w:t>
      </w:r>
      <w:r>
        <w:rPr>
          <w:rFonts w:hint="eastAsia" w:ascii="宋体" w:hAnsi="宋体" w:eastAsia="宋体" w:cs="宋体"/>
          <w:color w:val="auto"/>
          <w:kern w:val="2"/>
          <w:sz w:val="21"/>
          <w:szCs w:val="21"/>
          <w:u w:val="single"/>
          <w:lang w:val="en-US" w:eastAsia="zh-CN"/>
        </w:rPr>
        <w:t xml:space="preserve"> 0</w:t>
      </w:r>
      <w:r>
        <w:rPr>
          <w:rFonts w:hint="eastAsia" w:ascii="宋体" w:hAnsi="宋体" w:cs="宋体"/>
          <w:color w:val="auto"/>
          <w:kern w:val="2"/>
          <w:sz w:val="21"/>
          <w:szCs w:val="21"/>
          <w:u w:val="single"/>
          <w:lang w:val="en-US" w:eastAsia="zh-CN"/>
        </w:rPr>
        <w:t>9</w:t>
      </w:r>
      <w:r>
        <w:rPr>
          <w:rFonts w:hint="eastAsia" w:ascii="宋体" w:hAnsi="宋体" w:eastAsia="宋体" w:cs="宋体"/>
          <w:color w:val="auto"/>
          <w:kern w:val="2"/>
          <w:sz w:val="21"/>
          <w:szCs w:val="21"/>
          <w:u w:val="single"/>
          <w:lang w:val="en-US" w:eastAsia="zh-CN"/>
        </w:rPr>
        <w:t xml:space="preserve"> </w:t>
      </w:r>
      <w:r>
        <w:rPr>
          <w:rFonts w:hint="eastAsia" w:ascii="宋体" w:hAnsi="宋体" w:eastAsia="宋体" w:cs="宋体"/>
          <w:color w:val="auto"/>
          <w:kern w:val="2"/>
          <w:sz w:val="21"/>
          <w:szCs w:val="21"/>
          <w:u w:val="single"/>
        </w:rPr>
        <w:t>月</w:t>
      </w:r>
      <w:r>
        <w:rPr>
          <w:rFonts w:hint="eastAsia" w:ascii="宋体" w:hAnsi="宋体" w:eastAsia="宋体" w:cs="宋体"/>
          <w:color w:val="auto"/>
          <w:kern w:val="2"/>
          <w:sz w:val="21"/>
          <w:szCs w:val="21"/>
          <w:u w:val="single"/>
          <w:lang w:val="en-US" w:eastAsia="zh-CN"/>
        </w:rPr>
        <w:t xml:space="preserve">  </w:t>
      </w:r>
      <w:r>
        <w:rPr>
          <w:rFonts w:hint="eastAsia" w:ascii="宋体" w:hAnsi="宋体" w:cs="宋体"/>
          <w:color w:val="auto"/>
          <w:kern w:val="2"/>
          <w:sz w:val="21"/>
          <w:szCs w:val="21"/>
          <w:u w:val="single"/>
          <w:lang w:val="en-US" w:eastAsia="zh-CN"/>
        </w:rPr>
        <w:t>22</w:t>
      </w:r>
      <w:r>
        <w:rPr>
          <w:rFonts w:hint="eastAsia" w:ascii="宋体" w:hAnsi="宋体" w:eastAsia="宋体" w:cs="宋体"/>
          <w:color w:val="auto"/>
          <w:kern w:val="2"/>
          <w:sz w:val="21"/>
          <w:szCs w:val="21"/>
          <w:u w:val="single"/>
          <w:lang w:val="en-US" w:eastAsia="zh-CN"/>
        </w:rPr>
        <w:t xml:space="preserve">  </w:t>
      </w:r>
      <w:r>
        <w:rPr>
          <w:rFonts w:hint="eastAsia" w:ascii="宋体" w:hAnsi="宋体" w:eastAsia="宋体" w:cs="宋体"/>
          <w:color w:val="auto"/>
          <w:kern w:val="2"/>
          <w:sz w:val="21"/>
          <w:szCs w:val="21"/>
          <w:u w:val="single"/>
        </w:rPr>
        <w:t>日</w:t>
      </w:r>
      <w:r>
        <w:rPr>
          <w:rFonts w:hint="eastAsia" w:ascii="宋体" w:hAnsi="宋体" w:eastAsia="宋体" w:cs="宋体"/>
          <w:szCs w:val="21"/>
          <w:u w:val="single"/>
        </w:rPr>
        <w:t>10时00分（北京时间）</w:t>
      </w:r>
      <w:r>
        <w:rPr>
          <w:rFonts w:hint="eastAsia" w:ascii="宋体" w:hAnsi="宋体" w:eastAsia="宋体" w:cs="宋体"/>
          <w:szCs w:val="21"/>
        </w:rPr>
        <w:t>（系统设置为开标后30分钟内），投标人可在单位在线解密。逾期未解密的，视为放弃投标资格。</w:t>
      </w:r>
    </w:p>
    <w:p w14:paraId="58BA36BC">
      <w:pPr>
        <w:keepNext w:val="0"/>
        <w:keepLines w:val="0"/>
        <w:pageBreakBefore w:val="0"/>
        <w:kinsoku/>
        <w:wordWrap/>
        <w:overflowPunct/>
        <w:topLinePunct w:val="0"/>
        <w:bidi w:val="0"/>
        <w:adjustRightInd w:val="0"/>
        <w:snapToGrid w:val="0"/>
        <w:spacing w:line="480" w:lineRule="exact"/>
        <w:ind w:firstLine="422" w:firstLineChars="200"/>
        <w:textAlignment w:val="auto"/>
        <w:rPr>
          <w:rFonts w:ascii="宋体" w:hAnsi="宋体"/>
          <w:b/>
          <w:szCs w:val="21"/>
        </w:rPr>
      </w:pPr>
      <w:r>
        <w:rPr>
          <w:rFonts w:hint="eastAsia" w:ascii="宋体" w:hAnsi="宋体"/>
          <w:b/>
          <w:szCs w:val="21"/>
        </w:rPr>
        <w:t>九、投标截止时间、开标时间及地点</w:t>
      </w:r>
    </w:p>
    <w:p w14:paraId="578DFE91">
      <w:pPr>
        <w:keepNext w:val="0"/>
        <w:keepLines w:val="0"/>
        <w:pageBreakBefore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1、提交投标文件的截止时间：</w:t>
      </w:r>
      <w:r>
        <w:rPr>
          <w:rFonts w:hint="eastAsia" w:ascii="宋体" w:hAnsi="宋体" w:eastAsia="宋体" w:cs="宋体"/>
          <w:szCs w:val="21"/>
          <w:u w:val="single"/>
        </w:rPr>
        <w:t xml:space="preserve"> </w:t>
      </w:r>
      <w:r>
        <w:rPr>
          <w:rFonts w:hint="eastAsia" w:ascii="宋体" w:hAnsi="宋体" w:eastAsia="宋体" w:cs="宋体"/>
          <w:color w:val="auto"/>
          <w:kern w:val="2"/>
          <w:sz w:val="21"/>
          <w:szCs w:val="21"/>
          <w:u w:val="single"/>
        </w:rPr>
        <w:t>202</w:t>
      </w:r>
      <w:r>
        <w:rPr>
          <w:rFonts w:hint="eastAsia" w:ascii="宋体" w:hAnsi="宋体" w:eastAsia="宋体" w:cs="宋体"/>
          <w:color w:val="auto"/>
          <w:kern w:val="2"/>
          <w:sz w:val="21"/>
          <w:szCs w:val="21"/>
          <w:u w:val="single"/>
          <w:lang w:val="en-US" w:eastAsia="zh-CN"/>
        </w:rPr>
        <w:t>6</w:t>
      </w:r>
      <w:r>
        <w:rPr>
          <w:rFonts w:hint="eastAsia" w:ascii="宋体" w:hAnsi="宋体" w:eastAsia="宋体" w:cs="宋体"/>
          <w:color w:val="auto"/>
          <w:kern w:val="2"/>
          <w:sz w:val="21"/>
          <w:szCs w:val="21"/>
          <w:u w:val="single"/>
        </w:rPr>
        <w:t>年</w:t>
      </w:r>
      <w:r>
        <w:rPr>
          <w:rFonts w:hint="eastAsia" w:ascii="宋体" w:hAnsi="宋体" w:eastAsia="宋体" w:cs="宋体"/>
          <w:color w:val="auto"/>
          <w:kern w:val="2"/>
          <w:sz w:val="21"/>
          <w:szCs w:val="21"/>
          <w:u w:val="single"/>
          <w:lang w:val="en-US" w:eastAsia="zh-CN"/>
        </w:rPr>
        <w:t xml:space="preserve"> 0</w:t>
      </w:r>
      <w:r>
        <w:rPr>
          <w:rFonts w:hint="eastAsia" w:ascii="宋体" w:hAnsi="宋体" w:cs="宋体"/>
          <w:color w:val="auto"/>
          <w:kern w:val="2"/>
          <w:sz w:val="21"/>
          <w:szCs w:val="21"/>
          <w:u w:val="single"/>
          <w:lang w:val="en-US" w:eastAsia="zh-CN"/>
        </w:rPr>
        <w:t>9</w:t>
      </w:r>
      <w:r>
        <w:rPr>
          <w:rFonts w:hint="eastAsia" w:ascii="宋体" w:hAnsi="宋体" w:eastAsia="宋体" w:cs="宋体"/>
          <w:color w:val="auto"/>
          <w:kern w:val="2"/>
          <w:sz w:val="21"/>
          <w:szCs w:val="21"/>
          <w:u w:val="single"/>
          <w:lang w:val="en-US" w:eastAsia="zh-CN"/>
        </w:rPr>
        <w:t xml:space="preserve"> </w:t>
      </w:r>
      <w:r>
        <w:rPr>
          <w:rFonts w:hint="eastAsia" w:ascii="宋体" w:hAnsi="宋体" w:eastAsia="宋体" w:cs="宋体"/>
          <w:color w:val="auto"/>
          <w:kern w:val="2"/>
          <w:sz w:val="21"/>
          <w:szCs w:val="21"/>
          <w:u w:val="single"/>
        </w:rPr>
        <w:t>月</w:t>
      </w:r>
      <w:r>
        <w:rPr>
          <w:rFonts w:hint="eastAsia" w:ascii="宋体" w:hAnsi="宋体" w:eastAsia="宋体" w:cs="宋体"/>
          <w:color w:val="auto"/>
          <w:kern w:val="2"/>
          <w:sz w:val="21"/>
          <w:szCs w:val="21"/>
          <w:u w:val="single"/>
          <w:lang w:val="en-US" w:eastAsia="zh-CN"/>
        </w:rPr>
        <w:t xml:space="preserve"> </w:t>
      </w:r>
      <w:r>
        <w:rPr>
          <w:rFonts w:hint="eastAsia" w:ascii="宋体" w:hAnsi="宋体" w:cs="宋体"/>
          <w:color w:val="auto"/>
          <w:kern w:val="2"/>
          <w:sz w:val="21"/>
          <w:szCs w:val="21"/>
          <w:u w:val="single"/>
          <w:lang w:val="en-US" w:eastAsia="zh-CN"/>
        </w:rPr>
        <w:t>22</w:t>
      </w:r>
      <w:r>
        <w:rPr>
          <w:rFonts w:hint="eastAsia" w:ascii="宋体" w:hAnsi="宋体" w:eastAsia="宋体" w:cs="宋体"/>
          <w:color w:val="auto"/>
          <w:kern w:val="2"/>
          <w:sz w:val="21"/>
          <w:szCs w:val="21"/>
          <w:u w:val="single"/>
          <w:lang w:val="en-US" w:eastAsia="zh-CN"/>
        </w:rPr>
        <w:t xml:space="preserve"> </w:t>
      </w:r>
      <w:r>
        <w:rPr>
          <w:rFonts w:hint="eastAsia" w:ascii="宋体" w:hAnsi="宋体" w:eastAsia="宋体" w:cs="宋体"/>
          <w:color w:val="auto"/>
          <w:kern w:val="2"/>
          <w:sz w:val="21"/>
          <w:szCs w:val="21"/>
          <w:u w:val="single"/>
        </w:rPr>
        <w:t>日</w:t>
      </w:r>
      <w:r>
        <w:rPr>
          <w:rFonts w:hint="eastAsia" w:ascii="宋体" w:hAnsi="宋体" w:eastAsia="宋体" w:cs="宋体"/>
          <w:szCs w:val="21"/>
          <w:u w:val="single"/>
          <w:lang w:val="en-US" w:eastAsia="zh-CN"/>
        </w:rPr>
        <w:t>09</w:t>
      </w:r>
      <w:r>
        <w:rPr>
          <w:rFonts w:hint="eastAsia" w:ascii="宋体" w:hAnsi="宋体" w:eastAsia="宋体" w:cs="宋体"/>
          <w:szCs w:val="21"/>
          <w:u w:val="single"/>
        </w:rPr>
        <w:t>时</w:t>
      </w:r>
      <w:r>
        <w:rPr>
          <w:rFonts w:hint="eastAsia" w:ascii="宋体" w:hAnsi="宋体" w:eastAsia="宋体" w:cs="宋体"/>
          <w:szCs w:val="21"/>
          <w:u w:val="single"/>
          <w:lang w:val="en-US" w:eastAsia="zh-CN"/>
        </w:rPr>
        <w:t>30</w:t>
      </w:r>
      <w:r>
        <w:rPr>
          <w:rFonts w:hint="eastAsia" w:ascii="宋体" w:hAnsi="宋体" w:eastAsia="宋体" w:cs="宋体"/>
          <w:szCs w:val="21"/>
          <w:u w:val="single"/>
        </w:rPr>
        <w:t>分（北京时间）</w:t>
      </w:r>
      <w:r>
        <w:rPr>
          <w:rFonts w:hint="eastAsia" w:ascii="宋体" w:hAnsi="宋体" w:eastAsia="宋体" w:cs="宋体"/>
          <w:szCs w:val="21"/>
        </w:rPr>
        <w:t>；</w:t>
      </w:r>
    </w:p>
    <w:p w14:paraId="01ED63CD">
      <w:pPr>
        <w:keepNext w:val="0"/>
        <w:keepLines w:val="0"/>
        <w:pageBreakBefore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宋体"/>
        </w:rPr>
      </w:pPr>
      <w:r>
        <w:rPr>
          <w:rFonts w:hint="eastAsia" w:ascii="宋体" w:hAnsi="宋体" w:eastAsia="宋体" w:cs="宋体"/>
          <w:szCs w:val="21"/>
        </w:rPr>
        <w:t>2、投标地点：</w:t>
      </w:r>
      <w:r>
        <w:rPr>
          <w:rFonts w:hint="eastAsia" w:ascii="宋体" w:hAnsi="宋体" w:eastAsia="宋体" w:cs="宋体"/>
          <w:szCs w:val="21"/>
          <w:u w:val="single"/>
        </w:rPr>
        <w:t xml:space="preserve"> 不见面开标，提交电子投标文件“岳阳市公共资源交易中心电子交易平台”（http://222.242.228.197:8083/TPBidder/memberLogin）。本项目实行网上开评标、全流程电子化，具体操作方式详见岳阳市公共资源交易网服务指南全流程电子化招投标操作手册。  </w:t>
      </w:r>
    </w:p>
    <w:p w14:paraId="44E7517C">
      <w:pPr>
        <w:keepNext w:val="0"/>
        <w:keepLines w:val="0"/>
        <w:pageBreakBefore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3、开标时间：</w:t>
      </w:r>
      <w:r>
        <w:rPr>
          <w:rFonts w:hint="eastAsia" w:ascii="宋体" w:hAnsi="宋体" w:eastAsia="宋体" w:cs="宋体"/>
          <w:color w:val="auto"/>
          <w:kern w:val="2"/>
          <w:sz w:val="21"/>
          <w:szCs w:val="21"/>
          <w:u w:val="single"/>
        </w:rPr>
        <w:t>202</w:t>
      </w:r>
      <w:r>
        <w:rPr>
          <w:rFonts w:hint="eastAsia" w:ascii="宋体" w:hAnsi="宋体" w:eastAsia="宋体" w:cs="宋体"/>
          <w:color w:val="auto"/>
          <w:kern w:val="2"/>
          <w:sz w:val="21"/>
          <w:szCs w:val="21"/>
          <w:u w:val="single"/>
          <w:lang w:val="en-US" w:eastAsia="zh-CN"/>
        </w:rPr>
        <w:t>6</w:t>
      </w:r>
      <w:r>
        <w:rPr>
          <w:rFonts w:hint="eastAsia" w:ascii="宋体" w:hAnsi="宋体" w:eastAsia="宋体" w:cs="宋体"/>
          <w:color w:val="auto"/>
          <w:kern w:val="2"/>
          <w:sz w:val="21"/>
          <w:szCs w:val="21"/>
          <w:u w:val="single"/>
        </w:rPr>
        <w:t>年</w:t>
      </w:r>
      <w:r>
        <w:rPr>
          <w:rFonts w:hint="eastAsia" w:ascii="宋体" w:hAnsi="宋体" w:eastAsia="宋体" w:cs="宋体"/>
          <w:color w:val="auto"/>
          <w:kern w:val="2"/>
          <w:sz w:val="21"/>
          <w:szCs w:val="21"/>
          <w:u w:val="single"/>
          <w:lang w:val="en-US" w:eastAsia="zh-CN"/>
        </w:rPr>
        <w:t xml:space="preserve"> 0</w:t>
      </w:r>
      <w:r>
        <w:rPr>
          <w:rFonts w:hint="eastAsia" w:ascii="宋体" w:hAnsi="宋体" w:cs="宋体"/>
          <w:color w:val="auto"/>
          <w:kern w:val="2"/>
          <w:sz w:val="21"/>
          <w:szCs w:val="21"/>
          <w:u w:val="single"/>
          <w:lang w:val="en-US" w:eastAsia="zh-CN"/>
        </w:rPr>
        <w:t>9</w:t>
      </w:r>
      <w:r>
        <w:rPr>
          <w:rFonts w:hint="eastAsia" w:ascii="宋体" w:hAnsi="宋体" w:eastAsia="宋体" w:cs="宋体"/>
          <w:color w:val="auto"/>
          <w:kern w:val="2"/>
          <w:sz w:val="21"/>
          <w:szCs w:val="21"/>
          <w:u w:val="single"/>
          <w:lang w:val="en-US" w:eastAsia="zh-CN"/>
        </w:rPr>
        <w:t xml:space="preserve"> </w:t>
      </w:r>
      <w:r>
        <w:rPr>
          <w:rFonts w:hint="eastAsia" w:ascii="宋体" w:hAnsi="宋体" w:eastAsia="宋体" w:cs="宋体"/>
          <w:color w:val="auto"/>
          <w:kern w:val="2"/>
          <w:sz w:val="21"/>
          <w:szCs w:val="21"/>
          <w:u w:val="single"/>
        </w:rPr>
        <w:t>月</w:t>
      </w:r>
      <w:r>
        <w:rPr>
          <w:rFonts w:hint="eastAsia" w:ascii="宋体" w:hAnsi="宋体" w:eastAsia="宋体" w:cs="宋体"/>
          <w:color w:val="auto"/>
          <w:kern w:val="2"/>
          <w:sz w:val="21"/>
          <w:szCs w:val="21"/>
          <w:u w:val="single"/>
          <w:lang w:val="en-US" w:eastAsia="zh-CN"/>
        </w:rPr>
        <w:t xml:space="preserve"> </w:t>
      </w:r>
      <w:r>
        <w:rPr>
          <w:rFonts w:hint="eastAsia" w:ascii="宋体" w:hAnsi="宋体" w:cs="宋体"/>
          <w:color w:val="auto"/>
          <w:kern w:val="2"/>
          <w:sz w:val="21"/>
          <w:szCs w:val="21"/>
          <w:u w:val="single"/>
          <w:lang w:val="en-US" w:eastAsia="zh-CN"/>
        </w:rPr>
        <w:t>22</w:t>
      </w:r>
      <w:r>
        <w:rPr>
          <w:rFonts w:hint="eastAsia" w:ascii="宋体" w:hAnsi="宋体" w:eastAsia="宋体" w:cs="宋体"/>
          <w:color w:val="auto"/>
          <w:kern w:val="2"/>
          <w:sz w:val="21"/>
          <w:szCs w:val="21"/>
          <w:u w:val="single"/>
          <w:lang w:val="en-US" w:eastAsia="zh-CN"/>
        </w:rPr>
        <w:t xml:space="preserve"> </w:t>
      </w:r>
      <w:r>
        <w:rPr>
          <w:rFonts w:hint="eastAsia" w:ascii="宋体" w:hAnsi="宋体" w:eastAsia="宋体" w:cs="宋体"/>
          <w:color w:val="auto"/>
          <w:kern w:val="2"/>
          <w:sz w:val="21"/>
          <w:szCs w:val="21"/>
          <w:u w:val="single"/>
        </w:rPr>
        <w:t>日</w:t>
      </w:r>
      <w:r>
        <w:rPr>
          <w:rFonts w:hint="eastAsia" w:ascii="宋体" w:hAnsi="宋体" w:eastAsia="宋体" w:cs="宋体"/>
          <w:szCs w:val="21"/>
          <w:u w:val="single"/>
          <w:lang w:val="en-US" w:eastAsia="zh-CN"/>
        </w:rPr>
        <w:t>09</w:t>
      </w:r>
      <w:r>
        <w:rPr>
          <w:rFonts w:hint="eastAsia" w:ascii="宋体" w:hAnsi="宋体" w:eastAsia="宋体" w:cs="宋体"/>
          <w:szCs w:val="21"/>
          <w:u w:val="single"/>
        </w:rPr>
        <w:t>时</w:t>
      </w:r>
      <w:r>
        <w:rPr>
          <w:rFonts w:hint="eastAsia" w:ascii="宋体" w:hAnsi="宋体" w:eastAsia="宋体" w:cs="宋体"/>
          <w:szCs w:val="21"/>
          <w:u w:val="single"/>
          <w:lang w:val="en-US" w:eastAsia="zh-CN"/>
        </w:rPr>
        <w:t>30</w:t>
      </w:r>
      <w:r>
        <w:rPr>
          <w:rFonts w:hint="eastAsia" w:ascii="宋体" w:hAnsi="宋体" w:eastAsia="宋体" w:cs="宋体"/>
          <w:szCs w:val="21"/>
          <w:u w:val="single"/>
        </w:rPr>
        <w:t>分（北京时间）</w:t>
      </w:r>
      <w:r>
        <w:rPr>
          <w:rFonts w:hint="eastAsia" w:ascii="宋体" w:hAnsi="宋体" w:eastAsia="宋体" w:cs="宋体"/>
          <w:szCs w:val="21"/>
        </w:rPr>
        <w:t xml:space="preserve">。 </w:t>
      </w:r>
    </w:p>
    <w:p w14:paraId="715EED6A">
      <w:pPr>
        <w:keepNext w:val="0"/>
        <w:keepLines w:val="0"/>
        <w:pageBreakBefore w:val="0"/>
        <w:kinsoku/>
        <w:wordWrap/>
        <w:overflowPunct/>
        <w:topLinePunct w:val="0"/>
        <w:bidi w:val="0"/>
        <w:adjustRightInd w:val="0"/>
        <w:snapToGrid w:val="0"/>
        <w:spacing w:line="480" w:lineRule="exact"/>
        <w:ind w:firstLine="420" w:firstLineChars="200"/>
        <w:textAlignment w:val="auto"/>
        <w:rPr>
          <w:rFonts w:hint="eastAsia" w:ascii="宋体" w:hAnsi="宋体" w:eastAsia="宋体"/>
          <w:szCs w:val="21"/>
          <w:lang w:eastAsia="zh-CN"/>
        </w:rPr>
      </w:pPr>
      <w:r>
        <w:rPr>
          <w:rFonts w:hint="eastAsia" w:ascii="宋体" w:hAnsi="宋体"/>
          <w:szCs w:val="21"/>
        </w:rPr>
        <w:t>4、开标地点：</w:t>
      </w:r>
      <w:r>
        <w:rPr>
          <w:rFonts w:hint="eastAsia" w:ascii="宋体" w:hAnsi="宋体"/>
          <w:szCs w:val="21"/>
          <w:u w:val="single"/>
        </w:rPr>
        <w:t>岳阳市公共资源交易中心（岳阳经开区民兴路与狮子山南路交叉口丘山大厦）</w:t>
      </w:r>
      <w:r>
        <w:rPr>
          <w:rFonts w:hint="eastAsia" w:ascii="宋体" w:hAnsi="宋体"/>
          <w:szCs w:val="21"/>
          <w:u w:val="single"/>
          <w:lang w:eastAsia="zh-CN"/>
        </w:rPr>
        <w:t>。</w:t>
      </w:r>
    </w:p>
    <w:p w14:paraId="62BAD928">
      <w:pPr>
        <w:keepNext w:val="0"/>
        <w:keepLines w:val="0"/>
        <w:pageBreakBefore w:val="0"/>
        <w:kinsoku/>
        <w:wordWrap/>
        <w:overflowPunct/>
        <w:topLinePunct w:val="0"/>
        <w:bidi w:val="0"/>
        <w:adjustRightInd w:val="0"/>
        <w:snapToGrid w:val="0"/>
        <w:spacing w:line="480" w:lineRule="exact"/>
        <w:ind w:firstLine="422" w:firstLineChars="200"/>
        <w:textAlignment w:val="auto"/>
        <w:rPr>
          <w:rFonts w:ascii="宋体" w:hAnsi="宋体"/>
          <w:szCs w:val="21"/>
        </w:rPr>
      </w:pPr>
      <w:r>
        <w:rPr>
          <w:rFonts w:hint="eastAsia" w:ascii="宋体" w:hAnsi="宋体"/>
          <w:b/>
          <w:szCs w:val="21"/>
        </w:rPr>
        <w:t>十、公告期限</w:t>
      </w:r>
      <w:r>
        <w:rPr>
          <w:rFonts w:hint="eastAsia" w:ascii="宋体" w:hAnsi="宋体"/>
          <w:szCs w:val="21"/>
        </w:rPr>
        <w:t>：</w:t>
      </w:r>
    </w:p>
    <w:p w14:paraId="0B05A0C0">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1、本招标公告在中国湖南政府采购网</w:t>
      </w:r>
      <w:bookmarkStart w:id="152" w:name="_GoBack"/>
      <w:bookmarkEnd w:id="152"/>
      <w:r>
        <w:rPr>
          <w:rFonts w:hint="eastAsia" w:ascii="宋体" w:hAnsi="宋体"/>
          <w:szCs w:val="21"/>
        </w:rPr>
        <w:t>（www.ccgp-hunan.gov.cn）发布。公告期限从本招标公告发布之日起5个工作日。</w:t>
      </w:r>
    </w:p>
    <w:p w14:paraId="35A0BF1E">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2、在其他媒体发布的招标公告，公告内容以本招标公告指定媒体发布的公告为准；公告期限自本招标公告指定媒体最先发布公告之日起算。</w:t>
      </w:r>
    </w:p>
    <w:p w14:paraId="74A4B971">
      <w:pPr>
        <w:keepNext w:val="0"/>
        <w:keepLines w:val="0"/>
        <w:pageBreakBefore w:val="0"/>
        <w:kinsoku/>
        <w:wordWrap/>
        <w:overflowPunct/>
        <w:topLinePunct w:val="0"/>
        <w:bidi w:val="0"/>
        <w:adjustRightInd w:val="0"/>
        <w:snapToGrid w:val="0"/>
        <w:spacing w:line="480" w:lineRule="exact"/>
        <w:ind w:firstLine="422" w:firstLineChars="200"/>
        <w:textAlignment w:val="auto"/>
        <w:rPr>
          <w:rFonts w:ascii="宋体" w:hAnsi="宋体"/>
          <w:szCs w:val="21"/>
        </w:rPr>
      </w:pPr>
      <w:r>
        <w:rPr>
          <w:rFonts w:hint="eastAsia" w:ascii="宋体" w:hAnsi="宋体"/>
          <w:b/>
          <w:szCs w:val="21"/>
        </w:rPr>
        <w:t>十一、询问及质疑</w:t>
      </w:r>
      <w:r>
        <w:rPr>
          <w:rFonts w:hint="eastAsia" w:ascii="宋体" w:hAnsi="宋体"/>
          <w:szCs w:val="21"/>
        </w:rPr>
        <w:t>：</w:t>
      </w:r>
    </w:p>
    <w:p w14:paraId="46DBF1B8">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1、投标人对政府采购活动事项如有疑问的，可以向采购人、采购代理机构提出询问。采购人、采购代理机构将在3个工作日内作出答复。</w:t>
      </w:r>
    </w:p>
    <w:p w14:paraId="66EF700A">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2、投标人对电子交易平台办理CA证书、操作等如有疑问，请咨询电子交易平台服务机构。</w:t>
      </w:r>
    </w:p>
    <w:p w14:paraId="3AA23873">
      <w:pPr>
        <w:keepNext w:val="0"/>
        <w:keepLines w:val="0"/>
        <w:pageBreakBefore w:val="0"/>
        <w:kinsoku/>
        <w:wordWrap/>
        <w:overflowPunct/>
        <w:topLinePunct w:val="0"/>
        <w:bidi w:val="0"/>
        <w:adjustRightInd w:val="0"/>
        <w:snapToGrid w:val="0"/>
        <w:spacing w:line="480" w:lineRule="exact"/>
        <w:ind w:firstLine="420" w:firstLineChars="200"/>
        <w:textAlignment w:val="auto"/>
        <w:rPr>
          <w:rFonts w:ascii="宋体" w:hAnsi="宋体"/>
          <w:szCs w:val="21"/>
        </w:rPr>
      </w:pPr>
      <w:r>
        <w:rPr>
          <w:rFonts w:hint="eastAsia" w:ascii="宋体" w:hAnsi="宋体"/>
          <w:szCs w:val="21"/>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2024〕67号)规定，以纸质书面形式向采购人、采购代理机构提出质疑。</w:t>
      </w:r>
    </w:p>
    <w:p w14:paraId="12BC96A5">
      <w:pPr>
        <w:keepNext w:val="0"/>
        <w:keepLines w:val="0"/>
        <w:pageBreakBefore w:val="0"/>
        <w:kinsoku/>
        <w:wordWrap/>
        <w:overflowPunct/>
        <w:topLinePunct w:val="0"/>
        <w:bidi w:val="0"/>
        <w:adjustRightInd w:val="0"/>
        <w:snapToGrid w:val="0"/>
        <w:spacing w:line="480" w:lineRule="exact"/>
        <w:ind w:firstLine="422" w:firstLineChars="200"/>
        <w:textAlignment w:val="auto"/>
        <w:rPr>
          <w:rFonts w:ascii="宋体" w:hAnsi="宋体"/>
          <w:b/>
          <w:szCs w:val="21"/>
        </w:rPr>
      </w:pPr>
      <w:r>
        <w:rPr>
          <w:rFonts w:hint="eastAsia" w:ascii="宋体" w:hAnsi="宋体"/>
          <w:b/>
          <w:szCs w:val="21"/>
        </w:rPr>
        <w:t>十二、投标说明</w:t>
      </w:r>
    </w:p>
    <w:p w14:paraId="30A3341E">
      <w:pPr>
        <w:keepNext w:val="0"/>
        <w:keepLines w:val="0"/>
        <w:pageBreakBefore w:val="0"/>
        <w:tabs>
          <w:tab w:val="left" w:pos="4700"/>
          <w:tab w:val="left" w:pos="6000"/>
          <w:tab w:val="left" w:pos="7160"/>
          <w:tab w:val="left" w:pos="8520"/>
        </w:tabs>
        <w:kinsoku/>
        <w:wordWrap/>
        <w:overflowPunct/>
        <w:topLinePunct w:val="0"/>
        <w:autoSpaceDE w:val="0"/>
        <w:autoSpaceDN w:val="0"/>
        <w:bidi w:val="0"/>
        <w:adjustRightInd w:val="0"/>
        <w:snapToGrid w:val="0"/>
        <w:spacing w:line="480" w:lineRule="exact"/>
        <w:ind w:right="-23" w:firstLine="420" w:firstLineChars="200"/>
        <w:jc w:val="left"/>
        <w:textAlignment w:val="auto"/>
        <w:rPr>
          <w:rFonts w:ascii="宋体" w:hAnsi="宋体"/>
          <w:szCs w:val="21"/>
        </w:rPr>
      </w:pPr>
      <w:r>
        <w:rPr>
          <w:rFonts w:hint="eastAsia" w:ascii="宋体" w:hAnsi="宋体"/>
          <w:szCs w:val="21"/>
        </w:rPr>
        <w:t>1、本公告选项：</w:t>
      </w:r>
      <w:r>
        <w:rPr>
          <w:rFonts w:hint="eastAsia" w:ascii="宋体" w:hAnsi="宋体"/>
          <w:szCs w:val="21"/>
        </w:rPr>
        <w:sym w:font="Wingdings" w:char="00FE"/>
      </w:r>
      <w:r>
        <w:rPr>
          <w:rFonts w:hint="eastAsia" w:ascii="宋体" w:hAnsi="宋体"/>
          <w:szCs w:val="21"/>
        </w:rPr>
        <w:t>表示选择，</w:t>
      </w:r>
      <w:r>
        <w:rPr>
          <w:rFonts w:hint="eastAsia" w:ascii="宋体" w:hAnsi="宋体"/>
          <w:szCs w:val="21"/>
        </w:rPr>
        <w:sym w:font="Wingdings" w:char="00A8"/>
      </w:r>
      <w:r>
        <w:rPr>
          <w:rFonts w:hint="eastAsia" w:ascii="宋体" w:hAnsi="宋体"/>
          <w:szCs w:val="21"/>
        </w:rPr>
        <w:t>表示未选择。</w:t>
      </w:r>
    </w:p>
    <w:p w14:paraId="69C96263">
      <w:pPr>
        <w:keepNext w:val="0"/>
        <w:keepLines w:val="0"/>
        <w:pageBreakBefore w:val="0"/>
        <w:tabs>
          <w:tab w:val="left" w:pos="4700"/>
          <w:tab w:val="left" w:pos="6000"/>
          <w:tab w:val="left" w:pos="7160"/>
          <w:tab w:val="left" w:pos="8520"/>
        </w:tabs>
        <w:kinsoku/>
        <w:wordWrap/>
        <w:overflowPunct/>
        <w:topLinePunct w:val="0"/>
        <w:autoSpaceDE w:val="0"/>
        <w:autoSpaceDN w:val="0"/>
        <w:bidi w:val="0"/>
        <w:adjustRightInd w:val="0"/>
        <w:snapToGrid w:val="0"/>
        <w:spacing w:line="480" w:lineRule="exact"/>
        <w:ind w:right="-23" w:firstLine="420" w:firstLineChars="200"/>
        <w:jc w:val="left"/>
        <w:textAlignment w:val="auto"/>
      </w:pPr>
      <w:r>
        <w:rPr>
          <w:rFonts w:hint="eastAsia" w:ascii="宋体" w:hAnsi="宋体"/>
          <w:szCs w:val="21"/>
        </w:rPr>
        <w:t>2、投标人参与政府采购活动，无需向采购人、代理机构、交易平台缴纳任何费用。</w:t>
      </w:r>
    </w:p>
    <w:p w14:paraId="69E71F4D">
      <w:pPr>
        <w:keepNext w:val="0"/>
        <w:keepLines w:val="0"/>
        <w:pageBreakBefore w:val="0"/>
        <w:kinsoku/>
        <w:wordWrap/>
        <w:overflowPunct/>
        <w:topLinePunct w:val="0"/>
        <w:bidi w:val="0"/>
        <w:adjustRightInd w:val="0"/>
        <w:snapToGrid w:val="0"/>
        <w:spacing w:line="480" w:lineRule="exact"/>
        <w:ind w:firstLine="422" w:firstLineChars="200"/>
        <w:textAlignment w:val="auto"/>
        <w:outlineLvl w:val="1"/>
        <w:rPr>
          <w:rFonts w:ascii="宋体" w:hAnsi="宋体" w:cs="宋体"/>
          <w:b/>
          <w:bCs/>
          <w:szCs w:val="21"/>
        </w:rPr>
      </w:pPr>
      <w:r>
        <w:rPr>
          <w:rFonts w:hint="eastAsia" w:ascii="宋体" w:hAnsi="宋体" w:cs="宋体"/>
          <w:b/>
          <w:bCs/>
          <w:szCs w:val="21"/>
        </w:rPr>
        <w:t>十三、</w:t>
      </w:r>
      <w:bookmarkEnd w:id="46"/>
      <w:bookmarkEnd w:id="47"/>
      <w:r>
        <w:rPr>
          <w:rFonts w:hint="eastAsia" w:ascii="宋体" w:hAnsi="宋体" w:cs="宋体"/>
          <w:b/>
          <w:bCs/>
          <w:szCs w:val="21"/>
        </w:rPr>
        <w:t>投标保证金</w:t>
      </w:r>
    </w:p>
    <w:p w14:paraId="635CD9A8">
      <w:pPr>
        <w:keepNext w:val="0"/>
        <w:keepLines w:val="0"/>
        <w:pageBreakBefore w:val="0"/>
        <w:kinsoku/>
        <w:wordWrap/>
        <w:overflowPunct/>
        <w:topLinePunct w:val="0"/>
        <w:bidi w:val="0"/>
        <w:adjustRightInd w:val="0"/>
        <w:snapToGrid w:val="0"/>
        <w:spacing w:line="480" w:lineRule="exact"/>
        <w:ind w:firstLine="420" w:firstLineChars="200"/>
        <w:textAlignment w:val="auto"/>
        <w:outlineLvl w:val="1"/>
        <w:rPr>
          <w:rFonts w:ascii="宋体" w:hAnsi="宋体" w:cs="宋体"/>
          <w:szCs w:val="21"/>
        </w:rPr>
      </w:pPr>
      <w:bookmarkStart w:id="48" w:name="_Toc31157"/>
      <w:r>
        <w:rPr>
          <w:rFonts w:hint="eastAsia" w:ascii="宋体" w:hAnsi="宋体" w:cs="宋体"/>
          <w:szCs w:val="21"/>
        </w:rPr>
        <w:t>根据岳财函【2020】46号文规定，本项目不缴纳投标保证金。</w:t>
      </w:r>
      <w:bookmarkEnd w:id="48"/>
    </w:p>
    <w:p w14:paraId="1E6039CE">
      <w:pPr>
        <w:keepNext w:val="0"/>
        <w:keepLines w:val="0"/>
        <w:pageBreakBefore w:val="0"/>
        <w:kinsoku/>
        <w:wordWrap/>
        <w:overflowPunct/>
        <w:topLinePunct w:val="0"/>
        <w:bidi w:val="0"/>
        <w:adjustRightInd w:val="0"/>
        <w:snapToGrid w:val="0"/>
        <w:spacing w:line="480" w:lineRule="exact"/>
        <w:ind w:firstLine="422" w:firstLineChars="200"/>
        <w:textAlignment w:val="auto"/>
        <w:outlineLvl w:val="1"/>
        <w:rPr>
          <w:rFonts w:ascii="宋体" w:hAnsi="宋体" w:cs="宋体"/>
          <w:b/>
          <w:bCs/>
          <w:szCs w:val="21"/>
        </w:rPr>
      </w:pPr>
      <w:bookmarkStart w:id="49" w:name="_Toc2260"/>
      <w:bookmarkStart w:id="50" w:name="_Toc20897"/>
      <w:r>
        <w:rPr>
          <w:rFonts w:hint="eastAsia" w:ascii="宋体" w:hAnsi="宋体" w:cs="宋体"/>
          <w:b/>
          <w:bCs/>
          <w:szCs w:val="21"/>
        </w:rPr>
        <w:t>十四、</w:t>
      </w:r>
      <w:bookmarkEnd w:id="49"/>
      <w:bookmarkEnd w:id="50"/>
      <w:r>
        <w:rPr>
          <w:rFonts w:hint="eastAsia" w:ascii="宋体" w:hAnsi="宋体" w:cs="宋体"/>
          <w:b/>
          <w:bCs/>
          <w:szCs w:val="21"/>
        </w:rPr>
        <w:t>采购人及采购代理机构的名称、地址和联系方式</w:t>
      </w:r>
    </w:p>
    <w:p w14:paraId="5E5A01F9">
      <w:pPr>
        <w:keepNext w:val="0"/>
        <w:keepLines w:val="0"/>
        <w:pageBreakBefore w:val="0"/>
        <w:widowControl w:val="0"/>
        <w:kinsoku/>
        <w:wordWrap/>
        <w:overflowPunct/>
        <w:topLinePunct w:val="0"/>
        <w:autoSpaceDE/>
        <w:autoSpaceDN/>
        <w:bidi w:val="0"/>
        <w:adjustRightInd w:val="0"/>
        <w:snapToGrid w:val="0"/>
        <w:spacing w:line="400" w:lineRule="exact"/>
        <w:ind w:firstLine="413" w:firstLineChars="196"/>
        <w:textAlignment w:val="auto"/>
        <w:rPr>
          <w:rFonts w:hint="eastAsia" w:ascii="宋体" w:hAnsi="宋体" w:eastAsia="宋体" w:cs="宋体"/>
          <w:b w:val="0"/>
          <w:bCs w:val="0"/>
          <w:szCs w:val="21"/>
          <w:lang w:eastAsia="zh-CN"/>
        </w:rPr>
      </w:pPr>
      <w:r>
        <w:rPr>
          <w:rFonts w:hint="eastAsia" w:ascii="宋体" w:hAnsi="宋体" w:eastAsia="宋体" w:cs="宋体"/>
          <w:b/>
          <w:bCs/>
          <w:szCs w:val="21"/>
        </w:rPr>
        <w:t>采购人：</w:t>
      </w:r>
      <w:r>
        <w:rPr>
          <w:rFonts w:hint="eastAsia" w:ascii="宋体" w:hAnsi="宋体" w:eastAsia="宋体" w:cs="宋体"/>
          <w:b w:val="0"/>
          <w:bCs w:val="0"/>
          <w:szCs w:val="21"/>
          <w:lang w:eastAsia="zh-CN"/>
        </w:rPr>
        <w:t>岳阳市人民医院</w:t>
      </w:r>
    </w:p>
    <w:p w14:paraId="56A241AC">
      <w:pPr>
        <w:keepNext w:val="0"/>
        <w:keepLines w:val="0"/>
        <w:pageBreakBefore w:val="0"/>
        <w:widowControl w:val="0"/>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b w:val="0"/>
          <w:bCs w:val="0"/>
          <w:szCs w:val="21"/>
          <w:lang w:eastAsia="zh-CN"/>
        </w:rPr>
      </w:pPr>
      <w:r>
        <w:rPr>
          <w:rFonts w:hint="eastAsia" w:ascii="宋体" w:hAnsi="宋体" w:eastAsia="宋体" w:cs="宋体"/>
          <w:b w:val="0"/>
          <w:bCs w:val="0"/>
          <w:szCs w:val="21"/>
        </w:rPr>
        <w:t>地  址：</w:t>
      </w:r>
      <w:r>
        <w:rPr>
          <w:rFonts w:hint="eastAsia" w:ascii="宋体" w:hAnsi="宋体" w:eastAsia="宋体" w:cs="宋体"/>
          <w:b w:val="0"/>
          <w:bCs w:val="0"/>
          <w:szCs w:val="21"/>
          <w:lang w:eastAsia="zh-CN"/>
        </w:rPr>
        <w:t>岳阳市巴陵东路263号</w:t>
      </w:r>
    </w:p>
    <w:p w14:paraId="513E9362">
      <w:pPr>
        <w:keepNext w:val="0"/>
        <w:keepLines w:val="0"/>
        <w:pageBreakBefore w:val="0"/>
        <w:widowControl w:val="0"/>
        <w:kinsoku/>
        <w:wordWrap/>
        <w:overflowPunct/>
        <w:topLinePunct w:val="0"/>
        <w:autoSpaceDE/>
        <w:autoSpaceDN/>
        <w:bidi w:val="0"/>
        <w:adjustRightInd w:val="0"/>
        <w:snapToGrid w:val="0"/>
        <w:spacing w:line="400" w:lineRule="exact"/>
        <w:ind w:firstLine="411" w:firstLineChars="196"/>
        <w:textAlignment w:val="auto"/>
        <w:rPr>
          <w:rFonts w:hint="default" w:ascii="宋体" w:hAnsi="宋体" w:eastAsia="宋体" w:cs="宋体"/>
          <w:b w:val="0"/>
          <w:bCs w:val="0"/>
          <w:szCs w:val="21"/>
          <w:lang w:val="en-US" w:eastAsia="zh-CN"/>
        </w:rPr>
      </w:pPr>
      <w:r>
        <w:rPr>
          <w:rFonts w:hint="eastAsia" w:ascii="宋体" w:hAnsi="宋体" w:eastAsia="宋体" w:cs="宋体"/>
          <w:b w:val="0"/>
          <w:bCs w:val="0"/>
          <w:szCs w:val="21"/>
        </w:rPr>
        <w:t>联系人：</w:t>
      </w:r>
      <w:r>
        <w:rPr>
          <w:rFonts w:hint="eastAsia" w:ascii="宋体" w:hAnsi="宋体" w:cs="宋体"/>
          <w:b w:val="0"/>
          <w:bCs w:val="0"/>
          <w:szCs w:val="21"/>
          <w:lang w:val="en-US" w:eastAsia="zh-CN"/>
        </w:rPr>
        <w:t>蒋先生</w:t>
      </w:r>
    </w:p>
    <w:p w14:paraId="43D6ADA0">
      <w:pPr>
        <w:keepNext w:val="0"/>
        <w:keepLines w:val="0"/>
        <w:pageBreakBefore w:val="0"/>
        <w:widowControl w:val="0"/>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b w:val="0"/>
          <w:bCs w:val="0"/>
          <w:szCs w:val="21"/>
          <w:lang w:val="en-US" w:eastAsia="zh-CN"/>
        </w:rPr>
      </w:pPr>
      <w:r>
        <w:rPr>
          <w:rFonts w:hint="eastAsia" w:ascii="宋体" w:hAnsi="宋体" w:eastAsia="宋体" w:cs="宋体"/>
          <w:b w:val="0"/>
          <w:bCs w:val="0"/>
          <w:szCs w:val="21"/>
        </w:rPr>
        <w:t>电  话：</w:t>
      </w:r>
      <w:r>
        <w:rPr>
          <w:rFonts w:hint="eastAsia" w:ascii="宋体" w:hAnsi="宋体" w:cs="宋体"/>
          <w:b w:val="0"/>
          <w:bCs w:val="0"/>
          <w:szCs w:val="21"/>
          <w:lang w:eastAsia="zh-CN"/>
        </w:rPr>
        <w:t>0730-8713620</w:t>
      </w:r>
    </w:p>
    <w:p w14:paraId="528619F9">
      <w:pPr>
        <w:keepNext w:val="0"/>
        <w:keepLines w:val="0"/>
        <w:pageBreakBefore w:val="0"/>
        <w:widowControl w:val="0"/>
        <w:kinsoku/>
        <w:wordWrap/>
        <w:overflowPunct/>
        <w:topLinePunct w:val="0"/>
        <w:autoSpaceDE/>
        <w:autoSpaceDN/>
        <w:bidi w:val="0"/>
        <w:adjustRightInd w:val="0"/>
        <w:snapToGrid w:val="0"/>
        <w:spacing w:line="400" w:lineRule="exact"/>
        <w:ind w:firstLine="413" w:firstLineChars="196"/>
        <w:textAlignment w:val="auto"/>
        <w:rPr>
          <w:rFonts w:hint="eastAsia" w:ascii="宋体" w:hAnsi="宋体" w:eastAsia="宋体" w:cs="宋体"/>
          <w:szCs w:val="21"/>
        </w:rPr>
      </w:pPr>
      <w:r>
        <w:rPr>
          <w:rFonts w:hint="eastAsia" w:ascii="宋体" w:hAnsi="宋体" w:eastAsia="宋体" w:cs="宋体"/>
          <w:b/>
          <w:bCs/>
          <w:szCs w:val="21"/>
        </w:rPr>
        <w:t>采购代理机构：</w:t>
      </w:r>
      <w:r>
        <w:rPr>
          <w:rFonts w:hint="eastAsia" w:ascii="宋体" w:hAnsi="宋体" w:eastAsia="宋体" w:cs="宋体"/>
          <w:szCs w:val="21"/>
        </w:rPr>
        <w:t>福州市安永工程监理有限公司</w:t>
      </w:r>
    </w:p>
    <w:p w14:paraId="717CCD4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地  址：</w:t>
      </w:r>
      <w:r>
        <w:rPr>
          <w:rFonts w:hint="eastAsia" w:ascii="宋体" w:hAnsi="宋体" w:eastAsia="宋体" w:cs="宋体"/>
        </w:rPr>
        <w:t>岳阳市岳阳楼区王家河街道巴陵东路鑫泓花园D栋（鑫泓花园右侧商铺）</w:t>
      </w:r>
    </w:p>
    <w:p w14:paraId="78A8B2F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rPr>
        <w:t>联系人：</w:t>
      </w:r>
      <w:r>
        <w:rPr>
          <w:rFonts w:hint="eastAsia" w:ascii="宋体" w:hAnsi="宋体" w:eastAsia="宋体" w:cs="宋体"/>
        </w:rPr>
        <w:t>陈</w:t>
      </w:r>
      <w:r>
        <w:rPr>
          <w:rFonts w:hint="eastAsia" w:ascii="宋体" w:hAnsi="宋体" w:eastAsia="宋体" w:cs="宋体"/>
          <w:lang w:val="en-US" w:eastAsia="zh-CN"/>
        </w:rPr>
        <w:t>兴</w:t>
      </w:r>
    </w:p>
    <w:p w14:paraId="22447921">
      <w:pPr>
        <w:keepNext w:val="0"/>
        <w:keepLines w:val="0"/>
        <w:pageBreakBefore w:val="0"/>
        <w:widowControl w:val="0"/>
        <w:kinsoku/>
        <w:wordWrap/>
        <w:overflowPunct/>
        <w:topLinePunct w:val="0"/>
        <w:autoSpaceDE/>
        <w:autoSpaceDN/>
        <w:bidi w:val="0"/>
        <w:adjustRightInd w:val="0"/>
        <w:snapToGrid w:val="0"/>
        <w:spacing w:line="400" w:lineRule="exact"/>
        <w:ind w:left="2940" w:leftChars="200" w:hanging="2520" w:hangingChars="1200"/>
        <w:jc w:val="left"/>
        <w:textAlignment w:val="auto"/>
        <w:rPr>
          <w:rFonts w:hint="eastAsia" w:ascii="宋体" w:hAnsi="宋体" w:eastAsia="宋体" w:cs="宋体"/>
          <w:szCs w:val="21"/>
        </w:rPr>
      </w:pPr>
      <w:r>
        <w:rPr>
          <w:rFonts w:hint="eastAsia" w:ascii="宋体" w:hAnsi="宋体" w:eastAsia="宋体" w:cs="宋体"/>
          <w:szCs w:val="21"/>
        </w:rPr>
        <w:t>电  话：</w:t>
      </w:r>
      <w:bookmarkEnd w:id="32"/>
      <w:r>
        <w:rPr>
          <w:rFonts w:hint="eastAsia" w:ascii="宋体" w:hAnsi="宋体" w:eastAsia="宋体" w:cs="宋体"/>
        </w:rPr>
        <w:t>0730-8581818</w:t>
      </w:r>
    </w:p>
    <w:bookmarkEnd w:id="33"/>
    <w:bookmarkEnd w:id="34"/>
    <w:p w14:paraId="30AB7526">
      <w:pPr>
        <w:adjustRightInd w:val="0"/>
        <w:snapToGrid w:val="0"/>
        <w:spacing w:line="360" w:lineRule="auto"/>
        <w:jc w:val="left"/>
        <w:rPr>
          <w:rFonts w:ascii="宋体" w:hAnsi="宋体" w:cs="宋体"/>
          <w:szCs w:val="21"/>
        </w:rPr>
      </w:pPr>
    </w:p>
    <w:p w14:paraId="4416EB85">
      <w:pPr>
        <w:adjustRightInd w:val="0"/>
        <w:snapToGrid w:val="0"/>
        <w:spacing w:line="360" w:lineRule="auto"/>
        <w:jc w:val="center"/>
        <w:rPr>
          <w:rFonts w:hAnsi="宋体" w:cs="宋体"/>
        </w:rPr>
      </w:pPr>
      <w:r>
        <w:rPr>
          <w:rFonts w:hint="eastAsia" w:hAnsi="宋体" w:cs="宋体"/>
          <w:b/>
          <w:sz w:val="32"/>
          <w:szCs w:val="32"/>
        </w:rPr>
        <w:t>第二章 投标须知</w:t>
      </w:r>
      <w:bookmarkEnd w:id="10"/>
      <w:bookmarkEnd w:id="11"/>
      <w:bookmarkEnd w:id="12"/>
      <w:bookmarkEnd w:id="13"/>
      <w:bookmarkEnd w:id="14"/>
      <w:bookmarkEnd w:id="15"/>
      <w:bookmarkEnd w:id="16"/>
      <w:bookmarkEnd w:id="17"/>
      <w:bookmarkEnd w:id="35"/>
      <w:bookmarkEnd w:id="36"/>
    </w:p>
    <w:p w14:paraId="49134E17">
      <w:pPr>
        <w:pStyle w:val="3"/>
        <w:ind w:firstLine="140" w:firstLineChars="50"/>
        <w:jc w:val="center"/>
        <w:rPr>
          <w:rFonts w:ascii="宋体" w:hAnsi="宋体" w:cs="宋体"/>
          <w:b w:val="0"/>
          <w:spacing w:val="100"/>
          <w:sz w:val="28"/>
          <w:szCs w:val="28"/>
        </w:rPr>
      </w:pPr>
      <w:bookmarkStart w:id="51" w:name="_Toc19654"/>
      <w:bookmarkStart w:id="52" w:name="_Toc11427"/>
      <w:r>
        <w:rPr>
          <w:rFonts w:hint="eastAsia" w:ascii="宋体" w:hAnsi="宋体" w:cs="宋体"/>
          <w:b w:val="0"/>
          <w:sz w:val="28"/>
          <w:szCs w:val="28"/>
        </w:rPr>
        <w:t>投标须知前附表</w:t>
      </w:r>
      <w:bookmarkEnd w:id="51"/>
      <w:bookmarkEnd w:id="52"/>
    </w:p>
    <w:p w14:paraId="6F2EA6E1">
      <w:pPr>
        <w:adjustRightInd w:val="0"/>
        <w:snapToGrid w:val="0"/>
        <w:rPr>
          <w:rFonts w:ascii="宋体" w:hAnsi="宋体" w:cs="宋体"/>
          <w:szCs w:val="21"/>
        </w:rPr>
      </w:pPr>
      <w:r>
        <w:rPr>
          <w:rFonts w:hint="eastAsia" w:ascii="宋体" w:hAnsi="宋体" w:cs="宋体"/>
          <w:b/>
          <w:szCs w:val="21"/>
        </w:rPr>
        <w:t>注：本项目启用的条款请在“编列内容规定”栏内以“■”标注。</w:t>
      </w:r>
    </w:p>
    <w:tbl>
      <w:tblPr>
        <w:tblStyle w:val="40"/>
        <w:tblpPr w:leftFromText="180" w:rightFromText="180" w:vertAnchor="text" w:horzAnchor="page" w:tblpX="1169" w:tblpY="489"/>
        <w:tblOverlap w:val="never"/>
        <w:tblW w:w="988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080"/>
        <w:gridCol w:w="6533"/>
      </w:tblGrid>
      <w:tr w14:paraId="346BCB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276" w:type="dxa"/>
            <w:noWrap/>
            <w:vAlign w:val="center"/>
          </w:tcPr>
          <w:p w14:paraId="2C85AB67">
            <w:pPr>
              <w:adjustRightInd w:val="0"/>
              <w:snapToGrid w:val="0"/>
              <w:spacing w:line="240" w:lineRule="auto"/>
              <w:jc w:val="center"/>
              <w:rPr>
                <w:rFonts w:ascii="宋体" w:hAnsi="宋体" w:cs="宋体"/>
                <w:b/>
                <w:szCs w:val="21"/>
              </w:rPr>
            </w:pPr>
            <w:r>
              <w:rPr>
                <w:rFonts w:hint="eastAsia" w:ascii="宋体" w:hAnsi="宋体" w:cs="宋体"/>
                <w:b/>
                <w:szCs w:val="21"/>
              </w:rPr>
              <w:t>条款号</w:t>
            </w:r>
          </w:p>
        </w:tc>
        <w:tc>
          <w:tcPr>
            <w:tcW w:w="2080" w:type="dxa"/>
            <w:noWrap/>
            <w:vAlign w:val="center"/>
          </w:tcPr>
          <w:p w14:paraId="1EE797CE">
            <w:pPr>
              <w:adjustRightInd w:val="0"/>
              <w:snapToGrid w:val="0"/>
              <w:spacing w:line="240" w:lineRule="auto"/>
              <w:jc w:val="center"/>
              <w:rPr>
                <w:rFonts w:ascii="宋体" w:hAnsi="宋体" w:cs="宋体"/>
                <w:b/>
                <w:szCs w:val="21"/>
              </w:rPr>
            </w:pPr>
            <w:r>
              <w:rPr>
                <w:rFonts w:hint="eastAsia" w:ascii="宋体" w:hAnsi="宋体" w:cs="宋体"/>
                <w:b/>
                <w:szCs w:val="21"/>
              </w:rPr>
              <w:t>条款名称</w:t>
            </w:r>
          </w:p>
        </w:tc>
        <w:tc>
          <w:tcPr>
            <w:tcW w:w="6533" w:type="dxa"/>
            <w:noWrap/>
            <w:vAlign w:val="center"/>
          </w:tcPr>
          <w:p w14:paraId="6AD30D95">
            <w:pPr>
              <w:adjustRightInd w:val="0"/>
              <w:snapToGrid w:val="0"/>
              <w:spacing w:line="240" w:lineRule="auto"/>
              <w:jc w:val="center"/>
              <w:rPr>
                <w:rFonts w:ascii="宋体" w:hAnsi="宋体" w:cs="宋体"/>
                <w:b/>
                <w:szCs w:val="21"/>
              </w:rPr>
            </w:pPr>
            <w:r>
              <w:rPr>
                <w:rFonts w:hint="eastAsia" w:ascii="宋体" w:hAnsi="宋体" w:cs="宋体"/>
                <w:b/>
                <w:szCs w:val="21"/>
              </w:rPr>
              <w:t>编列内容规定</w:t>
            </w:r>
          </w:p>
        </w:tc>
      </w:tr>
      <w:tr w14:paraId="055665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889" w:type="dxa"/>
            <w:gridSpan w:val="3"/>
            <w:noWrap/>
            <w:vAlign w:val="center"/>
          </w:tcPr>
          <w:p w14:paraId="0BABEFD3">
            <w:pPr>
              <w:adjustRightInd w:val="0"/>
              <w:snapToGrid w:val="0"/>
              <w:spacing w:line="240" w:lineRule="auto"/>
              <w:rPr>
                <w:rFonts w:ascii="宋体" w:hAnsi="宋体" w:cs="宋体"/>
                <w:szCs w:val="21"/>
              </w:rPr>
            </w:pPr>
            <w:r>
              <w:rPr>
                <w:rFonts w:hint="eastAsia" w:ascii="宋体" w:hAnsi="宋体" w:cs="宋体"/>
                <w:b/>
                <w:szCs w:val="21"/>
              </w:rPr>
              <w:t>一、说明</w:t>
            </w:r>
          </w:p>
        </w:tc>
      </w:tr>
      <w:tr w14:paraId="63A805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noWrap/>
            <w:vAlign w:val="center"/>
          </w:tcPr>
          <w:p w14:paraId="68D40AF0">
            <w:pPr>
              <w:adjustRightInd w:val="0"/>
              <w:snapToGrid w:val="0"/>
              <w:spacing w:line="240" w:lineRule="auto"/>
              <w:jc w:val="center"/>
              <w:rPr>
                <w:rFonts w:ascii="宋体" w:hAnsi="宋体" w:cs="宋体"/>
                <w:szCs w:val="21"/>
              </w:rPr>
            </w:pPr>
            <w:r>
              <w:rPr>
                <w:rFonts w:hint="eastAsia" w:ascii="宋体" w:hAnsi="宋体" w:cs="宋体"/>
                <w:szCs w:val="21"/>
              </w:rPr>
              <w:t>第1.1</w:t>
            </w:r>
            <w:r>
              <w:rPr>
                <w:rFonts w:hint="eastAsia" w:ascii="宋体" w:hAnsi="宋体" w:cs="宋体"/>
                <w:kern w:val="0"/>
                <w:szCs w:val="21"/>
                <w:lang w:val="zh-CN"/>
              </w:rPr>
              <w:t>款</w:t>
            </w:r>
          </w:p>
        </w:tc>
        <w:tc>
          <w:tcPr>
            <w:tcW w:w="2080" w:type="dxa"/>
            <w:noWrap/>
            <w:vAlign w:val="center"/>
          </w:tcPr>
          <w:p w14:paraId="1E85F045">
            <w:pPr>
              <w:adjustRightInd w:val="0"/>
              <w:snapToGrid w:val="0"/>
              <w:spacing w:line="240" w:lineRule="auto"/>
              <w:jc w:val="center"/>
              <w:rPr>
                <w:rFonts w:ascii="宋体" w:hAnsi="宋体" w:cs="宋体"/>
                <w:szCs w:val="21"/>
              </w:rPr>
            </w:pPr>
            <w:r>
              <w:rPr>
                <w:rFonts w:hint="eastAsia" w:ascii="宋体" w:hAnsi="宋体" w:cs="宋体"/>
                <w:szCs w:val="21"/>
              </w:rPr>
              <w:t>采购项目</w:t>
            </w:r>
          </w:p>
        </w:tc>
        <w:tc>
          <w:tcPr>
            <w:tcW w:w="6533" w:type="dxa"/>
            <w:noWrap/>
            <w:vAlign w:val="center"/>
          </w:tcPr>
          <w:p w14:paraId="33389BE3">
            <w:pPr>
              <w:adjustRightInd w:val="0"/>
              <w:snapToGrid w:val="0"/>
              <w:spacing w:line="240" w:lineRule="auto"/>
              <w:rPr>
                <w:rFonts w:hint="eastAsia" w:ascii="宋体" w:hAnsi="宋体" w:eastAsia="宋体" w:cs="宋体"/>
                <w:szCs w:val="21"/>
                <w:lang w:eastAsia="zh-CN"/>
              </w:rPr>
            </w:pPr>
            <w:r>
              <w:rPr>
                <w:rFonts w:hint="eastAsia" w:ascii="宋体" w:hAnsi="宋体" w:cs="宋体"/>
                <w:szCs w:val="21"/>
                <w:lang w:eastAsia="zh-CN"/>
              </w:rPr>
              <w:t>岳阳市人民医院麻醉机、多功能监护仪采购项目</w:t>
            </w:r>
          </w:p>
        </w:tc>
      </w:tr>
      <w:tr w14:paraId="5B909F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3" w:hRule="atLeast"/>
        </w:trPr>
        <w:tc>
          <w:tcPr>
            <w:tcW w:w="1276" w:type="dxa"/>
            <w:noWrap/>
            <w:vAlign w:val="center"/>
          </w:tcPr>
          <w:p w14:paraId="2FCE1987">
            <w:pPr>
              <w:adjustRightInd w:val="0"/>
              <w:snapToGrid w:val="0"/>
              <w:spacing w:line="240" w:lineRule="auto"/>
              <w:jc w:val="center"/>
              <w:rPr>
                <w:rFonts w:ascii="宋体" w:hAnsi="宋体" w:cs="宋体"/>
                <w:szCs w:val="21"/>
              </w:rPr>
            </w:pPr>
            <w:r>
              <w:rPr>
                <w:rFonts w:hint="eastAsia" w:ascii="宋体" w:hAnsi="宋体" w:cs="宋体"/>
                <w:szCs w:val="21"/>
              </w:rPr>
              <w:t>第2.1</w:t>
            </w:r>
            <w:r>
              <w:rPr>
                <w:rFonts w:hint="eastAsia" w:ascii="宋体" w:hAnsi="宋体" w:cs="宋体"/>
                <w:kern w:val="0"/>
                <w:szCs w:val="21"/>
                <w:lang w:val="zh-CN"/>
              </w:rPr>
              <w:t>款</w:t>
            </w:r>
          </w:p>
        </w:tc>
        <w:tc>
          <w:tcPr>
            <w:tcW w:w="2080" w:type="dxa"/>
            <w:noWrap/>
            <w:vAlign w:val="center"/>
          </w:tcPr>
          <w:p w14:paraId="4735CE9D">
            <w:pPr>
              <w:adjustRightInd w:val="0"/>
              <w:snapToGrid w:val="0"/>
              <w:spacing w:line="240" w:lineRule="auto"/>
              <w:jc w:val="center"/>
              <w:rPr>
                <w:rFonts w:ascii="宋体" w:hAnsi="宋体" w:cs="宋体"/>
                <w:szCs w:val="21"/>
              </w:rPr>
            </w:pPr>
            <w:r>
              <w:rPr>
                <w:rFonts w:hint="eastAsia" w:ascii="宋体" w:hAnsi="宋体" w:cs="宋体"/>
                <w:szCs w:val="21"/>
              </w:rPr>
              <w:t>采购人</w:t>
            </w:r>
          </w:p>
        </w:tc>
        <w:tc>
          <w:tcPr>
            <w:tcW w:w="6533" w:type="dxa"/>
            <w:noWrap/>
            <w:vAlign w:val="center"/>
          </w:tcPr>
          <w:p w14:paraId="5219E102">
            <w:pPr>
              <w:adjustRightInd w:val="0"/>
              <w:snapToGrid w:val="0"/>
              <w:spacing w:line="240" w:lineRule="auto"/>
              <w:rPr>
                <w:rFonts w:hint="eastAsia" w:ascii="宋体" w:hAnsi="宋体" w:cs="宋体"/>
                <w:szCs w:val="21"/>
                <w:lang w:eastAsia="zh-CN"/>
              </w:rPr>
            </w:pPr>
            <w:r>
              <w:rPr>
                <w:rFonts w:hint="eastAsia" w:ascii="宋体" w:hAnsi="宋体" w:cs="宋体"/>
                <w:szCs w:val="21"/>
              </w:rPr>
              <w:t>名  称：</w:t>
            </w:r>
            <w:r>
              <w:rPr>
                <w:rFonts w:hint="eastAsia" w:ascii="宋体" w:hAnsi="宋体" w:cs="宋体"/>
                <w:szCs w:val="21"/>
                <w:lang w:eastAsia="zh-CN"/>
              </w:rPr>
              <w:t>岳阳市人民医院</w:t>
            </w:r>
          </w:p>
          <w:p w14:paraId="454C043E">
            <w:pPr>
              <w:adjustRightInd w:val="0"/>
              <w:snapToGrid w:val="0"/>
              <w:spacing w:line="240" w:lineRule="auto"/>
              <w:rPr>
                <w:rFonts w:hint="eastAsia" w:ascii="宋体" w:hAnsi="宋体" w:cs="宋体"/>
                <w:szCs w:val="21"/>
                <w:lang w:eastAsia="zh-CN"/>
              </w:rPr>
            </w:pPr>
            <w:r>
              <w:rPr>
                <w:rFonts w:hint="eastAsia" w:ascii="宋体" w:hAnsi="宋体" w:cs="宋体"/>
                <w:szCs w:val="21"/>
              </w:rPr>
              <w:t>地  址：</w:t>
            </w:r>
            <w:r>
              <w:rPr>
                <w:rFonts w:hint="eastAsia" w:ascii="宋体" w:hAnsi="宋体" w:cs="宋体"/>
                <w:szCs w:val="21"/>
                <w:lang w:eastAsia="zh-CN"/>
              </w:rPr>
              <w:t>岳阳市巴陵东路263号</w:t>
            </w:r>
          </w:p>
          <w:p w14:paraId="0AB103C7">
            <w:pPr>
              <w:adjustRightInd w:val="0"/>
              <w:snapToGrid w:val="0"/>
              <w:spacing w:line="240" w:lineRule="auto"/>
              <w:rPr>
                <w:rFonts w:hint="default" w:ascii="宋体" w:hAnsi="宋体" w:cs="宋体"/>
                <w:szCs w:val="21"/>
                <w:lang w:val="en-US" w:eastAsia="zh-CN"/>
              </w:rPr>
            </w:pPr>
            <w:r>
              <w:rPr>
                <w:rFonts w:hint="eastAsia" w:ascii="宋体" w:hAnsi="宋体" w:cs="宋体"/>
                <w:szCs w:val="21"/>
              </w:rPr>
              <w:t>联系人：</w:t>
            </w:r>
            <w:r>
              <w:rPr>
                <w:rFonts w:hint="eastAsia" w:ascii="宋体" w:hAnsi="宋体" w:cs="宋体"/>
                <w:szCs w:val="21"/>
                <w:lang w:val="en-US" w:eastAsia="zh-CN"/>
              </w:rPr>
              <w:t>蒋先生</w:t>
            </w:r>
          </w:p>
          <w:p w14:paraId="18C3AC82">
            <w:pPr>
              <w:adjustRightInd w:val="0"/>
              <w:snapToGrid w:val="0"/>
              <w:spacing w:line="240" w:lineRule="auto"/>
              <w:rPr>
                <w:rFonts w:hint="eastAsia" w:ascii="宋体" w:hAnsi="宋体" w:eastAsia="宋体" w:cs="宋体"/>
                <w:szCs w:val="21"/>
                <w:lang w:eastAsia="zh-CN"/>
              </w:rPr>
            </w:pPr>
            <w:r>
              <w:rPr>
                <w:rFonts w:hint="eastAsia" w:ascii="宋体" w:hAnsi="宋体" w:cs="宋体"/>
                <w:szCs w:val="21"/>
              </w:rPr>
              <w:t>电  话：</w:t>
            </w:r>
            <w:r>
              <w:rPr>
                <w:rFonts w:hint="eastAsia" w:ascii="宋体" w:hAnsi="宋体" w:cs="宋体"/>
                <w:szCs w:val="21"/>
                <w:lang w:eastAsia="zh-CN"/>
              </w:rPr>
              <w:t>0730-8713620</w:t>
            </w:r>
          </w:p>
        </w:tc>
      </w:tr>
      <w:tr w14:paraId="7C440C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51" w:hRule="atLeast"/>
        </w:trPr>
        <w:tc>
          <w:tcPr>
            <w:tcW w:w="1276" w:type="dxa"/>
            <w:noWrap/>
            <w:vAlign w:val="center"/>
          </w:tcPr>
          <w:p w14:paraId="56304CBF">
            <w:pPr>
              <w:adjustRightInd w:val="0"/>
              <w:snapToGrid w:val="0"/>
              <w:spacing w:line="240" w:lineRule="auto"/>
              <w:jc w:val="center"/>
              <w:rPr>
                <w:rFonts w:ascii="宋体" w:hAnsi="宋体" w:cs="宋体"/>
                <w:szCs w:val="21"/>
              </w:rPr>
            </w:pPr>
            <w:r>
              <w:rPr>
                <w:rFonts w:hint="eastAsia" w:ascii="宋体" w:hAnsi="宋体" w:cs="宋体"/>
                <w:szCs w:val="21"/>
              </w:rPr>
              <w:t>第2.2</w:t>
            </w:r>
            <w:r>
              <w:rPr>
                <w:rFonts w:hint="eastAsia" w:ascii="宋体" w:hAnsi="宋体" w:cs="宋体"/>
                <w:kern w:val="0"/>
                <w:szCs w:val="21"/>
                <w:lang w:val="zh-CN"/>
              </w:rPr>
              <w:t>款</w:t>
            </w:r>
          </w:p>
        </w:tc>
        <w:tc>
          <w:tcPr>
            <w:tcW w:w="2080" w:type="dxa"/>
            <w:noWrap/>
            <w:vAlign w:val="center"/>
          </w:tcPr>
          <w:p w14:paraId="55618CFC">
            <w:pPr>
              <w:adjustRightInd w:val="0"/>
              <w:snapToGrid w:val="0"/>
              <w:spacing w:line="240" w:lineRule="auto"/>
              <w:jc w:val="center"/>
              <w:rPr>
                <w:rFonts w:ascii="宋体" w:hAnsi="宋体" w:cs="宋体"/>
                <w:szCs w:val="21"/>
              </w:rPr>
            </w:pPr>
            <w:r>
              <w:rPr>
                <w:rFonts w:hint="eastAsia" w:ascii="宋体" w:hAnsi="宋体" w:cs="宋体"/>
                <w:szCs w:val="21"/>
              </w:rPr>
              <w:t>采购代理机构</w:t>
            </w:r>
          </w:p>
        </w:tc>
        <w:tc>
          <w:tcPr>
            <w:tcW w:w="6533" w:type="dxa"/>
            <w:noWrap/>
            <w:vAlign w:val="center"/>
          </w:tcPr>
          <w:p w14:paraId="75928943">
            <w:pPr>
              <w:adjustRightInd w:val="0"/>
              <w:snapToGrid w:val="0"/>
              <w:spacing w:line="240" w:lineRule="auto"/>
              <w:rPr>
                <w:rFonts w:hint="eastAsia" w:ascii="宋体" w:hAnsi="宋体" w:eastAsia="宋体" w:cs="宋体"/>
                <w:szCs w:val="21"/>
                <w:lang w:eastAsia="zh-CN"/>
              </w:rPr>
            </w:pPr>
            <w:r>
              <w:rPr>
                <w:rFonts w:hint="eastAsia" w:ascii="宋体" w:hAnsi="宋体" w:cs="宋体"/>
                <w:szCs w:val="21"/>
              </w:rPr>
              <w:t>名  称：</w:t>
            </w:r>
            <w:r>
              <w:rPr>
                <w:rFonts w:hint="eastAsia" w:ascii="宋体" w:hAnsi="宋体" w:cs="宋体"/>
                <w:szCs w:val="21"/>
                <w:lang w:eastAsia="zh-CN"/>
              </w:rPr>
              <w:t>福州市安永工程监理有限公司</w:t>
            </w:r>
          </w:p>
          <w:p w14:paraId="141C9DB0">
            <w:pPr>
              <w:adjustRightInd w:val="0"/>
              <w:snapToGrid w:val="0"/>
              <w:spacing w:line="240" w:lineRule="auto"/>
              <w:rPr>
                <w:rFonts w:hint="eastAsia" w:ascii="宋体" w:hAnsi="宋体" w:cs="宋体"/>
                <w:szCs w:val="21"/>
                <w:lang w:eastAsia="zh-CN"/>
              </w:rPr>
            </w:pPr>
            <w:r>
              <w:rPr>
                <w:rFonts w:hint="eastAsia" w:ascii="宋体" w:hAnsi="宋体" w:cs="宋体"/>
                <w:szCs w:val="21"/>
              </w:rPr>
              <w:t>地  址：</w:t>
            </w:r>
            <w:r>
              <w:rPr>
                <w:rFonts w:hint="eastAsia" w:ascii="宋体" w:hAnsi="宋体" w:cs="宋体"/>
                <w:szCs w:val="21"/>
                <w:lang w:eastAsia="zh-CN"/>
              </w:rPr>
              <w:t>岳阳市岳阳楼区王家河街道巴陵东路鑫泓花园D栋（鑫泓花园右侧商铺）</w:t>
            </w:r>
          </w:p>
          <w:p w14:paraId="4589B931">
            <w:pPr>
              <w:adjustRightInd w:val="0"/>
              <w:snapToGrid w:val="0"/>
              <w:spacing w:line="240" w:lineRule="auto"/>
              <w:rPr>
                <w:rFonts w:hint="eastAsia" w:ascii="宋体" w:hAnsi="宋体" w:eastAsia="宋体" w:cs="宋体"/>
                <w:szCs w:val="21"/>
                <w:lang w:eastAsia="zh-CN"/>
              </w:rPr>
            </w:pPr>
            <w:r>
              <w:rPr>
                <w:rFonts w:hint="eastAsia" w:ascii="宋体" w:hAnsi="宋体" w:cs="宋体"/>
                <w:szCs w:val="21"/>
              </w:rPr>
              <w:t>联系人：</w:t>
            </w:r>
            <w:r>
              <w:rPr>
                <w:rFonts w:hint="eastAsia"/>
                <w:lang w:val="en-US" w:eastAsia="zh-CN"/>
              </w:rPr>
              <w:t>陈兴</w:t>
            </w:r>
          </w:p>
          <w:p w14:paraId="4BC54A63">
            <w:pPr>
              <w:adjustRightInd w:val="0"/>
              <w:snapToGrid w:val="0"/>
              <w:spacing w:line="240" w:lineRule="auto"/>
              <w:rPr>
                <w:rFonts w:hint="eastAsia" w:ascii="宋体" w:hAnsi="宋体" w:eastAsia="宋体" w:cs="宋体"/>
                <w:szCs w:val="21"/>
                <w:lang w:eastAsia="zh-CN"/>
              </w:rPr>
            </w:pPr>
            <w:r>
              <w:rPr>
                <w:rFonts w:hint="eastAsia" w:ascii="宋体" w:hAnsi="宋体" w:eastAsia="宋体" w:cs="宋体"/>
                <w:szCs w:val="21"/>
              </w:rPr>
              <w:t>联系电话：</w:t>
            </w:r>
            <w:r>
              <w:rPr>
                <w:rFonts w:hint="eastAsia" w:ascii="宋体" w:hAnsi="宋体" w:eastAsia="宋体" w:cs="宋体"/>
                <w:lang w:eastAsia="zh-CN"/>
              </w:rPr>
              <w:t>0730-8581818</w:t>
            </w:r>
          </w:p>
        </w:tc>
      </w:tr>
      <w:tr w14:paraId="46CBF1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9" w:hRule="atLeast"/>
        </w:trPr>
        <w:tc>
          <w:tcPr>
            <w:tcW w:w="1276" w:type="dxa"/>
            <w:noWrap/>
            <w:vAlign w:val="center"/>
          </w:tcPr>
          <w:p w14:paraId="2939E76F">
            <w:pPr>
              <w:adjustRightInd w:val="0"/>
              <w:snapToGrid w:val="0"/>
              <w:spacing w:line="240" w:lineRule="auto"/>
              <w:jc w:val="center"/>
              <w:rPr>
                <w:rFonts w:ascii="宋体" w:hAnsi="宋体" w:cs="宋体"/>
                <w:szCs w:val="21"/>
              </w:rPr>
            </w:pPr>
            <w:r>
              <w:rPr>
                <w:rFonts w:hint="eastAsia" w:ascii="宋体" w:hAnsi="宋体" w:cs="宋体"/>
                <w:szCs w:val="21"/>
              </w:rPr>
              <w:t>第2.6款</w:t>
            </w:r>
          </w:p>
        </w:tc>
        <w:tc>
          <w:tcPr>
            <w:tcW w:w="2080" w:type="dxa"/>
            <w:noWrap/>
            <w:vAlign w:val="center"/>
          </w:tcPr>
          <w:p w14:paraId="4201C98E">
            <w:pPr>
              <w:adjustRightInd w:val="0"/>
              <w:snapToGrid w:val="0"/>
              <w:spacing w:line="240" w:lineRule="auto"/>
              <w:jc w:val="center"/>
              <w:rPr>
                <w:rFonts w:ascii="宋体" w:hAnsi="宋体" w:cs="宋体"/>
                <w:bCs/>
                <w:szCs w:val="21"/>
              </w:rPr>
            </w:pPr>
            <w:r>
              <w:rPr>
                <w:rFonts w:hint="eastAsia" w:ascii="宋体" w:hAnsi="宋体" w:cs="宋体"/>
                <w:bCs/>
                <w:szCs w:val="21"/>
              </w:rPr>
              <w:t>采购进口产品</w:t>
            </w:r>
          </w:p>
        </w:tc>
        <w:tc>
          <w:tcPr>
            <w:tcW w:w="6533" w:type="dxa"/>
            <w:noWrap/>
            <w:vAlign w:val="center"/>
          </w:tcPr>
          <w:p w14:paraId="7DAE5117">
            <w:pPr>
              <w:adjustRightInd w:val="0"/>
              <w:snapToGrid w:val="0"/>
              <w:spacing w:line="240" w:lineRule="auto"/>
              <w:rPr>
                <w:rFonts w:ascii="宋体" w:hAnsi="宋体" w:cs="宋体"/>
                <w:szCs w:val="21"/>
              </w:rPr>
            </w:pPr>
            <w:r>
              <w:rPr>
                <w:rFonts w:hint="eastAsia" w:ascii="宋体" w:hAnsi="宋体" w:cs="宋体"/>
                <w:szCs w:val="21"/>
              </w:rPr>
              <w:t>■ 本采购项目拒绝</w:t>
            </w:r>
            <w:r>
              <w:rPr>
                <w:rFonts w:hint="eastAsia" w:ascii="宋体" w:hAnsi="宋体" w:cs="宋体"/>
                <w:kern w:val="0"/>
                <w:szCs w:val="21"/>
              </w:rPr>
              <w:t>进口产品参加投标</w:t>
            </w:r>
          </w:p>
          <w:p w14:paraId="3D9BA1F9">
            <w:pPr>
              <w:adjustRightInd w:val="0"/>
              <w:snapToGrid w:val="0"/>
              <w:spacing w:line="240" w:lineRule="auto"/>
              <w:rPr>
                <w:rFonts w:ascii="宋体" w:hAnsi="宋体" w:cs="宋体"/>
                <w:szCs w:val="21"/>
              </w:rPr>
            </w:pPr>
            <w:r>
              <w:rPr>
                <w:rFonts w:hint="eastAsia" w:ascii="宋体" w:hAnsi="宋体" w:cs="宋体"/>
                <w:szCs w:val="21"/>
              </w:rPr>
              <w:t>□ 本采购项目已经</w:t>
            </w:r>
            <w:r>
              <w:rPr>
                <w:rFonts w:hint="eastAsia" w:ascii="宋体" w:hAnsi="宋体" w:cs="宋体"/>
                <w:kern w:val="0"/>
                <w:szCs w:val="21"/>
              </w:rPr>
              <w:t>财政部门审核同意购买进口产品</w:t>
            </w:r>
          </w:p>
        </w:tc>
      </w:tr>
      <w:tr w14:paraId="6659C6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1D495A91">
            <w:pPr>
              <w:adjustRightInd w:val="0"/>
              <w:snapToGrid w:val="0"/>
              <w:spacing w:line="240" w:lineRule="auto"/>
              <w:jc w:val="center"/>
              <w:rPr>
                <w:rFonts w:ascii="宋体" w:hAnsi="宋体" w:cs="宋体"/>
                <w:szCs w:val="21"/>
              </w:rPr>
            </w:pPr>
            <w:r>
              <w:rPr>
                <w:rFonts w:hint="eastAsia" w:ascii="宋体" w:hAnsi="宋体" w:cs="宋体"/>
                <w:szCs w:val="21"/>
              </w:rPr>
              <w:t>第3.1</w:t>
            </w:r>
            <w:r>
              <w:rPr>
                <w:rFonts w:hint="eastAsia" w:ascii="宋体" w:hAnsi="宋体" w:cs="宋体"/>
                <w:kern w:val="0"/>
                <w:szCs w:val="21"/>
                <w:lang w:val="zh-CN"/>
              </w:rPr>
              <w:t>款</w:t>
            </w:r>
          </w:p>
        </w:tc>
        <w:tc>
          <w:tcPr>
            <w:tcW w:w="2080" w:type="dxa"/>
            <w:noWrap/>
            <w:vAlign w:val="center"/>
          </w:tcPr>
          <w:p w14:paraId="62D9EDAA">
            <w:pPr>
              <w:adjustRightInd w:val="0"/>
              <w:snapToGrid w:val="0"/>
              <w:spacing w:line="240" w:lineRule="auto"/>
              <w:jc w:val="center"/>
              <w:rPr>
                <w:rFonts w:ascii="宋体" w:hAnsi="宋体" w:cs="宋体"/>
                <w:szCs w:val="21"/>
              </w:rPr>
            </w:pPr>
            <w:r>
              <w:rPr>
                <w:rFonts w:hint="eastAsia" w:ascii="宋体" w:hAnsi="宋体" w:cs="宋体"/>
                <w:bCs/>
                <w:szCs w:val="21"/>
              </w:rPr>
              <w:t>投标人</w:t>
            </w:r>
            <w:r>
              <w:rPr>
                <w:rFonts w:hint="eastAsia" w:ascii="宋体" w:hAnsi="宋体" w:cs="宋体"/>
                <w:szCs w:val="21"/>
              </w:rPr>
              <w:t>资格条件</w:t>
            </w:r>
          </w:p>
        </w:tc>
        <w:tc>
          <w:tcPr>
            <w:tcW w:w="6533" w:type="dxa"/>
            <w:noWrap/>
            <w:vAlign w:val="center"/>
          </w:tcPr>
          <w:p w14:paraId="2C93D22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1、投标人的基本资格条件：投标人必须是在中华人民共和国境内注册登记的法人、其他组织或者自然人，且应当符合《政府采购法》第二十二条第一款的规定。</w:t>
            </w:r>
          </w:p>
          <w:p w14:paraId="337A5944">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（1）具有独立承担民事责任的能力；</w:t>
            </w:r>
          </w:p>
          <w:p w14:paraId="744FF7C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（2）具有良好的商业信誉和健全的财务会计制度；</w:t>
            </w:r>
          </w:p>
          <w:p w14:paraId="5AEB8A3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（3）具有履行合同所必需的设备和专业技术能力；</w:t>
            </w:r>
          </w:p>
          <w:p w14:paraId="45EB2003">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（4）有依法缴纳税收和社会保障资金的良好记录；</w:t>
            </w:r>
          </w:p>
          <w:p w14:paraId="5BF58777">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（5）参加政府采购活动前三年内，在经营活动中没有重大违法记录；</w:t>
            </w:r>
          </w:p>
          <w:p w14:paraId="77836A13">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（6）法律、行政法规规定的其他条件。</w:t>
            </w:r>
          </w:p>
          <w:p w14:paraId="27798B75">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2、落实政府采购政策需满足的资格要求：</w:t>
            </w:r>
          </w:p>
          <w:p w14:paraId="2BE852C5">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sym w:font="Wingdings" w:char="00A8"/>
            </w:r>
            <w:r>
              <w:rPr>
                <w:rFonts w:hint="eastAsia" w:ascii="宋体" w:hAnsi="宋体" w:cs="宋体"/>
              </w:rPr>
              <w:t>专门面向：</w:t>
            </w:r>
            <w:r>
              <w:rPr>
                <w:rFonts w:hint="eastAsia" w:ascii="宋体" w:hAnsi="宋体" w:cs="宋体"/>
              </w:rPr>
              <w:sym w:font="Wingdings" w:char="00A8"/>
            </w:r>
            <w:r>
              <w:rPr>
                <w:rFonts w:hint="eastAsia" w:ascii="宋体" w:hAnsi="宋体" w:cs="宋体"/>
              </w:rPr>
              <w:t xml:space="preserve">中小企业  </w:t>
            </w:r>
            <w:r>
              <w:rPr>
                <w:rFonts w:hint="eastAsia" w:ascii="宋体" w:hAnsi="宋体" w:cs="宋体"/>
              </w:rPr>
              <w:sym w:font="Wingdings" w:char="00A8"/>
            </w:r>
            <w:r>
              <w:rPr>
                <w:rFonts w:hint="eastAsia" w:ascii="宋体" w:hAnsi="宋体" w:cs="宋体"/>
              </w:rPr>
              <w:t xml:space="preserve">小微企业 </w:t>
            </w:r>
            <w:r>
              <w:rPr>
                <w:rFonts w:hint="eastAsia" w:ascii="宋体" w:hAnsi="宋体" w:cs="宋体"/>
              </w:rPr>
              <w:sym w:font="Wingdings" w:char="00A8"/>
            </w:r>
            <w:r>
              <w:rPr>
                <w:rFonts w:hint="eastAsia" w:ascii="宋体" w:hAnsi="宋体" w:cs="宋体"/>
              </w:rPr>
              <w:t xml:space="preserve">监狱企业 </w:t>
            </w:r>
            <w:r>
              <w:rPr>
                <w:rFonts w:hint="eastAsia" w:ascii="宋体" w:hAnsi="宋体" w:cs="宋体"/>
              </w:rPr>
              <w:sym w:font="Wingdings" w:char="00A8"/>
            </w:r>
            <w:r>
              <w:rPr>
                <w:rFonts w:hint="eastAsia" w:ascii="宋体" w:hAnsi="宋体" w:cs="宋体"/>
              </w:rPr>
              <w:t>福利性单位。</w:t>
            </w:r>
          </w:p>
          <w:p w14:paraId="1C210292">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rPr>
            </w:pPr>
            <w:r>
              <w:rPr>
                <w:rFonts w:hint="eastAsia" w:ascii="宋体" w:hAnsi="宋体" w:cs="宋体"/>
              </w:rPr>
              <w:sym w:font="Wingdings" w:char="00A8"/>
            </w:r>
            <w:r>
              <w:rPr>
                <w:rFonts w:hint="eastAsia" w:ascii="宋体" w:hAnsi="宋体" w:cs="宋体"/>
              </w:rPr>
              <w:t>强制分包：大型企业应将采购份额的         %分包给中小企业。</w:t>
            </w:r>
          </w:p>
          <w:p w14:paraId="03651DAE">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rPr>
            </w:pPr>
            <w:r>
              <w:rPr>
                <w:rFonts w:hint="eastAsia" w:ascii="宋体" w:hAnsi="宋体" w:cs="宋体"/>
                <w:lang w:val="en-US" w:eastAsia="zh-CN"/>
              </w:rPr>
              <w:t>3、</w:t>
            </w:r>
            <w:r>
              <w:rPr>
                <w:rFonts w:hint="eastAsia" w:ascii="宋体" w:hAnsi="宋体" w:cs="宋体"/>
              </w:rPr>
              <w:t>采购项目的特定资格条件：</w:t>
            </w:r>
          </w:p>
          <w:p w14:paraId="5E33F825">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b/>
                <w:bCs/>
              </w:rPr>
            </w:pPr>
            <w:r>
              <w:rPr>
                <w:rFonts w:hint="eastAsia" w:ascii="宋体" w:hAnsi="宋体" w:cs="宋体"/>
                <w:b/>
                <w:bCs/>
              </w:rPr>
              <w:t>（1）所投货物纳入医疗器械管理的，须具有相应的医疗器械经营许可证（或备案凭证）、或有效的医疗器械生产许可证（或备案凭证）、且证件在有效期内。</w:t>
            </w:r>
          </w:p>
          <w:p w14:paraId="46E4BDD9">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b/>
                <w:bCs/>
              </w:rPr>
            </w:pPr>
            <w:r>
              <w:rPr>
                <w:rFonts w:hint="eastAsia" w:ascii="宋体" w:hAnsi="宋体" w:cs="宋体"/>
                <w:b/>
                <w:bCs/>
              </w:rPr>
              <w:t>（2）所投货物纳入医疗器械管理的，货物须具有有效的医疗器械注册证（或备案凭证）且在证件有效期内生产。</w:t>
            </w:r>
          </w:p>
          <w:p w14:paraId="05368846">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注：</w:t>
            </w:r>
            <w:r>
              <w:rPr>
                <w:rFonts w:hint="eastAsia" w:ascii="宋体" w:hAnsi="宋体" w:cs="宋体"/>
                <w:lang w:val="en-US" w:eastAsia="zh-CN"/>
              </w:rPr>
              <w:t>1.</w:t>
            </w:r>
            <w:r>
              <w:rPr>
                <w:rFonts w:hint="eastAsia" w:ascii="宋体" w:hAnsi="宋体" w:cs="宋体"/>
              </w:rPr>
              <w:t>被“信用中国”网站（www.creditchina.gov.cn）或“湖南信用网”（https://credit.fgw.hunan.gov.cn/)列入失信被执行人和重大税收违法失信主体的、被“中国政府采购网”（www.ccgp.gov.cn）或“湖南政府采购网”（www.ccgp-hunan.gov.cn)网站列入政府采购严重违法失信行为记录名单（处罚期限尚未届满的），不得参与本项目的政府采购活动；提供投标截止日前一个月内以上网站查询记录的网上截图。</w:t>
            </w:r>
          </w:p>
          <w:p w14:paraId="5750CC19">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lang w:val="en-US" w:eastAsia="zh-CN"/>
              </w:rPr>
              <w:t>2.</w:t>
            </w:r>
            <w:r>
              <w:rPr>
                <w:rFonts w:hint="eastAsia" w:ascii="宋体" w:hAnsi="宋体" w:cs="宋体"/>
              </w:rPr>
              <w:t>根据《湖南省财政厅湖南省工业和信息化厅关于运用政府采购促进中小企业发展有关事项的通知》（湘财购【2021】16号文）和《湖南省财政厅关于政府采购促进中小企业发展有关措施的通知》（湘财购【2022】17号文），符合法定条件的供应商凭《湖南省政府采购供应商资格承诺函》（格式详见（湘财购【2022】17号文））参与政府采购活动，也可通过在金融机构办理电子增信取得对应信用星级参与政府采购活动和电子卖场交易，无需提供财务状况、缴纳税收和社会保障资金等资格证明材料。经采购人或监管部门查实，提供虚假承诺的供应商将以虚假资料谋取中标（成交）的违法行为，被列入不良记录名单，采购人有权取消其中标资格。</w:t>
            </w:r>
          </w:p>
          <w:p w14:paraId="5145F8AF">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4、单位负责人为同一人或者存在直接控股、管理关系的不同投标人，不得参加同一合同项下的政府采购活动。</w:t>
            </w:r>
          </w:p>
          <w:p w14:paraId="660BEA7F">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5、为本采购项目提供整体设计、规范编制或者项目管理、监理、检测等服务的，不得再参加此项目的其他采购活动。</w:t>
            </w:r>
          </w:p>
          <w:p w14:paraId="5AE8901C">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6、列入失信被执行人、重大税收违法失信主体名单、政府采购严重违法失信行为记录名单的，拒绝其参与政府采购活动。</w:t>
            </w:r>
          </w:p>
          <w:p w14:paraId="50754034">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7、联合体投标。本次招标不接受联合体投标。接受联合体投标的，联合体应当具备下列条件：  /  。</w:t>
            </w:r>
          </w:p>
        </w:tc>
      </w:tr>
      <w:tr w14:paraId="429893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02BCC367">
            <w:pPr>
              <w:adjustRightInd w:val="0"/>
              <w:snapToGrid w:val="0"/>
              <w:spacing w:line="240" w:lineRule="auto"/>
              <w:jc w:val="center"/>
              <w:rPr>
                <w:rFonts w:ascii="宋体" w:hAnsi="宋体" w:cs="宋体"/>
                <w:szCs w:val="21"/>
              </w:rPr>
            </w:pPr>
            <w:r>
              <w:rPr>
                <w:rFonts w:hint="eastAsia" w:ascii="宋体" w:hAnsi="宋体" w:cs="宋体"/>
                <w:szCs w:val="21"/>
              </w:rPr>
              <w:t>第6.1</w:t>
            </w:r>
            <w:r>
              <w:rPr>
                <w:rFonts w:hint="eastAsia" w:ascii="宋体" w:hAnsi="宋体" w:cs="宋体"/>
                <w:kern w:val="0"/>
                <w:szCs w:val="21"/>
                <w:lang w:val="zh-CN"/>
              </w:rPr>
              <w:t>款</w:t>
            </w:r>
          </w:p>
        </w:tc>
        <w:tc>
          <w:tcPr>
            <w:tcW w:w="2080" w:type="dxa"/>
            <w:noWrap/>
            <w:vAlign w:val="center"/>
          </w:tcPr>
          <w:p w14:paraId="4656CF91">
            <w:pPr>
              <w:adjustRightInd w:val="0"/>
              <w:snapToGrid w:val="0"/>
              <w:spacing w:line="240" w:lineRule="auto"/>
              <w:jc w:val="center"/>
              <w:rPr>
                <w:rFonts w:ascii="宋体" w:hAnsi="宋体" w:cs="宋体"/>
                <w:szCs w:val="21"/>
              </w:rPr>
            </w:pPr>
            <w:r>
              <w:rPr>
                <w:rFonts w:hint="eastAsia" w:ascii="宋体" w:hAnsi="宋体" w:cs="宋体"/>
                <w:szCs w:val="21"/>
              </w:rPr>
              <w:t>组织现场考察或者召开答疑会</w:t>
            </w:r>
          </w:p>
        </w:tc>
        <w:tc>
          <w:tcPr>
            <w:tcW w:w="6533" w:type="dxa"/>
            <w:noWrap/>
            <w:vAlign w:val="center"/>
          </w:tcPr>
          <w:p w14:paraId="2314BC37">
            <w:pPr>
              <w:adjustRightInd w:val="0"/>
              <w:snapToGrid w:val="0"/>
              <w:spacing w:line="240" w:lineRule="auto"/>
              <w:rPr>
                <w:rFonts w:ascii="宋体" w:hAnsi="宋体" w:cs="宋体"/>
                <w:szCs w:val="21"/>
              </w:rPr>
            </w:pPr>
            <w:r>
              <w:rPr>
                <w:rFonts w:hint="eastAsia" w:ascii="宋体" w:hAnsi="宋体" w:cs="宋体"/>
                <w:szCs w:val="21"/>
              </w:rPr>
              <w:t>■ 不组织</w:t>
            </w:r>
          </w:p>
          <w:p w14:paraId="3E5F04A2">
            <w:pPr>
              <w:adjustRightInd w:val="0"/>
              <w:snapToGrid w:val="0"/>
              <w:spacing w:line="240" w:lineRule="auto"/>
              <w:rPr>
                <w:rFonts w:ascii="宋体" w:hAnsi="宋体" w:cs="宋体"/>
                <w:szCs w:val="21"/>
              </w:rPr>
            </w:pPr>
            <w:r>
              <w:rPr>
                <w:rFonts w:hint="eastAsia" w:ascii="宋体" w:hAnsi="宋体" w:cs="宋体"/>
                <w:szCs w:val="21"/>
              </w:rPr>
              <w:t>□ 组织，时间：</w:t>
            </w:r>
            <w:r>
              <w:rPr>
                <w:rFonts w:hint="eastAsia" w:ascii="宋体" w:hAnsi="宋体" w:cs="宋体"/>
                <w:szCs w:val="21"/>
                <w:u w:val="single"/>
              </w:rPr>
              <w:t xml:space="preserve">        </w:t>
            </w:r>
            <w:r>
              <w:rPr>
                <w:rFonts w:hint="eastAsia" w:ascii="宋体" w:hAnsi="宋体" w:cs="宋体"/>
                <w:szCs w:val="21"/>
              </w:rPr>
              <w:t>地点：</w:t>
            </w:r>
            <w:r>
              <w:rPr>
                <w:rFonts w:hint="eastAsia" w:ascii="宋体" w:hAnsi="宋体" w:cs="宋体"/>
                <w:szCs w:val="21"/>
                <w:u w:val="single"/>
              </w:rPr>
              <w:t xml:space="preserve">        </w:t>
            </w:r>
            <w:r>
              <w:rPr>
                <w:rFonts w:hint="eastAsia" w:ascii="宋体" w:hAnsi="宋体" w:cs="宋体"/>
                <w:szCs w:val="21"/>
              </w:rPr>
              <w:t xml:space="preserve"> 联系人：</w:t>
            </w:r>
            <w:r>
              <w:rPr>
                <w:rFonts w:hint="eastAsia" w:ascii="宋体" w:hAnsi="宋体" w:cs="宋体"/>
                <w:szCs w:val="21"/>
                <w:u w:val="single"/>
              </w:rPr>
              <w:t xml:space="preserve">        </w:t>
            </w:r>
            <w:r>
              <w:rPr>
                <w:rFonts w:hint="eastAsia" w:ascii="宋体" w:hAnsi="宋体" w:cs="宋体"/>
                <w:szCs w:val="21"/>
              </w:rPr>
              <w:t>，或者在招标文件提供期限截止后以书面形式通知所有获取招标文件的潜在投标人。</w:t>
            </w:r>
          </w:p>
        </w:tc>
      </w:tr>
      <w:tr w14:paraId="5BDA3D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61" w:hRule="atLeast"/>
        </w:trPr>
        <w:tc>
          <w:tcPr>
            <w:tcW w:w="1276" w:type="dxa"/>
            <w:noWrap/>
            <w:vAlign w:val="center"/>
          </w:tcPr>
          <w:p w14:paraId="6E2DDE98">
            <w:pPr>
              <w:adjustRightInd w:val="0"/>
              <w:snapToGrid w:val="0"/>
              <w:spacing w:line="240" w:lineRule="auto"/>
              <w:jc w:val="center"/>
              <w:rPr>
                <w:rFonts w:ascii="宋体" w:hAnsi="宋体" w:cs="宋体"/>
                <w:szCs w:val="21"/>
              </w:rPr>
            </w:pPr>
            <w:r>
              <w:rPr>
                <w:rFonts w:hint="eastAsia" w:ascii="宋体" w:hAnsi="宋体" w:cs="宋体"/>
                <w:szCs w:val="21"/>
              </w:rPr>
              <w:t>第6.2</w:t>
            </w:r>
            <w:r>
              <w:rPr>
                <w:rFonts w:hint="eastAsia" w:ascii="宋体" w:hAnsi="宋体" w:cs="宋体"/>
                <w:kern w:val="0"/>
                <w:szCs w:val="21"/>
                <w:lang w:val="zh-CN"/>
              </w:rPr>
              <w:t>款</w:t>
            </w:r>
          </w:p>
        </w:tc>
        <w:tc>
          <w:tcPr>
            <w:tcW w:w="2080" w:type="dxa"/>
            <w:noWrap/>
            <w:vAlign w:val="center"/>
          </w:tcPr>
          <w:p w14:paraId="17B76FDE">
            <w:pPr>
              <w:adjustRightInd w:val="0"/>
              <w:snapToGrid w:val="0"/>
              <w:spacing w:line="240" w:lineRule="auto"/>
              <w:jc w:val="center"/>
              <w:rPr>
                <w:rFonts w:ascii="宋体" w:hAnsi="宋体" w:cs="宋体"/>
                <w:szCs w:val="21"/>
              </w:rPr>
            </w:pPr>
            <w:r>
              <w:rPr>
                <w:rFonts w:hint="eastAsia" w:ascii="宋体" w:hAnsi="宋体" w:cs="宋体"/>
                <w:szCs w:val="21"/>
              </w:rPr>
              <w:t>投标人要求澄清招标文件的时间</w:t>
            </w:r>
          </w:p>
        </w:tc>
        <w:tc>
          <w:tcPr>
            <w:tcW w:w="6533" w:type="dxa"/>
            <w:noWrap/>
            <w:vAlign w:val="center"/>
          </w:tcPr>
          <w:p w14:paraId="1BD2CA86">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szCs w:val="21"/>
              </w:rPr>
            </w:pPr>
            <w:r>
              <w:rPr>
                <w:rFonts w:hint="eastAsia" w:ascii="宋体" w:hAnsi="宋体"/>
                <w:szCs w:val="21"/>
              </w:rPr>
              <w:t>投标人对政府采购活动事项如有疑问的，可以向采购人或采购代理机构提出询问。采购人或采购代理机构将在3个工作日内作出答复。</w:t>
            </w:r>
          </w:p>
          <w:p w14:paraId="695EF6D3">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szCs w:val="21"/>
              </w:rPr>
            </w:pPr>
            <w:r>
              <w:rPr>
                <w:rFonts w:hint="eastAsia" w:ascii="宋体" w:hAnsi="宋体"/>
                <w:szCs w:val="21"/>
              </w:rPr>
              <w:t>潜在投标人认为招标文件或招标公告使自己的合法权益受到损害的，可以在收到招标文件之日或招标公告期限届满之日起7个工作日内，按《湖南省财政厅关于印发＜政府采购质疑答复和投诉处理操作规程＞的通知》(湘财购〔2024〕67号)规定，以书面形式向采购人、采购代理机构提出质疑。</w:t>
            </w:r>
          </w:p>
        </w:tc>
      </w:tr>
      <w:tr w14:paraId="246FB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889" w:type="dxa"/>
            <w:gridSpan w:val="3"/>
            <w:noWrap/>
            <w:vAlign w:val="center"/>
          </w:tcPr>
          <w:p w14:paraId="5A85F0A3">
            <w:pPr>
              <w:adjustRightInd w:val="0"/>
              <w:snapToGrid w:val="0"/>
              <w:spacing w:line="240" w:lineRule="auto"/>
              <w:rPr>
                <w:rFonts w:ascii="宋体" w:hAnsi="宋体" w:cs="宋体"/>
                <w:b/>
                <w:szCs w:val="21"/>
              </w:rPr>
            </w:pPr>
            <w:r>
              <w:rPr>
                <w:rFonts w:hint="eastAsia" w:ascii="宋体" w:hAnsi="宋体" w:cs="宋体"/>
                <w:b/>
                <w:szCs w:val="21"/>
              </w:rPr>
              <w:t>二、招标文件</w:t>
            </w:r>
          </w:p>
        </w:tc>
      </w:tr>
      <w:tr w14:paraId="789C4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trPr>
        <w:tc>
          <w:tcPr>
            <w:tcW w:w="1276" w:type="dxa"/>
            <w:noWrap/>
            <w:vAlign w:val="center"/>
          </w:tcPr>
          <w:p w14:paraId="3B03DC07">
            <w:pPr>
              <w:adjustRightInd w:val="0"/>
              <w:snapToGrid w:val="0"/>
              <w:spacing w:line="240" w:lineRule="auto"/>
              <w:jc w:val="center"/>
              <w:rPr>
                <w:rFonts w:ascii="宋体" w:hAnsi="宋体" w:cs="宋体"/>
                <w:szCs w:val="21"/>
              </w:rPr>
            </w:pPr>
            <w:r>
              <w:rPr>
                <w:rFonts w:hint="eastAsia" w:ascii="宋体" w:hAnsi="宋体" w:cs="宋体"/>
                <w:szCs w:val="21"/>
              </w:rPr>
              <w:t>第7.3</w:t>
            </w:r>
            <w:r>
              <w:rPr>
                <w:rFonts w:hint="eastAsia" w:ascii="宋体" w:hAnsi="宋体" w:cs="宋体"/>
                <w:kern w:val="0"/>
                <w:szCs w:val="21"/>
                <w:lang w:val="zh-CN"/>
              </w:rPr>
              <w:t>款</w:t>
            </w:r>
          </w:p>
        </w:tc>
        <w:tc>
          <w:tcPr>
            <w:tcW w:w="2080" w:type="dxa"/>
            <w:noWrap/>
            <w:vAlign w:val="center"/>
          </w:tcPr>
          <w:p w14:paraId="3BF52897">
            <w:pPr>
              <w:adjustRightInd w:val="0"/>
              <w:snapToGrid w:val="0"/>
              <w:spacing w:line="240" w:lineRule="auto"/>
              <w:jc w:val="center"/>
              <w:rPr>
                <w:rFonts w:ascii="宋体" w:hAnsi="宋体" w:cs="宋体"/>
                <w:szCs w:val="21"/>
              </w:rPr>
            </w:pPr>
            <w:r>
              <w:rPr>
                <w:rFonts w:hint="eastAsia" w:ascii="宋体" w:hAnsi="宋体" w:cs="宋体"/>
                <w:szCs w:val="21"/>
              </w:rPr>
              <w:t>信息公告媒体</w:t>
            </w:r>
          </w:p>
        </w:tc>
        <w:tc>
          <w:tcPr>
            <w:tcW w:w="6533" w:type="dxa"/>
            <w:noWrap/>
            <w:vAlign w:val="center"/>
          </w:tcPr>
          <w:p w14:paraId="0F8D3DB1">
            <w:pPr>
              <w:adjustRightInd w:val="0"/>
              <w:snapToGrid w:val="0"/>
              <w:spacing w:line="240" w:lineRule="auto"/>
              <w:jc w:val="left"/>
              <w:rPr>
                <w:rFonts w:ascii="宋体" w:hAnsi="宋体" w:cs="宋体"/>
                <w:szCs w:val="21"/>
              </w:rPr>
            </w:pPr>
            <w:r>
              <w:rPr>
                <w:rFonts w:hint="eastAsia" w:ascii="宋体" w:hAnsi="宋体" w:cs="宋体"/>
                <w:szCs w:val="21"/>
              </w:rPr>
              <w:t>湖南省岳阳市政府采购网（http://www.ccgp-hunan.gov.cn/portal_city.jsp?area_id=54</w:t>
            </w:r>
            <w:r>
              <w:rPr>
                <w:rFonts w:hint="eastAsia" w:ascii="宋体" w:hAnsi="宋体" w:cs="宋体"/>
                <w:bCs/>
                <w:szCs w:val="21"/>
              </w:rPr>
              <w:t>）</w:t>
            </w:r>
          </w:p>
          <w:p w14:paraId="445536DF">
            <w:pPr>
              <w:adjustRightInd w:val="0"/>
              <w:snapToGrid w:val="0"/>
              <w:spacing w:line="240" w:lineRule="auto"/>
              <w:jc w:val="left"/>
              <w:rPr>
                <w:rFonts w:ascii="宋体" w:hAnsi="宋体" w:cs="宋体"/>
                <w:szCs w:val="21"/>
              </w:rPr>
            </w:pPr>
            <w:r>
              <w:rPr>
                <w:rFonts w:hint="eastAsia" w:ascii="宋体" w:hAnsi="宋体" w:cs="宋体"/>
              </w:rPr>
              <w:t>岳阳市公共资源交易网（</w:t>
            </w:r>
            <w:r>
              <w:fldChar w:fldCharType="begin"/>
            </w:r>
            <w:r>
              <w:instrText xml:space="preserve"> HYPERLINK "http://ggzy.yueyang.gov.cn/" </w:instrText>
            </w:r>
            <w:r>
              <w:fldChar w:fldCharType="separate"/>
            </w:r>
            <w:r>
              <w:rPr>
                <w:rStyle w:val="51"/>
                <w:rFonts w:hint="eastAsia" w:ascii="宋体" w:hAnsi="宋体" w:cs="宋体"/>
                <w:color w:val="auto"/>
              </w:rPr>
              <w:t>http://ggzy.yueyang.gov.cn/</w:t>
            </w:r>
            <w:r>
              <w:rPr>
                <w:rStyle w:val="51"/>
                <w:rFonts w:hint="eastAsia" w:ascii="宋体" w:hAnsi="宋体" w:cs="宋体"/>
                <w:color w:val="auto"/>
              </w:rPr>
              <w:fldChar w:fldCharType="end"/>
            </w:r>
            <w:r>
              <w:rPr>
                <w:rFonts w:hint="eastAsia" w:ascii="宋体" w:hAnsi="宋体" w:cs="宋体"/>
              </w:rPr>
              <w:t>）</w:t>
            </w:r>
          </w:p>
        </w:tc>
      </w:tr>
      <w:tr w14:paraId="19F53C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76" w:type="dxa"/>
            <w:noWrap/>
            <w:vAlign w:val="center"/>
          </w:tcPr>
          <w:p w14:paraId="4EE35560">
            <w:pPr>
              <w:adjustRightInd w:val="0"/>
              <w:snapToGrid w:val="0"/>
              <w:spacing w:line="240" w:lineRule="auto"/>
              <w:jc w:val="center"/>
              <w:rPr>
                <w:rFonts w:ascii="宋体" w:hAnsi="宋体" w:cs="宋体"/>
                <w:szCs w:val="21"/>
              </w:rPr>
            </w:pPr>
            <w:r>
              <w:rPr>
                <w:rFonts w:hint="eastAsia" w:ascii="宋体" w:hAnsi="宋体" w:cs="宋体"/>
                <w:szCs w:val="21"/>
              </w:rPr>
              <w:t>第8.2</w:t>
            </w:r>
            <w:r>
              <w:rPr>
                <w:rFonts w:hint="eastAsia" w:ascii="宋体" w:hAnsi="宋体" w:cs="宋体"/>
                <w:kern w:val="0"/>
                <w:szCs w:val="21"/>
                <w:lang w:val="zh-CN"/>
              </w:rPr>
              <w:t>款</w:t>
            </w:r>
          </w:p>
        </w:tc>
        <w:tc>
          <w:tcPr>
            <w:tcW w:w="2080" w:type="dxa"/>
            <w:noWrap/>
            <w:vAlign w:val="center"/>
          </w:tcPr>
          <w:p w14:paraId="1CE504B2">
            <w:pPr>
              <w:adjustRightInd w:val="0"/>
              <w:snapToGrid w:val="0"/>
              <w:spacing w:line="240" w:lineRule="auto"/>
              <w:jc w:val="center"/>
              <w:rPr>
                <w:rFonts w:ascii="宋体" w:hAnsi="宋体" w:cs="宋体"/>
                <w:szCs w:val="21"/>
              </w:rPr>
            </w:pPr>
            <w:r>
              <w:rPr>
                <w:rFonts w:hint="eastAsia" w:ascii="宋体" w:hAnsi="宋体" w:cs="宋体"/>
                <w:szCs w:val="21"/>
              </w:rPr>
              <w:t>非实质性要求条款允许偏离的最多项数或范围</w:t>
            </w:r>
          </w:p>
        </w:tc>
        <w:tc>
          <w:tcPr>
            <w:tcW w:w="6533" w:type="dxa"/>
            <w:noWrap/>
            <w:vAlign w:val="center"/>
          </w:tcPr>
          <w:p w14:paraId="15751970">
            <w:pPr>
              <w:adjustRightInd w:val="0"/>
              <w:snapToGrid w:val="0"/>
              <w:spacing w:line="240" w:lineRule="auto"/>
              <w:rPr>
                <w:rFonts w:ascii="宋体" w:hAnsi="宋体" w:cs="宋体"/>
                <w:szCs w:val="21"/>
                <w:u w:val="single"/>
              </w:rPr>
            </w:pPr>
            <w:r>
              <w:rPr>
                <w:rFonts w:hint="eastAsia" w:ascii="宋体" w:hAnsi="宋体"/>
                <w:szCs w:val="21"/>
              </w:rPr>
              <w:t xml:space="preserve">非实质性要求条款允许偏离的最多项数≥ </w:t>
            </w:r>
            <w:r>
              <w:rPr>
                <w:rFonts w:hint="eastAsia" w:ascii="宋体" w:hAnsi="宋体"/>
                <w:szCs w:val="21"/>
                <w:lang w:val="en-US" w:eastAsia="zh-CN"/>
              </w:rPr>
              <w:t xml:space="preserve">10 </w:t>
            </w:r>
            <w:r>
              <w:rPr>
                <w:rFonts w:hint="eastAsia" w:ascii="宋体" w:hAnsi="宋体"/>
                <w:szCs w:val="21"/>
              </w:rPr>
              <w:t>项将导致投标无效。</w:t>
            </w:r>
          </w:p>
        </w:tc>
      </w:tr>
      <w:tr w14:paraId="41076C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1276" w:type="dxa"/>
            <w:noWrap/>
            <w:vAlign w:val="center"/>
          </w:tcPr>
          <w:p w14:paraId="11EF1E9E">
            <w:pPr>
              <w:adjustRightInd w:val="0"/>
              <w:snapToGrid w:val="0"/>
              <w:spacing w:line="240" w:lineRule="auto"/>
              <w:jc w:val="center"/>
              <w:rPr>
                <w:rFonts w:ascii="宋体" w:hAnsi="宋体" w:cs="宋体"/>
                <w:szCs w:val="21"/>
              </w:rPr>
            </w:pPr>
            <w:r>
              <w:rPr>
                <w:rFonts w:hint="eastAsia" w:ascii="宋体" w:hAnsi="宋体" w:cs="宋体"/>
                <w:szCs w:val="21"/>
              </w:rPr>
              <w:t>第10.2</w:t>
            </w:r>
            <w:r>
              <w:rPr>
                <w:rFonts w:hint="eastAsia" w:ascii="宋体" w:hAnsi="宋体" w:cs="宋体"/>
                <w:kern w:val="0"/>
                <w:szCs w:val="21"/>
                <w:lang w:val="zh-CN"/>
              </w:rPr>
              <w:t>款</w:t>
            </w:r>
          </w:p>
        </w:tc>
        <w:tc>
          <w:tcPr>
            <w:tcW w:w="2080" w:type="dxa"/>
            <w:noWrap/>
            <w:vAlign w:val="center"/>
          </w:tcPr>
          <w:p w14:paraId="0AFF310A">
            <w:pPr>
              <w:adjustRightInd w:val="0"/>
              <w:snapToGrid w:val="0"/>
              <w:spacing w:line="240" w:lineRule="auto"/>
              <w:jc w:val="center"/>
              <w:rPr>
                <w:rFonts w:ascii="宋体" w:hAnsi="宋体" w:cs="宋体"/>
                <w:szCs w:val="21"/>
              </w:rPr>
            </w:pPr>
            <w:r>
              <w:rPr>
                <w:rFonts w:hint="eastAsia" w:ascii="宋体" w:hAnsi="宋体" w:cs="宋体"/>
                <w:szCs w:val="21"/>
              </w:rPr>
              <w:t>提交投标文件截止期时间</w:t>
            </w:r>
          </w:p>
        </w:tc>
        <w:tc>
          <w:tcPr>
            <w:tcW w:w="6533" w:type="dxa"/>
            <w:noWrap/>
            <w:vAlign w:val="center"/>
          </w:tcPr>
          <w:p w14:paraId="3C2D2A5C">
            <w:pPr>
              <w:adjustRightInd w:val="0"/>
              <w:snapToGrid w:val="0"/>
              <w:spacing w:line="240" w:lineRule="auto"/>
              <w:rPr>
                <w:rFonts w:ascii="宋体" w:hAnsi="宋体" w:cs="宋体"/>
                <w:szCs w:val="21"/>
              </w:rPr>
            </w:pPr>
            <w:r>
              <w:rPr>
                <w:rFonts w:hint="eastAsia" w:ascii="宋体" w:hAnsi="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cs="宋体"/>
                <w:color w:val="auto"/>
                <w:szCs w:val="21"/>
                <w:u w:val="single"/>
              </w:rPr>
              <w:t>年</w:t>
            </w:r>
            <w:r>
              <w:rPr>
                <w:rFonts w:hint="eastAsia" w:ascii="宋体" w:hAnsi="宋体" w:cs="宋体"/>
                <w:color w:val="auto"/>
                <w:szCs w:val="21"/>
                <w:u w:val="single"/>
                <w:lang w:val="en-US" w:eastAsia="zh-CN"/>
              </w:rPr>
              <w:t xml:space="preserve"> 09</w:t>
            </w:r>
            <w:r>
              <w:rPr>
                <w:rFonts w:hint="eastAsia" w:ascii="宋体" w:hAnsi="宋体" w:cs="宋体"/>
                <w:color w:val="auto"/>
                <w:szCs w:val="21"/>
                <w:u w:val="single"/>
              </w:rPr>
              <w:t>月</w:t>
            </w:r>
            <w:r>
              <w:rPr>
                <w:rFonts w:hint="eastAsia" w:ascii="宋体" w:hAnsi="宋体" w:cs="宋体"/>
                <w:color w:val="auto"/>
                <w:szCs w:val="21"/>
                <w:u w:val="single"/>
                <w:lang w:val="en-US" w:eastAsia="zh-CN"/>
              </w:rPr>
              <w:t xml:space="preserve"> 22 </w:t>
            </w:r>
            <w:r>
              <w:rPr>
                <w:rFonts w:hint="eastAsia" w:ascii="宋体" w:hAnsi="宋体" w:cs="宋体"/>
                <w:color w:val="auto"/>
                <w:szCs w:val="21"/>
                <w:u w:val="single"/>
              </w:rPr>
              <w:t>日（星期</w:t>
            </w:r>
            <w:r>
              <w:rPr>
                <w:rFonts w:hint="eastAsia" w:ascii="宋体" w:hAnsi="宋体" w:cs="宋体"/>
                <w:color w:val="auto"/>
                <w:szCs w:val="21"/>
                <w:u w:val="single"/>
                <w:lang w:val="en-US" w:eastAsia="zh-CN"/>
              </w:rPr>
              <w:t xml:space="preserve">二 </w:t>
            </w:r>
            <w:r>
              <w:rPr>
                <w:rFonts w:hint="eastAsia" w:ascii="宋体" w:hAnsi="宋体" w:cs="宋体"/>
                <w:color w:val="auto"/>
                <w:szCs w:val="21"/>
                <w:u w:val="single"/>
              </w:rPr>
              <w:t>）09时30分（北京时间）</w:t>
            </w:r>
          </w:p>
        </w:tc>
      </w:tr>
      <w:tr w14:paraId="16C5EF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5" w:hRule="atLeast"/>
        </w:trPr>
        <w:tc>
          <w:tcPr>
            <w:tcW w:w="9889" w:type="dxa"/>
            <w:gridSpan w:val="3"/>
            <w:noWrap/>
            <w:vAlign w:val="center"/>
          </w:tcPr>
          <w:p w14:paraId="6C7E50F4">
            <w:pPr>
              <w:adjustRightInd w:val="0"/>
              <w:snapToGrid w:val="0"/>
              <w:spacing w:line="240" w:lineRule="auto"/>
              <w:rPr>
                <w:rFonts w:ascii="宋体" w:hAnsi="宋体" w:cs="宋体"/>
                <w:szCs w:val="21"/>
              </w:rPr>
            </w:pPr>
            <w:r>
              <w:rPr>
                <w:rFonts w:hint="eastAsia" w:ascii="宋体" w:hAnsi="宋体" w:cs="宋体"/>
                <w:b/>
                <w:szCs w:val="21"/>
              </w:rPr>
              <w:t>三、投标文件</w:t>
            </w:r>
          </w:p>
        </w:tc>
      </w:tr>
      <w:tr w14:paraId="797409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76" w:type="dxa"/>
            <w:noWrap/>
            <w:vAlign w:val="center"/>
          </w:tcPr>
          <w:p w14:paraId="79D876B1">
            <w:pPr>
              <w:adjustRightInd w:val="0"/>
              <w:snapToGrid w:val="0"/>
              <w:spacing w:line="240" w:lineRule="auto"/>
              <w:jc w:val="center"/>
              <w:rPr>
                <w:rFonts w:ascii="宋体" w:hAnsi="宋体" w:cs="宋体"/>
                <w:szCs w:val="21"/>
              </w:rPr>
            </w:pPr>
            <w:r>
              <w:rPr>
                <w:rFonts w:hint="eastAsia" w:ascii="宋体" w:hAnsi="宋体" w:cs="宋体"/>
                <w:szCs w:val="21"/>
              </w:rPr>
              <w:t>第14.1款</w:t>
            </w:r>
          </w:p>
        </w:tc>
        <w:tc>
          <w:tcPr>
            <w:tcW w:w="2080" w:type="dxa"/>
            <w:noWrap/>
            <w:vAlign w:val="center"/>
          </w:tcPr>
          <w:p w14:paraId="6823AECF">
            <w:pPr>
              <w:adjustRightInd w:val="0"/>
              <w:snapToGrid w:val="0"/>
              <w:spacing w:line="240" w:lineRule="auto"/>
              <w:jc w:val="center"/>
              <w:rPr>
                <w:rFonts w:ascii="宋体" w:hAnsi="宋体" w:cs="宋体"/>
                <w:szCs w:val="21"/>
              </w:rPr>
            </w:pPr>
            <w:r>
              <w:rPr>
                <w:rFonts w:hint="eastAsia"/>
              </w:rPr>
              <w:t>投标报价的规定</w:t>
            </w:r>
          </w:p>
        </w:tc>
        <w:tc>
          <w:tcPr>
            <w:tcW w:w="6533" w:type="dxa"/>
            <w:noWrap/>
            <w:vAlign w:val="center"/>
          </w:tcPr>
          <w:p w14:paraId="3669654D">
            <w:pPr>
              <w:spacing w:line="240" w:lineRule="auto"/>
            </w:pPr>
            <w:r>
              <w:rPr>
                <w:rFonts w:hint="eastAsia"/>
              </w:rPr>
              <w:t>1、投标总价不得缺漏招标文件所要求的内容，否则在评标时将视为无效投标。</w:t>
            </w:r>
          </w:p>
          <w:p w14:paraId="43CF7B9A">
            <w:pPr>
              <w:spacing w:line="240" w:lineRule="auto"/>
            </w:pPr>
            <w:r>
              <w:rPr>
                <w:rFonts w:hint="eastAsia"/>
              </w:rPr>
              <w:t>2、投标人对每种服务或货物只允许有一个报价，不接受选择性报价，否则在评标时将视为无效投标。</w:t>
            </w:r>
          </w:p>
          <w:p w14:paraId="2882C55D">
            <w:pPr>
              <w:spacing w:line="240" w:lineRule="auto"/>
            </w:pPr>
            <w:r>
              <w:rPr>
                <w:rFonts w:hint="eastAsia"/>
              </w:rPr>
              <w:t>3、投标报价不得超过预算或者最高限价，否则在评标时将视为无效投标。</w:t>
            </w:r>
          </w:p>
          <w:p w14:paraId="04DE923F">
            <w:pPr>
              <w:spacing w:line="240" w:lineRule="auto"/>
            </w:pPr>
            <w:r>
              <w:rPr>
                <w:rFonts w:hint="eastAsia"/>
              </w:rPr>
              <w:t>4、任何包含价格调整要求和条件的投标报价，在评标时将视为无效投标。</w:t>
            </w:r>
          </w:p>
          <w:p w14:paraId="672ACCC2">
            <w:pPr>
              <w:adjustRightInd w:val="0"/>
              <w:snapToGrid w:val="0"/>
              <w:spacing w:line="240" w:lineRule="auto"/>
              <w:jc w:val="left"/>
            </w:pPr>
            <w:r>
              <w:rPr>
                <w:rFonts w:hint="eastAsia"/>
              </w:rPr>
              <w:t>5、评标委员会认为投标人的报价明显低于其他通过符合性审查投标人的报价，有可能影响服务质量或者不能诚信履约的，可要求其在合理时间内采用数据电文形式，并根据要求进行电子签章，提供书面说明，必要时提交相关证明材料；投标人不能证明其报价合理性的，评标委员会将其作为无效投标处理。</w:t>
            </w:r>
          </w:p>
        </w:tc>
      </w:tr>
      <w:tr w14:paraId="317813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40CC1748">
            <w:pPr>
              <w:adjustRightInd w:val="0"/>
              <w:snapToGrid w:val="0"/>
              <w:spacing w:line="240" w:lineRule="auto"/>
              <w:jc w:val="center"/>
              <w:rPr>
                <w:rFonts w:ascii="宋体" w:hAnsi="宋体" w:cs="宋体"/>
                <w:szCs w:val="21"/>
              </w:rPr>
            </w:pPr>
            <w:r>
              <w:rPr>
                <w:rFonts w:hint="eastAsia" w:ascii="宋体" w:hAnsi="宋体" w:cs="宋体"/>
                <w:szCs w:val="21"/>
              </w:rPr>
              <w:t>第14.5</w:t>
            </w:r>
            <w:r>
              <w:rPr>
                <w:rFonts w:hint="eastAsia" w:ascii="宋体" w:hAnsi="宋体" w:cs="宋体"/>
                <w:kern w:val="0"/>
                <w:szCs w:val="21"/>
                <w:lang w:val="zh-CN"/>
              </w:rPr>
              <w:t>款</w:t>
            </w:r>
          </w:p>
        </w:tc>
        <w:tc>
          <w:tcPr>
            <w:tcW w:w="2080" w:type="dxa"/>
            <w:noWrap/>
            <w:vAlign w:val="center"/>
          </w:tcPr>
          <w:p w14:paraId="0B7033A2">
            <w:pPr>
              <w:adjustRightInd w:val="0"/>
              <w:snapToGrid w:val="0"/>
              <w:spacing w:line="240" w:lineRule="auto"/>
              <w:rPr>
                <w:rFonts w:ascii="宋体" w:hAnsi="宋体" w:cs="宋体"/>
                <w:szCs w:val="21"/>
              </w:rPr>
            </w:pPr>
            <w:r>
              <w:rPr>
                <w:rFonts w:hint="eastAsia" w:ascii="宋体" w:hAnsi="宋体" w:cs="宋体"/>
                <w:szCs w:val="21"/>
              </w:rPr>
              <w:t>采购预算、最高限价（如果设）</w:t>
            </w:r>
          </w:p>
        </w:tc>
        <w:tc>
          <w:tcPr>
            <w:tcW w:w="6533" w:type="dxa"/>
            <w:noWrap/>
            <w:vAlign w:val="center"/>
          </w:tcPr>
          <w:p w14:paraId="0C5A3699">
            <w:pPr>
              <w:adjustRightInd w:val="0"/>
              <w:snapToGrid w:val="0"/>
              <w:spacing w:beforeLines="50" w:line="240" w:lineRule="auto"/>
              <w:rPr>
                <w:rFonts w:hint="eastAsia" w:ascii="宋体" w:hAnsi="宋体" w:cs="宋体"/>
              </w:rPr>
            </w:pPr>
            <w:r>
              <w:rPr>
                <w:rFonts w:hint="eastAsia" w:ascii="宋体" w:hAnsi="宋体" w:cs="宋体"/>
              </w:rPr>
              <w:t>采购预算</w:t>
            </w:r>
          </w:p>
          <w:p w14:paraId="3E511619">
            <w:pPr>
              <w:adjustRightInd w:val="0"/>
              <w:snapToGrid w:val="0"/>
              <w:spacing w:beforeLines="50" w:line="240" w:lineRule="auto"/>
              <w:rPr>
                <w:rFonts w:hint="eastAsia" w:ascii="宋体" w:hAnsi="宋体" w:eastAsia="宋体" w:cs="宋体"/>
                <w:lang w:eastAsia="zh-CN"/>
              </w:rPr>
            </w:pPr>
            <w:r>
              <w:rPr>
                <w:rFonts w:hint="eastAsia" w:ascii="宋体" w:hAnsi="宋体" w:cs="宋体"/>
                <w:lang w:val="en-US" w:eastAsia="zh-CN"/>
              </w:rPr>
              <w:t>包1：1500000.00</w:t>
            </w:r>
            <w:r>
              <w:rPr>
                <w:rFonts w:hint="eastAsia" w:ascii="宋体" w:hAnsi="宋体" w:cs="宋体"/>
              </w:rPr>
              <w:t xml:space="preserve">元；  </w:t>
            </w:r>
            <w:r>
              <w:rPr>
                <w:rFonts w:hint="eastAsia" w:ascii="宋体" w:hAnsi="宋体" w:cs="宋体"/>
                <w:lang w:val="en-US" w:eastAsia="zh-CN"/>
              </w:rPr>
              <w:t>包2：700000.00</w:t>
            </w:r>
            <w:r>
              <w:rPr>
                <w:rFonts w:hint="eastAsia" w:ascii="宋体" w:hAnsi="宋体" w:cs="宋体"/>
              </w:rPr>
              <w:t>元</w:t>
            </w:r>
            <w:r>
              <w:rPr>
                <w:rFonts w:hint="eastAsia" w:ascii="宋体" w:hAnsi="宋体" w:cs="宋体"/>
                <w:lang w:eastAsia="zh-CN"/>
              </w:rPr>
              <w:t>。</w:t>
            </w:r>
          </w:p>
          <w:p w14:paraId="7245A6D6">
            <w:pPr>
              <w:adjustRightInd w:val="0"/>
              <w:snapToGrid w:val="0"/>
              <w:spacing w:beforeLines="50" w:line="240" w:lineRule="auto"/>
              <w:rPr>
                <w:rFonts w:hint="eastAsia" w:ascii="宋体" w:hAnsi="宋体" w:cs="宋体"/>
              </w:rPr>
            </w:pPr>
            <w:r>
              <w:rPr>
                <w:rFonts w:hint="eastAsia" w:ascii="宋体" w:hAnsi="宋体" w:cs="宋体"/>
              </w:rPr>
              <w:t>最高限价</w:t>
            </w:r>
          </w:p>
          <w:p w14:paraId="51EFD208">
            <w:pPr>
              <w:adjustRightInd w:val="0"/>
              <w:snapToGrid w:val="0"/>
              <w:spacing w:beforeLines="50" w:line="240" w:lineRule="auto"/>
              <w:rPr>
                <w:rFonts w:hint="default" w:ascii="宋体" w:hAnsi="宋体" w:eastAsia="宋体" w:cs="宋体"/>
                <w:lang w:val="en-US" w:eastAsia="zh-CN"/>
              </w:rPr>
            </w:pPr>
            <w:r>
              <w:rPr>
                <w:rFonts w:hint="eastAsia" w:ascii="宋体" w:hAnsi="宋体" w:cs="宋体"/>
                <w:lang w:val="en-US" w:eastAsia="zh-CN"/>
              </w:rPr>
              <w:t>包1：1500000.00</w:t>
            </w:r>
            <w:r>
              <w:rPr>
                <w:rFonts w:hint="eastAsia" w:ascii="宋体" w:hAnsi="宋体" w:cs="宋体"/>
              </w:rPr>
              <w:t xml:space="preserve">元；  </w:t>
            </w:r>
            <w:r>
              <w:rPr>
                <w:rFonts w:hint="eastAsia" w:ascii="宋体" w:hAnsi="宋体" w:cs="宋体"/>
                <w:lang w:val="en-US" w:eastAsia="zh-CN"/>
              </w:rPr>
              <w:t>包2：700000.00</w:t>
            </w:r>
            <w:r>
              <w:rPr>
                <w:rFonts w:hint="eastAsia" w:ascii="宋体" w:hAnsi="宋体" w:cs="宋体"/>
              </w:rPr>
              <w:t>元</w:t>
            </w:r>
            <w:r>
              <w:rPr>
                <w:rFonts w:hint="eastAsia" w:ascii="宋体" w:hAnsi="宋体" w:cs="宋体"/>
                <w:lang w:eastAsia="zh-CN"/>
              </w:rPr>
              <w:t>。</w:t>
            </w:r>
          </w:p>
          <w:p w14:paraId="07A1EA1C">
            <w:pPr>
              <w:adjustRightInd w:val="0"/>
              <w:snapToGrid w:val="0"/>
              <w:spacing w:beforeLines="50" w:line="240" w:lineRule="auto"/>
            </w:pPr>
            <w:r>
              <w:rPr>
                <w:rFonts w:hint="eastAsia" w:ascii="宋体" w:hAnsi="宋体" w:cs="宋体"/>
              </w:rPr>
              <w:t xml:space="preserve">（投标报价总价不得超过最高限价，否则其报价无效，作无效投标处理。） </w:t>
            </w:r>
          </w:p>
        </w:tc>
      </w:tr>
      <w:tr w14:paraId="1CF26B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8" w:hRule="atLeast"/>
        </w:trPr>
        <w:tc>
          <w:tcPr>
            <w:tcW w:w="1276" w:type="dxa"/>
            <w:noWrap/>
            <w:vAlign w:val="center"/>
          </w:tcPr>
          <w:p w14:paraId="78C62F90">
            <w:pPr>
              <w:adjustRightInd w:val="0"/>
              <w:snapToGrid w:val="0"/>
              <w:spacing w:beforeLines="50" w:line="240" w:lineRule="auto"/>
              <w:jc w:val="center"/>
              <w:rPr>
                <w:rFonts w:ascii="宋体" w:hAnsi="宋体" w:cs="宋体"/>
                <w:szCs w:val="21"/>
              </w:rPr>
            </w:pPr>
            <w:r>
              <w:rPr>
                <w:rFonts w:hint="eastAsia" w:ascii="宋体" w:hAnsi="宋体" w:cs="宋体"/>
                <w:szCs w:val="21"/>
              </w:rPr>
              <w:t>第16.4</w:t>
            </w:r>
            <w:r>
              <w:rPr>
                <w:rFonts w:hint="eastAsia" w:ascii="宋体" w:hAnsi="宋体" w:cs="宋体"/>
                <w:kern w:val="0"/>
                <w:szCs w:val="21"/>
                <w:lang w:val="zh-CN"/>
              </w:rPr>
              <w:t>款</w:t>
            </w:r>
          </w:p>
        </w:tc>
        <w:tc>
          <w:tcPr>
            <w:tcW w:w="2080" w:type="dxa"/>
            <w:noWrap/>
            <w:vAlign w:val="center"/>
          </w:tcPr>
          <w:p w14:paraId="5C36D5F4">
            <w:pPr>
              <w:adjustRightInd w:val="0"/>
              <w:snapToGrid w:val="0"/>
              <w:spacing w:beforeLines="50" w:line="240" w:lineRule="auto"/>
              <w:jc w:val="center"/>
              <w:rPr>
                <w:rFonts w:ascii="宋体" w:hAnsi="宋体" w:cs="宋体"/>
                <w:szCs w:val="21"/>
              </w:rPr>
            </w:pPr>
            <w:r>
              <w:rPr>
                <w:rFonts w:hint="eastAsia" w:ascii="宋体" w:hAnsi="宋体" w:cs="宋体"/>
                <w:szCs w:val="21"/>
              </w:rPr>
              <w:t>样品提供的规定</w:t>
            </w:r>
          </w:p>
        </w:tc>
        <w:tc>
          <w:tcPr>
            <w:tcW w:w="6533" w:type="dxa"/>
            <w:noWrap/>
            <w:vAlign w:val="center"/>
          </w:tcPr>
          <w:p w14:paraId="2D9EF5E2">
            <w:pPr>
              <w:adjustRightInd w:val="0"/>
              <w:snapToGrid w:val="0"/>
              <w:spacing w:beforeLines="50" w:line="240" w:lineRule="auto"/>
              <w:rPr>
                <w:rFonts w:ascii="宋体" w:hAnsi="宋体" w:cs="宋体"/>
                <w:szCs w:val="21"/>
              </w:rPr>
            </w:pPr>
            <w:r>
              <w:rPr>
                <w:rFonts w:hint="eastAsia" w:ascii="宋体" w:hAnsi="宋体" w:cs="宋体"/>
                <w:szCs w:val="21"/>
              </w:rPr>
              <w:t>■不要求提供</w:t>
            </w:r>
          </w:p>
          <w:p w14:paraId="5B57A920">
            <w:pPr>
              <w:adjustRightInd w:val="0"/>
              <w:snapToGrid w:val="0"/>
              <w:spacing w:beforeLines="50" w:line="240" w:lineRule="auto"/>
              <w:rPr>
                <w:rFonts w:ascii="宋体" w:hAnsi="宋体" w:cs="宋体"/>
                <w:szCs w:val="21"/>
                <w:u w:val="single"/>
              </w:rPr>
            </w:pPr>
            <w:r>
              <w:rPr>
                <w:rFonts w:hint="eastAsia" w:ascii="宋体" w:hAnsi="宋体" w:cs="宋体"/>
                <w:szCs w:val="21"/>
              </w:rPr>
              <w:t>□ 要求提供</w:t>
            </w:r>
          </w:p>
        </w:tc>
      </w:tr>
      <w:tr w14:paraId="0AC2BD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69433EF2">
            <w:pPr>
              <w:adjustRightInd w:val="0"/>
              <w:snapToGrid w:val="0"/>
              <w:spacing w:line="240" w:lineRule="auto"/>
              <w:jc w:val="center"/>
              <w:rPr>
                <w:rFonts w:ascii="宋体" w:hAnsi="宋体" w:cs="宋体"/>
                <w:szCs w:val="21"/>
              </w:rPr>
            </w:pPr>
            <w:r>
              <w:rPr>
                <w:rFonts w:hint="eastAsia" w:ascii="宋体" w:hAnsi="宋体" w:cs="宋体"/>
                <w:szCs w:val="21"/>
              </w:rPr>
              <w:t>第17.1</w:t>
            </w:r>
            <w:r>
              <w:rPr>
                <w:rFonts w:hint="eastAsia" w:ascii="宋体" w:hAnsi="宋体" w:cs="宋体"/>
                <w:kern w:val="0"/>
                <w:szCs w:val="21"/>
                <w:lang w:val="zh-CN"/>
              </w:rPr>
              <w:t>款</w:t>
            </w:r>
          </w:p>
        </w:tc>
        <w:tc>
          <w:tcPr>
            <w:tcW w:w="2080" w:type="dxa"/>
            <w:noWrap/>
            <w:vAlign w:val="center"/>
          </w:tcPr>
          <w:p w14:paraId="1439FEDE">
            <w:pPr>
              <w:adjustRightInd w:val="0"/>
              <w:snapToGrid w:val="0"/>
              <w:spacing w:line="240" w:lineRule="auto"/>
              <w:jc w:val="center"/>
              <w:rPr>
                <w:rFonts w:ascii="宋体" w:hAnsi="宋体" w:cs="宋体"/>
                <w:bCs/>
                <w:szCs w:val="21"/>
              </w:rPr>
            </w:pPr>
            <w:r>
              <w:rPr>
                <w:rFonts w:hint="eastAsia" w:ascii="宋体" w:hAnsi="宋体" w:cs="宋体"/>
                <w:bCs/>
                <w:szCs w:val="21"/>
              </w:rPr>
              <w:t>投标有效期</w:t>
            </w:r>
          </w:p>
        </w:tc>
        <w:tc>
          <w:tcPr>
            <w:tcW w:w="6533" w:type="dxa"/>
            <w:noWrap/>
            <w:vAlign w:val="center"/>
          </w:tcPr>
          <w:p w14:paraId="66F2C0D0">
            <w:pPr>
              <w:adjustRightInd w:val="0"/>
              <w:snapToGrid w:val="0"/>
              <w:spacing w:line="240" w:lineRule="auto"/>
              <w:rPr>
                <w:rFonts w:ascii="宋体" w:hAnsi="宋体" w:cs="宋体"/>
                <w:bCs/>
                <w:szCs w:val="21"/>
              </w:rPr>
            </w:pPr>
            <w:r>
              <w:rPr>
                <w:rFonts w:hint="eastAsia" w:ascii="宋体" w:hAnsi="宋体" w:cs="宋体"/>
                <w:szCs w:val="21"/>
                <w:u w:val="single"/>
              </w:rPr>
              <w:t>90</w:t>
            </w:r>
            <w:r>
              <w:rPr>
                <w:rFonts w:hint="eastAsia" w:ascii="宋体" w:hAnsi="宋体" w:cs="宋体"/>
                <w:szCs w:val="21"/>
              </w:rPr>
              <w:t>日（日历日）</w:t>
            </w:r>
          </w:p>
        </w:tc>
      </w:tr>
      <w:tr w14:paraId="42D744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2332CBD1">
            <w:pPr>
              <w:adjustRightInd w:val="0"/>
              <w:snapToGrid w:val="0"/>
              <w:spacing w:line="240" w:lineRule="auto"/>
              <w:jc w:val="center"/>
              <w:rPr>
                <w:rFonts w:ascii="宋体" w:hAnsi="宋体" w:cs="宋体"/>
                <w:szCs w:val="21"/>
              </w:rPr>
            </w:pPr>
            <w:r>
              <w:rPr>
                <w:rFonts w:hint="eastAsia" w:ascii="宋体" w:hAnsi="宋体" w:cs="宋体"/>
                <w:szCs w:val="21"/>
              </w:rPr>
              <w:t>第18.1</w:t>
            </w:r>
            <w:r>
              <w:rPr>
                <w:rFonts w:hint="eastAsia" w:ascii="宋体" w:hAnsi="宋体" w:cs="宋体"/>
                <w:kern w:val="0"/>
                <w:szCs w:val="21"/>
                <w:lang w:val="zh-CN"/>
              </w:rPr>
              <w:t>款</w:t>
            </w:r>
          </w:p>
        </w:tc>
        <w:tc>
          <w:tcPr>
            <w:tcW w:w="2080" w:type="dxa"/>
            <w:noWrap/>
            <w:vAlign w:val="center"/>
          </w:tcPr>
          <w:p w14:paraId="47BCA021">
            <w:pPr>
              <w:adjustRightInd w:val="0"/>
              <w:snapToGrid w:val="0"/>
              <w:spacing w:line="240" w:lineRule="auto"/>
              <w:ind w:left="-533" w:leftChars="-254" w:firstLine="533" w:firstLineChars="254"/>
              <w:jc w:val="center"/>
              <w:rPr>
                <w:rFonts w:ascii="宋体" w:hAnsi="宋体" w:cs="宋体"/>
                <w:szCs w:val="21"/>
              </w:rPr>
            </w:pPr>
            <w:r>
              <w:rPr>
                <w:rFonts w:hint="eastAsia" w:ascii="宋体" w:hAnsi="宋体" w:cs="宋体"/>
                <w:szCs w:val="21"/>
              </w:rPr>
              <w:t>投标保证金</w:t>
            </w:r>
          </w:p>
        </w:tc>
        <w:tc>
          <w:tcPr>
            <w:tcW w:w="6533" w:type="dxa"/>
            <w:noWrap/>
            <w:vAlign w:val="center"/>
          </w:tcPr>
          <w:p w14:paraId="23B4DF74">
            <w:pPr>
              <w:adjustRightInd w:val="0"/>
              <w:snapToGrid w:val="0"/>
              <w:spacing w:line="240" w:lineRule="auto"/>
            </w:pPr>
            <w:r>
              <w:rPr>
                <w:rFonts w:hint="eastAsia"/>
              </w:rPr>
              <w:t>■不要求提供。</w:t>
            </w:r>
          </w:p>
          <w:p w14:paraId="3B15957E">
            <w:pPr>
              <w:adjustRightInd w:val="0"/>
              <w:snapToGrid w:val="0"/>
              <w:spacing w:line="240" w:lineRule="auto"/>
              <w:rPr>
                <w:rFonts w:ascii="宋体" w:hAnsi="宋体" w:cs="宋体"/>
                <w:szCs w:val="21"/>
              </w:rPr>
            </w:pPr>
            <w:r>
              <w:rPr>
                <w:rFonts w:hint="eastAsia" w:ascii="宋体" w:hAnsi="宋体"/>
                <w:szCs w:val="21"/>
              </w:rPr>
              <w:t xml:space="preserve">□ </w:t>
            </w:r>
            <w:r>
              <w:rPr>
                <w:rFonts w:hint="eastAsia"/>
              </w:rPr>
              <w:t>要求提供，数额为：</w:t>
            </w:r>
            <w:r>
              <w:rPr>
                <w:rFonts w:hint="eastAsia"/>
                <w:u w:val="single"/>
              </w:rPr>
              <w:t xml:space="preserve">  /  </w:t>
            </w:r>
            <w:r>
              <w:rPr>
                <w:rFonts w:hint="eastAsia"/>
              </w:rPr>
              <w:t>元（人民币）。</w:t>
            </w:r>
          </w:p>
        </w:tc>
      </w:tr>
      <w:tr w14:paraId="5D15F1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3CE2A48A">
            <w:pPr>
              <w:adjustRightInd w:val="0"/>
              <w:snapToGrid w:val="0"/>
              <w:spacing w:line="240" w:lineRule="auto"/>
              <w:jc w:val="center"/>
              <w:rPr>
                <w:rFonts w:ascii="宋体" w:hAnsi="宋体" w:cs="宋体"/>
                <w:szCs w:val="21"/>
              </w:rPr>
            </w:pPr>
            <w:r>
              <w:rPr>
                <w:rFonts w:hint="eastAsia" w:ascii="宋体" w:hAnsi="宋体" w:cs="宋体"/>
                <w:szCs w:val="21"/>
              </w:rPr>
              <w:t>第21条</w:t>
            </w:r>
          </w:p>
        </w:tc>
        <w:tc>
          <w:tcPr>
            <w:tcW w:w="2080" w:type="dxa"/>
            <w:noWrap/>
            <w:vAlign w:val="center"/>
          </w:tcPr>
          <w:p w14:paraId="7CD657DB">
            <w:pPr>
              <w:adjustRightInd w:val="0"/>
              <w:snapToGrid w:val="0"/>
              <w:spacing w:line="240" w:lineRule="auto"/>
              <w:jc w:val="center"/>
              <w:rPr>
                <w:rFonts w:ascii="宋体" w:hAnsi="宋体" w:cs="宋体"/>
                <w:szCs w:val="21"/>
              </w:rPr>
            </w:pPr>
            <w:r>
              <w:rPr>
                <w:rFonts w:hint="eastAsia" w:ascii="宋体" w:hAnsi="宋体" w:cs="宋体"/>
                <w:szCs w:val="21"/>
              </w:rPr>
              <w:t>电子投标文件</w:t>
            </w:r>
          </w:p>
          <w:p w14:paraId="04295350">
            <w:pPr>
              <w:adjustRightInd w:val="0"/>
              <w:snapToGrid w:val="0"/>
              <w:spacing w:line="240" w:lineRule="auto"/>
              <w:jc w:val="center"/>
              <w:rPr>
                <w:rFonts w:ascii="宋体" w:hAnsi="宋体" w:cs="宋体"/>
                <w:szCs w:val="21"/>
              </w:rPr>
            </w:pPr>
            <w:r>
              <w:rPr>
                <w:rFonts w:hint="eastAsia" w:ascii="宋体" w:hAnsi="宋体" w:cs="宋体"/>
                <w:szCs w:val="21"/>
              </w:rPr>
              <w:t>制作要求</w:t>
            </w:r>
          </w:p>
        </w:tc>
        <w:tc>
          <w:tcPr>
            <w:tcW w:w="6533" w:type="dxa"/>
            <w:noWrap/>
            <w:vAlign w:val="center"/>
          </w:tcPr>
          <w:p w14:paraId="7D2807A0">
            <w:pPr>
              <w:spacing w:line="240" w:lineRule="auto"/>
              <w:rPr>
                <w:rFonts w:ascii="宋体" w:hAnsi="宋体" w:cs="宋体"/>
                <w:szCs w:val="21"/>
              </w:rPr>
            </w:pPr>
            <w:r>
              <w:rPr>
                <w:rFonts w:hint="eastAsia" w:ascii="宋体" w:hAnsi="宋体" w:cs="宋体"/>
                <w:szCs w:val="21"/>
              </w:rPr>
              <w:t>电子投标文件必须使用岳阳市公共资源交易网发布的“电子投标文件制作工具”编制生成。</w:t>
            </w:r>
          </w:p>
        </w:tc>
      </w:tr>
      <w:tr w14:paraId="62817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532461D3">
            <w:pPr>
              <w:adjustRightInd w:val="0"/>
              <w:snapToGrid w:val="0"/>
              <w:spacing w:line="240" w:lineRule="auto"/>
              <w:jc w:val="center"/>
              <w:rPr>
                <w:rFonts w:ascii="宋体" w:hAnsi="宋体" w:cs="宋体"/>
                <w:szCs w:val="21"/>
              </w:rPr>
            </w:pPr>
            <w:r>
              <w:rPr>
                <w:rFonts w:hint="eastAsia" w:ascii="宋体" w:hAnsi="宋体" w:cs="宋体"/>
                <w:szCs w:val="21"/>
              </w:rPr>
              <w:t>第20条</w:t>
            </w:r>
          </w:p>
        </w:tc>
        <w:tc>
          <w:tcPr>
            <w:tcW w:w="2080" w:type="dxa"/>
            <w:noWrap/>
            <w:vAlign w:val="center"/>
          </w:tcPr>
          <w:p w14:paraId="12912A2D">
            <w:pPr>
              <w:spacing w:line="240" w:lineRule="auto"/>
              <w:jc w:val="center"/>
              <w:rPr>
                <w:rFonts w:ascii="宋体" w:hAnsi="宋体" w:cs="宋体"/>
                <w:szCs w:val="21"/>
              </w:rPr>
            </w:pPr>
            <w:r>
              <w:rPr>
                <w:rFonts w:hint="eastAsia" w:ascii="宋体" w:hAnsi="宋体" w:cs="宋体"/>
                <w:szCs w:val="21"/>
              </w:rPr>
              <w:t>投标文件份数</w:t>
            </w:r>
          </w:p>
        </w:tc>
        <w:tc>
          <w:tcPr>
            <w:tcW w:w="6533" w:type="dxa"/>
            <w:noWrap/>
            <w:vAlign w:val="center"/>
          </w:tcPr>
          <w:p w14:paraId="7C34A269">
            <w:pPr>
              <w:spacing w:line="240" w:lineRule="auto"/>
              <w:rPr>
                <w:rFonts w:ascii="宋体" w:hAnsi="宋体" w:cs="宋体"/>
                <w:szCs w:val="21"/>
              </w:rPr>
            </w:pPr>
            <w:r>
              <w:rPr>
                <w:rFonts w:hint="eastAsia" w:ascii="宋体" w:hAnsi="宋体" w:cs="宋体"/>
                <w:szCs w:val="21"/>
              </w:rPr>
              <w:t>1、电子版投标文件以上传至岳阳市公共资源交易平台的为准。</w:t>
            </w:r>
          </w:p>
          <w:p w14:paraId="46A2CF8F">
            <w:pPr>
              <w:spacing w:line="240" w:lineRule="auto"/>
              <w:rPr>
                <w:rFonts w:hint="eastAsia" w:ascii="宋体" w:hAnsi="宋体" w:eastAsia="宋体" w:cs="宋体"/>
                <w:szCs w:val="21"/>
                <w:lang w:eastAsia="zh-CN"/>
              </w:rPr>
            </w:pPr>
            <w:r>
              <w:rPr>
                <w:rFonts w:hint="eastAsia" w:ascii="宋体" w:hAnsi="宋体" w:cs="宋体"/>
                <w:szCs w:val="21"/>
              </w:rPr>
              <w:t>2、中标单位在中标后提交纸质文件：正本一份、副本贰份</w:t>
            </w:r>
            <w:r>
              <w:rPr>
                <w:rFonts w:hint="eastAsia" w:ascii="宋体" w:hAnsi="宋体" w:cs="宋体"/>
                <w:szCs w:val="21"/>
                <w:lang w:eastAsia="zh-CN"/>
              </w:rPr>
              <w:t>，</w:t>
            </w:r>
            <w:r>
              <w:rPr>
                <w:rFonts w:hint="eastAsia" w:ascii="宋体" w:hAnsi="宋体" w:cs="宋体"/>
                <w:sz w:val="21"/>
                <w:szCs w:val="21"/>
              </w:rPr>
              <w:t>纸质文件备案使用。</w:t>
            </w:r>
          </w:p>
          <w:p w14:paraId="54816C73">
            <w:pPr>
              <w:pStyle w:val="39"/>
              <w:spacing w:line="240" w:lineRule="auto"/>
              <w:ind w:left="0" w:leftChars="0" w:firstLine="0"/>
              <w:rPr>
                <w:rFonts w:ascii="宋体" w:hAnsi="宋体" w:cs="宋体"/>
                <w:kern w:val="2"/>
                <w:sz w:val="21"/>
                <w:szCs w:val="21"/>
              </w:rPr>
            </w:pPr>
            <w:r>
              <w:rPr>
                <w:rFonts w:hint="eastAsia" w:ascii="宋体" w:hAnsi="宋体" w:cs="宋体"/>
                <w:sz w:val="21"/>
                <w:szCs w:val="21"/>
              </w:rPr>
              <w:t>说明：投标文件</w:t>
            </w:r>
            <w:r>
              <w:rPr>
                <w:rFonts w:hint="eastAsia" w:ascii="宋体" w:hAnsi="宋体" w:cs="宋体"/>
                <w:sz w:val="21"/>
                <w:szCs w:val="21"/>
                <w:lang w:val="en-US" w:eastAsia="zh-CN"/>
              </w:rPr>
              <w:t>纸质与电子投标文件不一致时</w:t>
            </w:r>
            <w:r>
              <w:rPr>
                <w:rFonts w:hint="eastAsia" w:ascii="宋体" w:hAnsi="宋体" w:cs="宋体"/>
                <w:sz w:val="21"/>
                <w:szCs w:val="21"/>
              </w:rPr>
              <w:t>以电子投标文件为准，</w:t>
            </w:r>
          </w:p>
        </w:tc>
      </w:tr>
      <w:tr w14:paraId="5B677D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889" w:type="dxa"/>
            <w:gridSpan w:val="3"/>
            <w:noWrap/>
            <w:vAlign w:val="center"/>
          </w:tcPr>
          <w:p w14:paraId="74A5926A">
            <w:pPr>
              <w:adjustRightInd w:val="0"/>
              <w:snapToGrid w:val="0"/>
              <w:spacing w:line="240" w:lineRule="auto"/>
              <w:rPr>
                <w:rFonts w:ascii="宋体" w:hAnsi="宋体" w:cs="宋体"/>
                <w:b/>
                <w:bCs/>
                <w:szCs w:val="21"/>
              </w:rPr>
            </w:pPr>
            <w:r>
              <w:rPr>
                <w:rFonts w:hint="eastAsia" w:ascii="宋体" w:hAnsi="宋体" w:cs="宋体"/>
                <w:b/>
                <w:szCs w:val="21"/>
              </w:rPr>
              <w:t>四、投标</w:t>
            </w:r>
          </w:p>
        </w:tc>
      </w:tr>
      <w:tr w14:paraId="76C577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76" w:type="dxa"/>
            <w:noWrap/>
            <w:vAlign w:val="center"/>
          </w:tcPr>
          <w:p w14:paraId="7C7A74BF">
            <w:pPr>
              <w:adjustRightInd w:val="0"/>
              <w:snapToGrid w:val="0"/>
              <w:spacing w:line="240" w:lineRule="auto"/>
              <w:jc w:val="center"/>
              <w:rPr>
                <w:rFonts w:ascii="宋体" w:hAnsi="宋体" w:cs="宋体"/>
                <w:szCs w:val="21"/>
              </w:rPr>
            </w:pPr>
            <w:r>
              <w:rPr>
                <w:rFonts w:hint="eastAsia" w:ascii="宋体" w:hAnsi="宋体" w:cs="宋体"/>
                <w:szCs w:val="21"/>
              </w:rPr>
              <w:t xml:space="preserve">第22条 </w:t>
            </w:r>
          </w:p>
        </w:tc>
        <w:tc>
          <w:tcPr>
            <w:tcW w:w="2080" w:type="dxa"/>
            <w:noWrap/>
            <w:vAlign w:val="center"/>
          </w:tcPr>
          <w:p w14:paraId="21E6CC22">
            <w:pPr>
              <w:adjustRightInd w:val="0"/>
              <w:snapToGrid w:val="0"/>
              <w:spacing w:line="240" w:lineRule="auto"/>
              <w:jc w:val="center"/>
              <w:rPr>
                <w:rFonts w:ascii="宋体" w:hAnsi="宋体" w:cs="宋体"/>
                <w:szCs w:val="21"/>
              </w:rPr>
            </w:pPr>
            <w:r>
              <w:rPr>
                <w:rFonts w:hint="eastAsia" w:ascii="宋体" w:hAnsi="宋体" w:cs="宋体"/>
                <w:szCs w:val="21"/>
              </w:rPr>
              <w:t>投标文件的递交</w:t>
            </w:r>
          </w:p>
        </w:tc>
        <w:tc>
          <w:tcPr>
            <w:tcW w:w="6533" w:type="dxa"/>
            <w:noWrap/>
            <w:vAlign w:val="center"/>
          </w:tcPr>
          <w:p w14:paraId="43C4B99D">
            <w:pPr>
              <w:spacing w:line="240" w:lineRule="auto"/>
              <w:rPr>
                <w:rFonts w:ascii="宋体" w:hAnsi="宋体" w:cs="宋体"/>
              </w:rPr>
            </w:pPr>
            <w:r>
              <w:rPr>
                <w:rFonts w:hint="eastAsia" w:ascii="宋体" w:hAnsi="宋体" w:cs="宋体"/>
              </w:rPr>
              <w:t>1、</w:t>
            </w:r>
            <w:r>
              <w:rPr>
                <w:rFonts w:hint="eastAsia"/>
              </w:rPr>
              <w:t>实行网上投标，投标人必须在招标文件规定的投标截止时间前用电子密钥登录“岳阳市公共资源交易中心电子交易平台”（http://222.242.228.197:8083/TPBidder/memberLogin）完成文件递交。</w:t>
            </w:r>
          </w:p>
        </w:tc>
      </w:tr>
      <w:tr w14:paraId="56640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1276" w:type="dxa"/>
            <w:noWrap/>
            <w:vAlign w:val="center"/>
          </w:tcPr>
          <w:p w14:paraId="65B4AF8F">
            <w:pPr>
              <w:adjustRightInd w:val="0"/>
              <w:snapToGrid w:val="0"/>
              <w:spacing w:line="240" w:lineRule="auto"/>
              <w:jc w:val="center"/>
              <w:rPr>
                <w:rFonts w:ascii="宋体" w:hAnsi="宋体" w:cs="宋体"/>
                <w:szCs w:val="21"/>
              </w:rPr>
            </w:pPr>
            <w:r>
              <w:rPr>
                <w:rFonts w:hint="eastAsia" w:ascii="宋体" w:hAnsi="宋体" w:cs="宋体"/>
                <w:szCs w:val="21"/>
              </w:rPr>
              <w:t>第24.1</w:t>
            </w:r>
            <w:r>
              <w:rPr>
                <w:rFonts w:hint="eastAsia" w:ascii="宋体" w:hAnsi="宋体" w:cs="宋体"/>
                <w:kern w:val="0"/>
                <w:szCs w:val="21"/>
                <w:lang w:val="zh-CN"/>
              </w:rPr>
              <w:t>款</w:t>
            </w:r>
          </w:p>
        </w:tc>
        <w:tc>
          <w:tcPr>
            <w:tcW w:w="2080" w:type="dxa"/>
            <w:noWrap/>
            <w:vAlign w:val="center"/>
          </w:tcPr>
          <w:p w14:paraId="778EB895">
            <w:pPr>
              <w:adjustRightInd w:val="0"/>
              <w:snapToGrid w:val="0"/>
              <w:spacing w:line="240" w:lineRule="auto"/>
              <w:jc w:val="center"/>
              <w:rPr>
                <w:rFonts w:ascii="宋体" w:hAnsi="宋体" w:cs="宋体"/>
                <w:szCs w:val="21"/>
              </w:rPr>
            </w:pPr>
            <w:r>
              <w:rPr>
                <w:rFonts w:hint="eastAsia" w:ascii="宋体" w:hAnsi="宋体" w:cs="宋体"/>
                <w:bCs/>
                <w:szCs w:val="21"/>
              </w:rPr>
              <w:t>分包</w:t>
            </w:r>
          </w:p>
        </w:tc>
        <w:tc>
          <w:tcPr>
            <w:tcW w:w="6533" w:type="dxa"/>
            <w:noWrap/>
            <w:vAlign w:val="center"/>
          </w:tcPr>
          <w:p w14:paraId="06AFAA49">
            <w:pPr>
              <w:adjustRightInd w:val="0"/>
              <w:snapToGrid w:val="0"/>
              <w:spacing w:line="240" w:lineRule="auto"/>
              <w:rPr>
                <w:rFonts w:ascii="宋体" w:hAnsi="宋体" w:cs="宋体"/>
                <w:szCs w:val="21"/>
              </w:rPr>
            </w:pPr>
            <w:r>
              <w:rPr>
                <w:rFonts w:hint="eastAsia" w:ascii="宋体" w:hAnsi="宋体" w:cs="宋体"/>
                <w:szCs w:val="21"/>
              </w:rPr>
              <w:t>□允许分包。</w:t>
            </w:r>
          </w:p>
          <w:p w14:paraId="6038DF7B">
            <w:pPr>
              <w:adjustRightInd w:val="0"/>
              <w:snapToGrid w:val="0"/>
              <w:spacing w:line="240" w:lineRule="auto"/>
              <w:rPr>
                <w:rFonts w:ascii="宋体" w:hAnsi="宋体" w:cs="宋体"/>
                <w:b/>
                <w:bCs/>
                <w:szCs w:val="21"/>
              </w:rPr>
            </w:pPr>
            <w:r>
              <w:rPr>
                <w:rFonts w:hint="eastAsia" w:ascii="宋体" w:hAnsi="宋体" w:cs="宋体"/>
                <w:bCs/>
                <w:szCs w:val="21"/>
              </w:rPr>
              <w:t>■不允许分包</w:t>
            </w:r>
          </w:p>
        </w:tc>
      </w:tr>
      <w:tr w14:paraId="344E47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889" w:type="dxa"/>
            <w:gridSpan w:val="3"/>
            <w:noWrap/>
            <w:vAlign w:val="center"/>
          </w:tcPr>
          <w:p w14:paraId="0A0B3BE5">
            <w:pPr>
              <w:adjustRightInd w:val="0"/>
              <w:snapToGrid w:val="0"/>
              <w:spacing w:line="240" w:lineRule="auto"/>
              <w:rPr>
                <w:rFonts w:ascii="宋体" w:hAnsi="宋体" w:cs="宋体"/>
                <w:szCs w:val="21"/>
              </w:rPr>
            </w:pPr>
            <w:r>
              <w:rPr>
                <w:rFonts w:hint="eastAsia" w:ascii="宋体" w:hAnsi="宋体" w:cs="宋体"/>
                <w:b/>
                <w:bCs/>
                <w:szCs w:val="21"/>
              </w:rPr>
              <w:t>五、开标、资格审查和评标</w:t>
            </w:r>
          </w:p>
        </w:tc>
      </w:tr>
      <w:tr w14:paraId="601488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4AF53118">
            <w:pPr>
              <w:adjustRightInd w:val="0"/>
              <w:snapToGrid w:val="0"/>
              <w:spacing w:line="240" w:lineRule="auto"/>
              <w:jc w:val="center"/>
              <w:rPr>
                <w:rFonts w:ascii="宋体" w:hAnsi="宋体" w:cs="宋体"/>
                <w:szCs w:val="21"/>
              </w:rPr>
            </w:pPr>
            <w:r>
              <w:rPr>
                <w:rFonts w:hint="eastAsia" w:ascii="宋体" w:hAnsi="宋体" w:cs="宋体"/>
                <w:szCs w:val="21"/>
              </w:rPr>
              <w:t>第26.2</w:t>
            </w:r>
            <w:r>
              <w:rPr>
                <w:rFonts w:hint="eastAsia" w:ascii="宋体" w:hAnsi="宋体" w:cs="宋体"/>
                <w:kern w:val="0"/>
                <w:szCs w:val="21"/>
                <w:lang w:val="zh-CN"/>
              </w:rPr>
              <w:t>款</w:t>
            </w:r>
          </w:p>
        </w:tc>
        <w:tc>
          <w:tcPr>
            <w:tcW w:w="2080" w:type="dxa"/>
            <w:noWrap/>
            <w:vAlign w:val="center"/>
          </w:tcPr>
          <w:p w14:paraId="5AD493B7">
            <w:pPr>
              <w:adjustRightInd w:val="0"/>
              <w:snapToGrid w:val="0"/>
              <w:spacing w:line="240" w:lineRule="auto"/>
              <w:jc w:val="center"/>
              <w:rPr>
                <w:rFonts w:ascii="宋体" w:hAnsi="宋体" w:cs="宋体"/>
                <w:szCs w:val="21"/>
              </w:rPr>
            </w:pPr>
            <w:r>
              <w:rPr>
                <w:rFonts w:hint="eastAsia" w:ascii="宋体" w:hAnsi="宋体" w:cs="宋体"/>
                <w:szCs w:val="21"/>
              </w:rPr>
              <w:t>解密时长</w:t>
            </w:r>
          </w:p>
        </w:tc>
        <w:tc>
          <w:tcPr>
            <w:tcW w:w="6533" w:type="dxa"/>
            <w:noWrap/>
            <w:vAlign w:val="center"/>
          </w:tcPr>
          <w:p w14:paraId="214EED27">
            <w:pPr>
              <w:adjustRightInd w:val="0"/>
              <w:snapToGrid w:val="0"/>
              <w:spacing w:line="240" w:lineRule="auto"/>
              <w:rPr>
                <w:rFonts w:ascii="宋体" w:hAnsi="宋体" w:cs="宋体"/>
                <w:szCs w:val="21"/>
                <w:u w:val="single"/>
              </w:rPr>
            </w:pPr>
            <w:r>
              <w:rPr>
                <w:rFonts w:hint="eastAsia" w:ascii="宋体" w:hAnsi="宋体" w:cs="宋体"/>
                <w:szCs w:val="21"/>
                <w:u w:val="single"/>
              </w:rPr>
              <w:t>系统提示解密开始后 30 分钟</w:t>
            </w:r>
          </w:p>
        </w:tc>
      </w:tr>
      <w:tr w14:paraId="5FDCF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889" w:type="dxa"/>
            <w:gridSpan w:val="3"/>
            <w:noWrap/>
            <w:vAlign w:val="center"/>
          </w:tcPr>
          <w:p w14:paraId="321A8A44">
            <w:pPr>
              <w:adjustRightInd w:val="0"/>
              <w:snapToGrid w:val="0"/>
              <w:spacing w:line="240" w:lineRule="auto"/>
              <w:rPr>
                <w:rFonts w:ascii="宋体" w:hAnsi="宋体" w:cs="宋体"/>
                <w:b/>
                <w:szCs w:val="21"/>
              </w:rPr>
            </w:pPr>
            <w:r>
              <w:rPr>
                <w:rFonts w:hint="eastAsia" w:ascii="宋体" w:hAnsi="宋体" w:cs="宋体"/>
                <w:b/>
                <w:szCs w:val="21"/>
              </w:rPr>
              <w:t>六、中标信息公布</w:t>
            </w:r>
          </w:p>
        </w:tc>
      </w:tr>
      <w:tr w14:paraId="2A6D1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5719D8D7">
            <w:pPr>
              <w:adjustRightInd w:val="0"/>
              <w:snapToGrid w:val="0"/>
              <w:spacing w:line="240" w:lineRule="auto"/>
              <w:jc w:val="center"/>
              <w:rPr>
                <w:rFonts w:ascii="宋体" w:hAnsi="宋体" w:cs="宋体"/>
                <w:szCs w:val="21"/>
              </w:rPr>
            </w:pPr>
            <w:r>
              <w:rPr>
                <w:rFonts w:hint="eastAsia" w:ascii="宋体" w:hAnsi="宋体" w:cs="宋体"/>
                <w:szCs w:val="21"/>
              </w:rPr>
              <w:t>第31.2</w:t>
            </w:r>
            <w:r>
              <w:rPr>
                <w:rFonts w:hint="eastAsia" w:ascii="宋体" w:hAnsi="宋体" w:cs="宋体"/>
                <w:kern w:val="0"/>
                <w:szCs w:val="21"/>
                <w:lang w:val="zh-CN"/>
              </w:rPr>
              <w:t>款</w:t>
            </w:r>
          </w:p>
        </w:tc>
        <w:tc>
          <w:tcPr>
            <w:tcW w:w="2080" w:type="dxa"/>
            <w:noWrap/>
            <w:vAlign w:val="center"/>
          </w:tcPr>
          <w:p w14:paraId="7C08E471">
            <w:pPr>
              <w:adjustRightInd w:val="0"/>
              <w:snapToGrid w:val="0"/>
              <w:spacing w:beforeLines="50" w:line="240" w:lineRule="auto"/>
              <w:rPr>
                <w:rFonts w:ascii="宋体" w:hAnsi="宋体" w:cs="宋体"/>
                <w:szCs w:val="21"/>
              </w:rPr>
            </w:pPr>
            <w:r>
              <w:rPr>
                <w:rFonts w:hint="eastAsia" w:ascii="宋体" w:hAnsi="宋体" w:cs="宋体"/>
                <w:szCs w:val="21"/>
              </w:rPr>
              <w:t>确定中标人的方式</w:t>
            </w:r>
          </w:p>
        </w:tc>
        <w:tc>
          <w:tcPr>
            <w:tcW w:w="6533" w:type="dxa"/>
            <w:noWrap/>
            <w:vAlign w:val="center"/>
          </w:tcPr>
          <w:p w14:paraId="43F7F59F">
            <w:pPr>
              <w:adjustRightInd w:val="0"/>
              <w:snapToGrid w:val="0"/>
              <w:spacing w:beforeLines="50" w:line="240" w:lineRule="auto"/>
              <w:rPr>
                <w:rFonts w:ascii="宋体" w:hAnsi="宋体" w:cs="宋体"/>
                <w:szCs w:val="21"/>
              </w:rPr>
            </w:pPr>
            <w:r>
              <w:rPr>
                <w:rFonts w:hint="eastAsia" w:ascii="宋体" w:hAnsi="宋体" w:cs="宋体"/>
                <w:szCs w:val="21"/>
              </w:rPr>
              <w:t>■得分相同的，按投标报价由低到高顺序排列。得分且投标报价相同的，按技术指标优劣顺序排列。</w:t>
            </w:r>
          </w:p>
          <w:p w14:paraId="61BCD089">
            <w:pPr>
              <w:adjustRightInd w:val="0"/>
              <w:snapToGrid w:val="0"/>
              <w:spacing w:beforeLines="50" w:line="240" w:lineRule="auto"/>
              <w:rPr>
                <w:rFonts w:ascii="宋体" w:hAnsi="宋体" w:cs="宋体"/>
                <w:szCs w:val="21"/>
              </w:rPr>
            </w:pPr>
            <w:r>
              <w:rPr>
                <w:rFonts w:hint="eastAsia" w:ascii="宋体" w:hAnsi="宋体" w:cs="宋体"/>
                <w:szCs w:val="21"/>
              </w:rPr>
              <w:t>□随机抽取的方式。</w:t>
            </w:r>
          </w:p>
        </w:tc>
      </w:tr>
      <w:tr w14:paraId="14413C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699E2E9D">
            <w:pPr>
              <w:adjustRightInd w:val="0"/>
              <w:snapToGrid w:val="0"/>
              <w:spacing w:line="240" w:lineRule="auto"/>
              <w:jc w:val="center"/>
              <w:rPr>
                <w:rFonts w:ascii="宋体" w:hAnsi="宋体" w:cs="宋体"/>
                <w:szCs w:val="21"/>
              </w:rPr>
            </w:pPr>
            <w:r>
              <w:rPr>
                <w:rFonts w:hint="eastAsia" w:ascii="宋体" w:hAnsi="宋体"/>
                <w:szCs w:val="21"/>
              </w:rPr>
              <w:t>第29.3</w:t>
            </w:r>
            <w:r>
              <w:rPr>
                <w:rFonts w:hint="eastAsia" w:ascii="宋体" w:hAnsi="宋体" w:cs="宋体"/>
                <w:kern w:val="0"/>
                <w:szCs w:val="21"/>
                <w:lang w:val="zh-CN"/>
              </w:rPr>
              <w:t>款</w:t>
            </w:r>
          </w:p>
        </w:tc>
        <w:tc>
          <w:tcPr>
            <w:tcW w:w="2080" w:type="dxa"/>
            <w:noWrap/>
            <w:vAlign w:val="center"/>
          </w:tcPr>
          <w:p w14:paraId="66DB771A">
            <w:pPr>
              <w:adjustRightInd w:val="0"/>
              <w:snapToGrid w:val="0"/>
              <w:spacing w:line="240" w:lineRule="auto"/>
              <w:jc w:val="left"/>
              <w:rPr>
                <w:rFonts w:ascii="宋体" w:hAnsi="宋体" w:cs="宋体"/>
                <w:szCs w:val="21"/>
              </w:rPr>
            </w:pPr>
            <w:r>
              <w:rPr>
                <w:rFonts w:hint="eastAsia" w:ascii="宋体" w:hAnsi="宋体"/>
                <w:szCs w:val="21"/>
              </w:rPr>
              <w:t>接收质疑函的联系部门、联系电话和通讯地址</w:t>
            </w:r>
          </w:p>
        </w:tc>
        <w:tc>
          <w:tcPr>
            <w:tcW w:w="6533" w:type="dxa"/>
            <w:noWrap/>
            <w:vAlign w:val="center"/>
          </w:tcPr>
          <w:p w14:paraId="1C2E88CA">
            <w:pPr>
              <w:adjustRightInd w:val="0"/>
              <w:snapToGrid w:val="0"/>
              <w:spacing w:line="240" w:lineRule="auto"/>
              <w:rPr>
                <w:rFonts w:hint="eastAsia" w:ascii="宋体" w:hAnsi="宋体" w:eastAsia="宋体" w:cs="宋体"/>
                <w:szCs w:val="21"/>
                <w:lang w:eastAsia="zh-CN"/>
              </w:rPr>
            </w:pPr>
            <w:r>
              <w:rPr>
                <w:rFonts w:hint="eastAsia" w:ascii="宋体" w:hAnsi="宋体" w:cs="宋体"/>
                <w:szCs w:val="21"/>
              </w:rPr>
              <w:t>名  称：</w:t>
            </w:r>
            <w:r>
              <w:rPr>
                <w:rFonts w:hint="eastAsia" w:ascii="宋体" w:hAnsi="宋体" w:cs="宋体"/>
                <w:szCs w:val="21"/>
                <w:u w:val="single"/>
                <w:lang w:eastAsia="zh-CN"/>
              </w:rPr>
              <w:t>福州市安永工程监理有限公司</w:t>
            </w:r>
          </w:p>
          <w:p w14:paraId="07CC3F56">
            <w:pPr>
              <w:adjustRightInd w:val="0"/>
              <w:snapToGrid w:val="0"/>
              <w:spacing w:line="240" w:lineRule="auto"/>
              <w:rPr>
                <w:rFonts w:hint="eastAsia" w:ascii="宋体" w:hAnsi="宋体" w:cs="宋体"/>
                <w:szCs w:val="21"/>
                <w:u w:val="single"/>
                <w:lang w:eastAsia="zh-CN"/>
              </w:rPr>
            </w:pPr>
            <w:r>
              <w:rPr>
                <w:rFonts w:hint="eastAsia" w:ascii="宋体" w:hAnsi="宋体" w:cs="宋体"/>
                <w:szCs w:val="21"/>
              </w:rPr>
              <w:t>地  址：</w:t>
            </w:r>
            <w:r>
              <w:rPr>
                <w:rFonts w:hint="eastAsia" w:ascii="宋体" w:hAnsi="宋体" w:cs="宋体"/>
                <w:szCs w:val="21"/>
                <w:u w:val="single"/>
                <w:lang w:eastAsia="zh-CN"/>
              </w:rPr>
              <w:t>岳阳市岳阳楼区王家河街道巴陵东路鑫泓花园D栋（鑫泓花园右侧商铺）</w:t>
            </w:r>
          </w:p>
          <w:p w14:paraId="04DB2E5A">
            <w:pPr>
              <w:adjustRightInd w:val="0"/>
              <w:snapToGrid w:val="0"/>
              <w:spacing w:line="240" w:lineRule="auto"/>
              <w:rPr>
                <w:rFonts w:hint="eastAsia" w:ascii="宋体" w:hAnsi="宋体" w:cs="宋体"/>
                <w:szCs w:val="21"/>
                <w:u w:val="single"/>
              </w:rPr>
            </w:pPr>
            <w:r>
              <w:rPr>
                <w:rFonts w:hint="eastAsia" w:ascii="宋体" w:hAnsi="宋体" w:cs="宋体"/>
                <w:szCs w:val="21"/>
              </w:rPr>
              <w:t>联系人：</w:t>
            </w:r>
            <w:r>
              <w:rPr>
                <w:rFonts w:hint="eastAsia" w:ascii="宋体" w:hAnsi="宋体" w:cs="宋体"/>
                <w:szCs w:val="21"/>
                <w:u w:val="single"/>
              </w:rPr>
              <w:t>陈</w:t>
            </w:r>
            <w:r>
              <w:rPr>
                <w:rFonts w:hint="eastAsia" w:ascii="宋体" w:hAnsi="宋体" w:cs="宋体"/>
                <w:szCs w:val="21"/>
                <w:u w:val="single"/>
                <w:lang w:val="en-US" w:eastAsia="zh-CN"/>
              </w:rPr>
              <w:t>兴</w:t>
            </w:r>
            <w:r>
              <w:rPr>
                <w:rFonts w:hint="eastAsia" w:ascii="宋体" w:hAnsi="宋体" w:cs="宋体"/>
                <w:szCs w:val="21"/>
                <w:u w:val="single"/>
              </w:rPr>
              <w:t xml:space="preserve"> </w:t>
            </w:r>
          </w:p>
          <w:p w14:paraId="36FD2476">
            <w:pPr>
              <w:adjustRightInd w:val="0"/>
              <w:snapToGrid w:val="0"/>
              <w:spacing w:line="240" w:lineRule="auto"/>
              <w:rPr>
                <w:rFonts w:ascii="宋体" w:hAnsi="宋体" w:cs="宋体"/>
                <w:szCs w:val="21"/>
              </w:rPr>
            </w:pPr>
            <w:r>
              <w:rPr>
                <w:rFonts w:hint="eastAsia" w:ascii="宋体" w:hAnsi="宋体" w:cs="宋体"/>
                <w:szCs w:val="21"/>
              </w:rPr>
              <w:t>联系电话：</w:t>
            </w:r>
            <w:r>
              <w:rPr>
                <w:rFonts w:hint="eastAsia" w:ascii="宋体" w:hAnsi="宋体" w:cs="宋体"/>
                <w:szCs w:val="21"/>
                <w:u w:val="single"/>
              </w:rPr>
              <w:t>0730-8581818</w:t>
            </w:r>
          </w:p>
        </w:tc>
      </w:tr>
      <w:tr w14:paraId="20D4F2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889" w:type="dxa"/>
            <w:gridSpan w:val="3"/>
            <w:noWrap/>
            <w:vAlign w:val="center"/>
          </w:tcPr>
          <w:p w14:paraId="4DE40DC6">
            <w:pPr>
              <w:adjustRightInd w:val="0"/>
              <w:snapToGrid w:val="0"/>
              <w:spacing w:beforeLines="50" w:line="240" w:lineRule="auto"/>
              <w:rPr>
                <w:rFonts w:ascii="宋体" w:hAnsi="宋体" w:cs="宋体"/>
                <w:szCs w:val="21"/>
              </w:rPr>
            </w:pPr>
            <w:r>
              <w:rPr>
                <w:rFonts w:hint="eastAsia" w:ascii="宋体" w:hAnsi="宋体" w:cs="宋体"/>
                <w:szCs w:val="21"/>
              </w:rPr>
              <w:t>七、合同签订</w:t>
            </w:r>
          </w:p>
        </w:tc>
      </w:tr>
      <w:tr w14:paraId="2DACE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2" w:hRule="atLeast"/>
        </w:trPr>
        <w:tc>
          <w:tcPr>
            <w:tcW w:w="1276" w:type="dxa"/>
            <w:noWrap/>
            <w:vAlign w:val="center"/>
          </w:tcPr>
          <w:p w14:paraId="6D7E722F">
            <w:pPr>
              <w:adjustRightInd w:val="0"/>
              <w:snapToGrid w:val="0"/>
              <w:spacing w:line="240" w:lineRule="auto"/>
              <w:jc w:val="center"/>
              <w:rPr>
                <w:rFonts w:ascii="宋体" w:hAnsi="宋体" w:cs="宋体"/>
                <w:szCs w:val="21"/>
              </w:rPr>
            </w:pPr>
            <w:r>
              <w:rPr>
                <w:rFonts w:hint="eastAsia" w:ascii="宋体" w:hAnsi="宋体" w:cs="宋体"/>
                <w:szCs w:val="21"/>
              </w:rPr>
              <w:t>第34.1</w:t>
            </w:r>
            <w:r>
              <w:rPr>
                <w:rFonts w:hint="eastAsia" w:ascii="宋体" w:hAnsi="宋体" w:cs="宋体"/>
                <w:kern w:val="0"/>
                <w:szCs w:val="21"/>
                <w:lang w:val="zh-CN"/>
              </w:rPr>
              <w:t>款</w:t>
            </w:r>
          </w:p>
        </w:tc>
        <w:tc>
          <w:tcPr>
            <w:tcW w:w="2080" w:type="dxa"/>
            <w:noWrap/>
            <w:vAlign w:val="center"/>
          </w:tcPr>
          <w:p w14:paraId="7BD54BB9">
            <w:pPr>
              <w:adjustRightInd w:val="0"/>
              <w:snapToGrid w:val="0"/>
              <w:spacing w:beforeLines="50" w:line="240" w:lineRule="auto"/>
              <w:jc w:val="center"/>
              <w:rPr>
                <w:rFonts w:ascii="宋体" w:hAnsi="宋体" w:cs="宋体"/>
                <w:szCs w:val="21"/>
              </w:rPr>
            </w:pPr>
            <w:r>
              <w:rPr>
                <w:rFonts w:hint="eastAsia" w:ascii="宋体" w:hAnsi="宋体" w:cs="宋体"/>
                <w:szCs w:val="21"/>
              </w:rPr>
              <w:t>履约担保</w:t>
            </w:r>
          </w:p>
        </w:tc>
        <w:tc>
          <w:tcPr>
            <w:tcW w:w="6533" w:type="dxa"/>
            <w:noWrap/>
            <w:vAlign w:val="center"/>
          </w:tcPr>
          <w:p w14:paraId="7591A07D">
            <w:pPr>
              <w:adjustRightInd w:val="0"/>
              <w:snapToGrid w:val="0"/>
              <w:spacing w:beforeLines="50" w:line="240" w:lineRule="auto"/>
              <w:rPr>
                <w:rFonts w:ascii="宋体" w:hAnsi="宋体"/>
                <w:szCs w:val="21"/>
              </w:rPr>
            </w:pPr>
            <w:r>
              <w:rPr>
                <w:rFonts w:hint="eastAsia" w:ascii="宋体" w:hAnsi="宋体"/>
                <w:szCs w:val="21"/>
              </w:rPr>
              <w:t>■ 不要求提供</w:t>
            </w:r>
          </w:p>
          <w:p w14:paraId="4381ECDE">
            <w:pPr>
              <w:adjustRightInd w:val="0"/>
              <w:snapToGrid w:val="0"/>
              <w:spacing w:beforeLines="50" w:line="240" w:lineRule="auto"/>
              <w:rPr>
                <w:rFonts w:ascii="宋体" w:hAnsi="宋体" w:cs="宋体"/>
                <w:szCs w:val="21"/>
              </w:rPr>
            </w:pPr>
            <w:r>
              <w:rPr>
                <w:rFonts w:hint="eastAsia" w:ascii="宋体" w:hAnsi="宋体"/>
                <w:szCs w:val="21"/>
              </w:rPr>
              <w:t>□ 要求提供，履约担保的金额为：_________。</w:t>
            </w:r>
          </w:p>
        </w:tc>
      </w:tr>
      <w:tr w14:paraId="6F3323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trPr>
        <w:tc>
          <w:tcPr>
            <w:tcW w:w="9889" w:type="dxa"/>
            <w:gridSpan w:val="3"/>
            <w:noWrap/>
            <w:vAlign w:val="center"/>
          </w:tcPr>
          <w:p w14:paraId="33B45D5F">
            <w:pPr>
              <w:adjustRightInd w:val="0"/>
              <w:snapToGrid w:val="0"/>
              <w:spacing w:beforeLines="50" w:line="240" w:lineRule="auto"/>
              <w:rPr>
                <w:rFonts w:ascii="宋体" w:hAnsi="宋体" w:cs="宋体"/>
                <w:szCs w:val="21"/>
              </w:rPr>
            </w:pPr>
            <w:r>
              <w:rPr>
                <w:rFonts w:hint="eastAsia" w:ascii="宋体" w:hAnsi="宋体" w:cs="宋体"/>
                <w:szCs w:val="21"/>
              </w:rPr>
              <w:t>八、其他规定</w:t>
            </w:r>
          </w:p>
        </w:tc>
      </w:tr>
      <w:tr w14:paraId="0F2300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14369C68">
            <w:pPr>
              <w:adjustRightInd w:val="0"/>
              <w:snapToGrid w:val="0"/>
              <w:spacing w:line="240" w:lineRule="auto"/>
              <w:jc w:val="center"/>
              <w:rPr>
                <w:rFonts w:ascii="宋体" w:hAnsi="宋体" w:cs="宋体"/>
                <w:szCs w:val="21"/>
              </w:rPr>
            </w:pPr>
            <w:r>
              <w:rPr>
                <w:rFonts w:hint="eastAsia" w:ascii="宋体" w:hAnsi="宋体" w:cs="宋体"/>
                <w:szCs w:val="21"/>
              </w:rPr>
              <w:t>第38.2</w:t>
            </w:r>
            <w:r>
              <w:rPr>
                <w:rFonts w:hint="eastAsia" w:ascii="宋体" w:hAnsi="宋体" w:cs="宋体"/>
                <w:kern w:val="0"/>
                <w:szCs w:val="21"/>
                <w:lang w:val="zh-CN"/>
              </w:rPr>
              <w:t>款</w:t>
            </w:r>
          </w:p>
        </w:tc>
        <w:tc>
          <w:tcPr>
            <w:tcW w:w="2080" w:type="dxa"/>
            <w:noWrap/>
            <w:vAlign w:val="center"/>
          </w:tcPr>
          <w:p w14:paraId="540F5C56">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招标代理服务费</w:t>
            </w:r>
          </w:p>
        </w:tc>
        <w:tc>
          <w:tcPr>
            <w:tcW w:w="6533" w:type="dxa"/>
            <w:noWrap/>
            <w:vAlign w:val="center"/>
          </w:tcPr>
          <w:p w14:paraId="60D9A48F">
            <w:pPr>
              <w:adjustRightInd w:val="0"/>
              <w:snapToGrid w:val="0"/>
              <w:spacing w:line="240" w:lineRule="auto"/>
              <w:rPr>
                <w:rFonts w:hint="default" w:ascii="宋体" w:hAnsi="宋体" w:eastAsia="宋体" w:cs="宋体"/>
                <w:szCs w:val="21"/>
                <w:highlight w:val="none"/>
                <w:lang w:val="en-US" w:eastAsia="zh-CN"/>
              </w:rPr>
            </w:pPr>
            <w:r>
              <w:rPr>
                <w:rFonts w:hint="eastAsia" w:ascii="宋体" w:hAnsi="宋体" w:cs="宋体"/>
                <w:color w:val="auto"/>
                <w:szCs w:val="21"/>
                <w:highlight w:val="none"/>
              </w:rPr>
              <w:t>招标代理服务费</w:t>
            </w:r>
            <w:r>
              <w:rPr>
                <w:rFonts w:hint="eastAsia" w:ascii="宋体" w:hAnsi="宋体" w:cs="宋体"/>
                <w:color w:val="auto"/>
                <w:szCs w:val="21"/>
                <w:highlight w:val="none"/>
                <w:u w:val="single"/>
                <w:lang w:val="en-US" w:eastAsia="zh-CN"/>
              </w:rPr>
              <w:t>：采购代理机构按照合同约定向采购人收取代理服务费不超过18290元，招标采购程序完成后支付。</w:t>
            </w:r>
          </w:p>
        </w:tc>
      </w:tr>
      <w:tr w14:paraId="2010F0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ign w:val="center"/>
          </w:tcPr>
          <w:p w14:paraId="268E5915">
            <w:pPr>
              <w:adjustRightInd w:val="0"/>
              <w:snapToGrid w:val="0"/>
              <w:spacing w:line="240" w:lineRule="auto"/>
              <w:jc w:val="center"/>
              <w:rPr>
                <w:rFonts w:ascii="宋体" w:hAnsi="宋体" w:cs="宋体"/>
                <w:szCs w:val="21"/>
              </w:rPr>
            </w:pPr>
            <w:r>
              <w:rPr>
                <w:rFonts w:hint="eastAsia" w:ascii="宋体" w:hAnsi="宋体" w:cs="宋体"/>
                <w:szCs w:val="21"/>
              </w:rPr>
              <w:t>第39.1</w:t>
            </w:r>
            <w:r>
              <w:rPr>
                <w:rFonts w:hint="eastAsia" w:ascii="宋体" w:hAnsi="宋体" w:cs="宋体"/>
                <w:kern w:val="0"/>
                <w:szCs w:val="21"/>
                <w:lang w:val="zh-CN"/>
              </w:rPr>
              <w:t>款</w:t>
            </w:r>
          </w:p>
        </w:tc>
        <w:tc>
          <w:tcPr>
            <w:tcW w:w="2080" w:type="dxa"/>
            <w:noWrap/>
            <w:vAlign w:val="center"/>
          </w:tcPr>
          <w:p w14:paraId="1FCAD577">
            <w:pPr>
              <w:adjustRightInd w:val="0"/>
              <w:snapToGrid w:val="0"/>
              <w:spacing w:line="240" w:lineRule="auto"/>
              <w:jc w:val="center"/>
              <w:rPr>
                <w:rFonts w:ascii="宋体" w:hAnsi="宋体" w:cs="宋体"/>
                <w:szCs w:val="21"/>
              </w:rPr>
            </w:pPr>
            <w:r>
              <w:rPr>
                <w:rFonts w:hint="eastAsia" w:ascii="宋体" w:hAnsi="宋体" w:cs="宋体"/>
                <w:szCs w:val="21"/>
              </w:rPr>
              <w:t>其他规定</w:t>
            </w:r>
          </w:p>
        </w:tc>
        <w:tc>
          <w:tcPr>
            <w:tcW w:w="6533" w:type="dxa"/>
            <w:noWrap/>
            <w:vAlign w:val="center"/>
          </w:tcPr>
          <w:p w14:paraId="65B2C0C6">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对列入失信被执行人、重大税收违法案件当事人名单、政府采购严重违法失信行为记录名单及其他不符合《中华人民共和国政府采购法》第二十二条规定条件的供应商，应当拒绝其参与政府采购活动。</w:t>
            </w:r>
          </w:p>
          <w:p w14:paraId="74590B5E">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276B539">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宋体" w:hAnsi="宋体" w:cs="宋体"/>
              </w:rPr>
            </w:pPr>
            <w:r>
              <w:rPr>
                <w:rFonts w:hint="eastAsia" w:ascii="宋体" w:hAnsi="宋体" w:cs="宋体"/>
              </w:rPr>
              <w:t>1、信用信息查询的查询渠道：信用中国网站（www.creditchina.gov.cn）、中国政府采购网（www.ccgp.gov.cn）、湖南信用网（www.hncredit.gov.cn）和湖南省政府采购网（</w:t>
            </w:r>
            <w:r>
              <w:fldChar w:fldCharType="begin"/>
            </w:r>
            <w:r>
              <w:instrText xml:space="preserve"> HYPERLINK "http://www.ccgp-hunan.gov.cn" </w:instrText>
            </w:r>
            <w:r>
              <w:fldChar w:fldCharType="separate"/>
            </w:r>
            <w:r>
              <w:rPr>
                <w:rFonts w:hint="eastAsia" w:ascii="宋体" w:hAnsi="宋体" w:cs="宋体"/>
              </w:rPr>
              <w:t>www.ccgp-hunan.gov.cn</w:t>
            </w:r>
            <w:r>
              <w:rPr>
                <w:rFonts w:hint="eastAsia" w:ascii="宋体" w:hAnsi="宋体" w:cs="宋体"/>
              </w:rPr>
              <w:fldChar w:fldCharType="end"/>
            </w:r>
            <w:r>
              <w:rPr>
                <w:rFonts w:hint="eastAsia" w:ascii="宋体" w:hAnsi="宋体" w:cs="宋体"/>
              </w:rPr>
              <w:t>）。</w:t>
            </w:r>
          </w:p>
          <w:p w14:paraId="25E931DF">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2、信用信息查询的截止时点：至本项目投标截止时间止。</w:t>
            </w:r>
          </w:p>
          <w:p w14:paraId="693D2942">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3、信用信息查询记录的具体方式：由采购人或采购代理机构在规定的查询渠道进行查询。</w:t>
            </w:r>
          </w:p>
          <w:p w14:paraId="42F6DF75">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4、信用信息查询记录证据留存的具体方式：查询记录的网上打印件。</w:t>
            </w:r>
          </w:p>
          <w:p w14:paraId="66DA884B">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ascii="宋体" w:hAnsi="宋体" w:cs="宋体"/>
              </w:rPr>
              <w:t>5、信用信息的使用规则：留存备查。</w:t>
            </w:r>
          </w:p>
          <w:p w14:paraId="43D11CAF">
            <w:pPr>
              <w:keepNext w:val="0"/>
              <w:keepLines w:val="0"/>
              <w:pageBreakBefore w:val="0"/>
              <w:widowControl w:val="0"/>
              <w:kinsoku/>
              <w:wordWrap/>
              <w:overflowPunct/>
              <w:topLinePunct w:val="0"/>
              <w:autoSpaceDE/>
              <w:autoSpaceDN/>
              <w:bidi w:val="0"/>
              <w:adjustRightInd w:val="0"/>
              <w:snapToGrid w:val="0"/>
              <w:spacing w:line="340" w:lineRule="exact"/>
              <w:textAlignment w:val="auto"/>
            </w:pPr>
            <w:r>
              <w:rPr>
                <w:rFonts w:hint="eastAsia"/>
              </w:rPr>
              <w:t>6、供应商如有本文件中规定的价格扣除因素，在投标文件中必须提供依据，并将该部分产品分别单独列表且计算该部分产品占总投标报价的比重，否则评审时不对该部分产品实行价格扣除。</w:t>
            </w:r>
          </w:p>
          <w:p w14:paraId="4E7594B4">
            <w:pPr>
              <w:keepNext w:val="0"/>
              <w:keepLines w:val="0"/>
              <w:pageBreakBefore w:val="0"/>
              <w:widowControl w:val="0"/>
              <w:kinsoku/>
              <w:wordWrap/>
              <w:overflowPunct/>
              <w:topLinePunct w:val="0"/>
              <w:autoSpaceDE/>
              <w:autoSpaceDN/>
              <w:bidi w:val="0"/>
              <w:adjustRightInd w:val="0"/>
              <w:snapToGrid w:val="0"/>
              <w:spacing w:line="340" w:lineRule="exact"/>
              <w:textAlignment w:val="auto"/>
            </w:pPr>
            <w:r>
              <w:rPr>
                <w:rFonts w:hint="eastAsia"/>
              </w:rPr>
              <w:t>7、质疑处理：本项目如果引起质疑，则由过错方承担质疑费用，如果是供应商某方过错，则由供应商过错方承担相关费用。</w:t>
            </w:r>
          </w:p>
          <w:p w14:paraId="7FD92F88">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宋体" w:hAnsi="宋体" w:cs="宋体"/>
              </w:rPr>
            </w:pPr>
            <w:r>
              <w:rPr>
                <w:rFonts w:hint="eastAsia"/>
              </w:rPr>
              <w:t>8、</w:t>
            </w:r>
            <w:r>
              <w:rPr>
                <w:rFonts w:hint="eastAsia" w:ascii="宋体" w:hAnsi="宋体" w:cs="宋体"/>
              </w:rPr>
              <w:t>其他未尽事项，在合同中约定。</w:t>
            </w:r>
          </w:p>
        </w:tc>
      </w:tr>
    </w:tbl>
    <w:p w14:paraId="60A27706">
      <w:pPr>
        <w:adjustRightInd w:val="0"/>
        <w:snapToGrid w:val="0"/>
        <w:spacing w:line="360" w:lineRule="auto"/>
        <w:rPr>
          <w:rFonts w:ascii="宋体" w:hAnsi="宋体" w:cs="宋体"/>
          <w:kern w:val="0"/>
          <w:szCs w:val="21"/>
        </w:rPr>
      </w:pPr>
    </w:p>
    <w:p w14:paraId="258AB826">
      <w:pPr>
        <w:adjustRightInd w:val="0"/>
        <w:snapToGrid w:val="0"/>
        <w:spacing w:line="360" w:lineRule="auto"/>
        <w:rPr>
          <w:rFonts w:ascii="宋体" w:hAnsi="宋体" w:cs="宋体"/>
          <w:kern w:val="0"/>
          <w:szCs w:val="21"/>
        </w:rPr>
      </w:pPr>
    </w:p>
    <w:p w14:paraId="36C129C7">
      <w:pPr>
        <w:adjustRightInd w:val="0"/>
        <w:snapToGrid w:val="0"/>
        <w:spacing w:line="360" w:lineRule="auto"/>
        <w:rPr>
          <w:rFonts w:ascii="宋体" w:hAnsi="宋体" w:cs="宋体"/>
          <w:kern w:val="0"/>
          <w:szCs w:val="21"/>
        </w:rPr>
      </w:pPr>
    </w:p>
    <w:p w14:paraId="345CC75D">
      <w:pPr>
        <w:adjustRightInd w:val="0"/>
        <w:snapToGrid w:val="0"/>
        <w:spacing w:line="360" w:lineRule="auto"/>
        <w:rPr>
          <w:rFonts w:ascii="宋体" w:hAnsi="宋体" w:cs="宋体"/>
          <w:kern w:val="0"/>
          <w:szCs w:val="21"/>
        </w:rPr>
      </w:pPr>
    </w:p>
    <w:p w14:paraId="6B430F2D">
      <w:pPr>
        <w:adjustRightInd w:val="0"/>
        <w:snapToGrid w:val="0"/>
        <w:spacing w:line="360" w:lineRule="auto"/>
        <w:rPr>
          <w:rFonts w:ascii="宋体" w:hAnsi="宋体" w:cs="宋体"/>
          <w:kern w:val="0"/>
          <w:szCs w:val="21"/>
        </w:rPr>
      </w:pPr>
    </w:p>
    <w:p w14:paraId="6BF59D57">
      <w:pPr>
        <w:adjustRightInd w:val="0"/>
        <w:snapToGrid w:val="0"/>
        <w:spacing w:line="360" w:lineRule="auto"/>
        <w:rPr>
          <w:rFonts w:ascii="宋体" w:hAnsi="宋体" w:cs="宋体"/>
          <w:kern w:val="0"/>
          <w:szCs w:val="21"/>
        </w:rPr>
      </w:pPr>
    </w:p>
    <w:p w14:paraId="0D1F6E12">
      <w:pPr>
        <w:adjustRightInd w:val="0"/>
        <w:snapToGrid w:val="0"/>
        <w:spacing w:line="360" w:lineRule="auto"/>
        <w:rPr>
          <w:rFonts w:ascii="宋体" w:hAnsi="宋体" w:cs="宋体"/>
          <w:kern w:val="0"/>
          <w:szCs w:val="21"/>
        </w:rPr>
      </w:pPr>
    </w:p>
    <w:p w14:paraId="4B4C156F">
      <w:pPr>
        <w:adjustRightInd w:val="0"/>
        <w:snapToGrid w:val="0"/>
        <w:spacing w:line="360" w:lineRule="auto"/>
        <w:rPr>
          <w:rFonts w:ascii="宋体" w:hAnsi="宋体" w:cs="宋体"/>
          <w:kern w:val="0"/>
          <w:szCs w:val="21"/>
        </w:rPr>
      </w:pPr>
    </w:p>
    <w:p w14:paraId="3AC23666">
      <w:pPr>
        <w:pStyle w:val="120"/>
        <w:ind w:left="0" w:leftChars="0" w:firstLine="0" w:firstLineChars="0"/>
        <w:rPr>
          <w:rFonts w:ascii="宋体" w:hAnsi="宋体" w:cs="宋体"/>
          <w:szCs w:val="21"/>
        </w:rPr>
      </w:pPr>
    </w:p>
    <w:p w14:paraId="3B40DF78">
      <w:pPr>
        <w:pStyle w:val="120"/>
        <w:ind w:firstLine="0"/>
        <w:rPr>
          <w:rFonts w:ascii="宋体" w:hAnsi="宋体" w:cs="宋体"/>
          <w:szCs w:val="21"/>
        </w:rPr>
      </w:pPr>
      <w:r>
        <w:rPr>
          <w:rFonts w:hint="eastAsia" w:ascii="宋体" w:hAnsi="宋体" w:cs="宋体"/>
          <w:szCs w:val="21"/>
        </w:rPr>
        <w:t>附页2-1</w:t>
      </w:r>
    </w:p>
    <w:p w14:paraId="1FA99712">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44DA8928">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为进一步优化营商环境，帮助企业解决融资难、融资贵的问题，所有在岳阳市成交的政府采购类项目，中标企业都可以通过中标贷平台在线向银行提出贷款申请。</w:t>
      </w:r>
    </w:p>
    <w:p w14:paraId="741496DE">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中标贷是银行、担保公司等金融机构以工程建设、政府采购合同为载体，以财政支付为保障，以企业参与公共资源交易形成的信用为融资依据，向中标企业发放的信用贷款。</w:t>
      </w:r>
    </w:p>
    <w:p w14:paraId="4B9EE916">
      <w:pPr>
        <w:pStyle w:val="90"/>
        <w:widowControl w:val="0"/>
        <w:spacing w:line="360" w:lineRule="auto"/>
        <w:ind w:firstLine="420" w:firstLineChars="200"/>
        <w:outlineLvl w:val="0"/>
        <w:rPr>
          <w:rFonts w:hint="eastAsia" w:ascii="宋体" w:hAnsi="宋体" w:eastAsia="宋体" w:cs="宋体"/>
          <w:sz w:val="21"/>
          <w:szCs w:val="21"/>
        </w:rPr>
      </w:pPr>
      <w:bookmarkStart w:id="53" w:name="_Toc9918"/>
      <w:r>
        <w:rPr>
          <w:rFonts w:hint="eastAsia" w:ascii="宋体" w:hAnsi="宋体" w:eastAsia="宋体" w:cs="宋体"/>
          <w:sz w:val="21"/>
          <w:szCs w:val="21"/>
        </w:rPr>
        <w:t>一、中标贷的特点</w:t>
      </w:r>
      <w:bookmarkEnd w:id="53"/>
    </w:p>
    <w:p w14:paraId="5BC1C365">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在线申请，快捷方便：中标企业用CA证书即可登录中标贷平台，进行在线申请。银行贷前、贷中调查需要的企业相关资料，都可以在线提交。</w:t>
      </w:r>
    </w:p>
    <w:p w14:paraId="2AA0B382">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信用贷款，无需抵押：凭中标通知书，中标合同即可申请，无需抵押。</w:t>
      </w:r>
    </w:p>
    <w:p w14:paraId="6A224CCE">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平台渠道，利率优惠：相比其他渠道的同类贷款，银行针对中标贷给出的利率优惠力度更大。</w:t>
      </w:r>
    </w:p>
    <w:p w14:paraId="2B701A07">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专用产品，放款快速：银行提供专用产品匹配中标贷，中标企业提交中标合同、约定还款账号等关键资料后，符合条件的，不超过15天即可放款。</w:t>
      </w:r>
    </w:p>
    <w:p w14:paraId="2240813C">
      <w:pPr>
        <w:pStyle w:val="90"/>
        <w:widowControl w:val="0"/>
        <w:spacing w:line="360" w:lineRule="auto"/>
        <w:ind w:firstLine="420" w:firstLineChars="200"/>
        <w:outlineLvl w:val="0"/>
        <w:rPr>
          <w:rFonts w:hint="eastAsia" w:ascii="宋体" w:hAnsi="宋体" w:eastAsia="宋体" w:cs="宋体"/>
          <w:sz w:val="21"/>
          <w:szCs w:val="21"/>
        </w:rPr>
      </w:pPr>
      <w:bookmarkStart w:id="54" w:name="_Toc31275"/>
      <w:r>
        <w:rPr>
          <w:rFonts w:hint="eastAsia" w:ascii="宋体" w:hAnsi="宋体" w:eastAsia="宋体" w:cs="宋体"/>
          <w:sz w:val="21"/>
          <w:szCs w:val="21"/>
        </w:rPr>
        <w:t>二、中标贷的操作</w:t>
      </w:r>
      <w:bookmarkEnd w:id="54"/>
    </w:p>
    <w:p w14:paraId="761B71C2">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登录入口：</w:t>
      </w:r>
    </w:p>
    <w:p w14:paraId="037D7EDC">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岳阳市公共资源交易中心官网-中标贷平台，</w:t>
      </w:r>
    </w:p>
    <w:p w14:paraId="511D0888">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或https://hnyy.biddingloan.com</w:t>
      </w:r>
    </w:p>
    <w:p w14:paraId="57557B4C">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登录工具：企业CA（湖南CA办理电话：0730-8181828）</w:t>
      </w:r>
    </w:p>
    <w:p w14:paraId="6D1B1921">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贷款申请：详见“中标贷操作手册 ”。</w:t>
      </w:r>
    </w:p>
    <w:p w14:paraId="7C22BB79">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岳阳市公共资源交易中心官网-办事服务-政府采购-【中标贷手册V1.2.4】，或下载</w:t>
      </w:r>
    </w:p>
    <w:p w14:paraId="6EACD89D">
      <w:pPr>
        <w:pStyle w:val="90"/>
        <w:widowControl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"http://ggzy.yueyang.gov.cn/uploadfiles/202009/20200917151230447.pdf" </w:instrText>
      </w:r>
      <w:r>
        <w:rPr>
          <w:rFonts w:hint="eastAsia" w:ascii="宋体" w:hAnsi="宋体" w:eastAsia="宋体" w:cs="宋体"/>
          <w:sz w:val="21"/>
          <w:szCs w:val="21"/>
        </w:rPr>
        <w:fldChar w:fldCharType="separate"/>
      </w:r>
      <w:r>
        <w:rPr>
          <w:rStyle w:val="83"/>
          <w:rFonts w:hint="eastAsia" w:ascii="宋体" w:hAnsi="宋体" w:eastAsia="宋体" w:cs="宋体"/>
          <w:color w:val="auto"/>
          <w:sz w:val="21"/>
          <w:szCs w:val="21"/>
          <w:u w:val="none"/>
        </w:rPr>
        <w:t>http://ggzy.yueyang.gov.cn/uploadfiles/202009/20200917151230447.pdf</w:t>
      </w:r>
      <w:r>
        <w:rPr>
          <w:rStyle w:val="83"/>
          <w:rFonts w:hint="eastAsia" w:ascii="宋体" w:hAnsi="宋体" w:eastAsia="宋体" w:cs="宋体"/>
          <w:color w:val="auto"/>
          <w:sz w:val="21"/>
          <w:szCs w:val="21"/>
          <w:u w:val="none"/>
        </w:rPr>
        <w:fldChar w:fldCharType="end"/>
      </w:r>
    </w:p>
    <w:p w14:paraId="7A994BEE">
      <w:pPr>
        <w:pStyle w:val="90"/>
        <w:widowControl w:val="0"/>
        <w:spacing w:line="360" w:lineRule="auto"/>
        <w:ind w:firstLine="420" w:firstLineChars="200"/>
        <w:outlineLvl w:val="0"/>
        <w:rPr>
          <w:rFonts w:hint="eastAsia" w:ascii="宋体" w:hAnsi="宋体" w:eastAsia="宋体" w:cs="宋体"/>
          <w:sz w:val="21"/>
          <w:szCs w:val="21"/>
        </w:rPr>
      </w:pPr>
      <w:bookmarkStart w:id="55" w:name="_Toc11226"/>
      <w:r>
        <w:rPr>
          <w:rFonts w:hint="eastAsia" w:ascii="宋体" w:hAnsi="宋体" w:eastAsia="宋体" w:cs="宋体"/>
          <w:sz w:val="21"/>
          <w:szCs w:val="21"/>
        </w:rPr>
        <w:t>三、业务咨询电话</w:t>
      </w:r>
      <w:bookmarkEnd w:id="55"/>
    </w:p>
    <w:p w14:paraId="52743E18">
      <w:pPr>
        <w:pStyle w:val="90"/>
        <w:widowControl w:val="0"/>
        <w:autoSpaceDN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0730-2966626，张女士</w:t>
      </w:r>
    </w:p>
    <w:p w14:paraId="20EA901E">
      <w:pPr>
        <w:pStyle w:val="90"/>
        <w:widowControl w:val="0"/>
        <w:autoSpaceDN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16673063296，陈工</w:t>
      </w:r>
    </w:p>
    <w:p w14:paraId="6F5771E9">
      <w:pPr>
        <w:pStyle w:val="90"/>
        <w:widowControl w:val="0"/>
        <w:autoSpaceDN w:val="0"/>
        <w:spacing w:line="360" w:lineRule="auto"/>
        <w:ind w:firstLine="420" w:firstLineChars="200"/>
        <w:rPr>
          <w:rFonts w:hint="default" w:ascii="宋体" w:hAnsi="宋体" w:eastAsia="宋体" w:cs="宋体"/>
          <w:sz w:val="21"/>
          <w:szCs w:val="21"/>
          <w:lang w:val="en-US" w:eastAsia="zh-CN"/>
        </w:rPr>
      </w:pPr>
      <w:r>
        <w:rPr>
          <w:rFonts w:ascii="Segoe UI" w:hAnsi="Segoe UI" w:eastAsia="Segoe UI" w:cs="Segoe UI"/>
          <w:i w:val="0"/>
          <w:iCs w:val="0"/>
          <w:caps w:val="0"/>
          <w:spacing w:val="0"/>
          <w:sz w:val="21"/>
          <w:szCs w:val="21"/>
          <w:shd w:val="clear" w:fill="FFFFFF"/>
        </w:rPr>
        <w:t>中标贷为自愿申请，不影响中标资格</w:t>
      </w:r>
      <w:r>
        <w:rPr>
          <w:rFonts w:hint="eastAsia" w:ascii="Segoe UI" w:hAnsi="Segoe UI" w:eastAsia="宋体" w:cs="Segoe UI"/>
          <w:i w:val="0"/>
          <w:iCs w:val="0"/>
          <w:caps w:val="0"/>
          <w:spacing w:val="0"/>
          <w:sz w:val="21"/>
          <w:szCs w:val="21"/>
          <w:shd w:val="clear" w:fill="FFFFFF"/>
          <w:lang w:eastAsia="zh-CN"/>
        </w:rPr>
        <w:t>，</w:t>
      </w:r>
      <w:r>
        <w:rPr>
          <w:rFonts w:hint="eastAsia" w:ascii="Segoe UI" w:hAnsi="Segoe UI" w:eastAsia="宋体" w:cs="Segoe UI"/>
          <w:i w:val="0"/>
          <w:iCs w:val="0"/>
          <w:caps w:val="0"/>
          <w:spacing w:val="0"/>
          <w:sz w:val="21"/>
          <w:szCs w:val="21"/>
          <w:shd w:val="clear" w:fill="FFFFFF"/>
          <w:lang w:val="en-US" w:eastAsia="zh-CN"/>
        </w:rPr>
        <w:t>详情咨询业务联系电话。</w:t>
      </w:r>
    </w:p>
    <w:p w14:paraId="70A14A7F">
      <w:pPr>
        <w:pStyle w:val="90"/>
        <w:widowControl w:val="0"/>
        <w:autoSpaceDN w:val="0"/>
        <w:spacing w:line="360" w:lineRule="auto"/>
        <w:ind w:firstLine="420" w:firstLineChars="200"/>
        <w:rPr>
          <w:rFonts w:hint="eastAsia" w:ascii="宋体" w:hAnsi="宋体" w:eastAsia="宋体" w:cs="宋体"/>
          <w:sz w:val="21"/>
          <w:szCs w:val="21"/>
        </w:rPr>
      </w:pPr>
    </w:p>
    <w:p w14:paraId="3D758BB2">
      <w:pPr>
        <w:pStyle w:val="90"/>
        <w:widowControl w:val="0"/>
        <w:autoSpaceDN w:val="0"/>
        <w:spacing w:line="360" w:lineRule="auto"/>
        <w:ind w:firstLine="420" w:firstLineChars="200"/>
        <w:rPr>
          <w:rFonts w:hint="eastAsia" w:ascii="宋体" w:hAnsi="宋体" w:eastAsia="宋体" w:cs="宋体"/>
          <w:sz w:val="21"/>
          <w:szCs w:val="21"/>
        </w:rPr>
      </w:pPr>
    </w:p>
    <w:p w14:paraId="009CADCC">
      <w:pPr>
        <w:pStyle w:val="90"/>
        <w:widowControl w:val="0"/>
        <w:autoSpaceDN w:val="0"/>
        <w:spacing w:line="360" w:lineRule="auto"/>
        <w:ind w:firstLine="420" w:firstLineChars="200"/>
        <w:rPr>
          <w:rFonts w:hint="eastAsia" w:ascii="宋体" w:hAnsi="宋体" w:eastAsia="宋体" w:cs="宋体"/>
          <w:sz w:val="21"/>
          <w:szCs w:val="21"/>
        </w:rPr>
      </w:pPr>
    </w:p>
    <w:p w14:paraId="743DC3D7">
      <w:pPr>
        <w:pStyle w:val="90"/>
        <w:widowControl w:val="0"/>
        <w:autoSpaceDN w:val="0"/>
        <w:spacing w:line="360" w:lineRule="auto"/>
        <w:ind w:firstLine="420" w:firstLineChars="200"/>
        <w:rPr>
          <w:rFonts w:hint="eastAsia" w:ascii="宋体" w:hAnsi="宋体" w:eastAsia="宋体" w:cs="宋体"/>
          <w:sz w:val="21"/>
          <w:szCs w:val="21"/>
        </w:rPr>
      </w:pPr>
    </w:p>
    <w:p w14:paraId="7574CE9A">
      <w:pPr>
        <w:pStyle w:val="90"/>
        <w:widowControl w:val="0"/>
        <w:autoSpaceDN w:val="0"/>
        <w:spacing w:line="360" w:lineRule="auto"/>
        <w:rPr>
          <w:rFonts w:hint="eastAsia" w:ascii="宋体" w:hAnsi="宋体" w:eastAsia="宋体" w:cs="宋体"/>
          <w:sz w:val="21"/>
          <w:szCs w:val="21"/>
        </w:rPr>
      </w:pPr>
    </w:p>
    <w:p w14:paraId="5F58FA11">
      <w:pPr>
        <w:pStyle w:val="90"/>
        <w:widowControl w:val="0"/>
        <w:autoSpaceDN w:val="0"/>
        <w:spacing w:line="360" w:lineRule="auto"/>
        <w:ind w:firstLine="420" w:firstLineChars="200"/>
        <w:rPr>
          <w:rFonts w:hint="eastAsia" w:ascii="宋体" w:hAnsi="宋体" w:eastAsia="宋体" w:cs="宋体"/>
          <w:sz w:val="21"/>
          <w:szCs w:val="21"/>
        </w:rPr>
      </w:pPr>
    </w:p>
    <w:p w14:paraId="5EF83B3A">
      <w:pPr>
        <w:adjustRightInd w:val="0"/>
        <w:snapToGrid w:val="0"/>
        <w:spacing w:line="360" w:lineRule="auto"/>
        <w:rPr>
          <w:rFonts w:ascii="宋体" w:hAnsi="宋体" w:cs="宋体"/>
          <w:kern w:val="0"/>
          <w:szCs w:val="21"/>
        </w:rPr>
      </w:pPr>
      <w:r>
        <w:rPr>
          <w:rFonts w:hint="eastAsia" w:ascii="宋体" w:hAnsi="宋体" w:cs="宋体"/>
          <w:kern w:val="0"/>
          <w:szCs w:val="21"/>
        </w:rPr>
        <w:t>附页2-2</w:t>
      </w:r>
    </w:p>
    <w:p w14:paraId="4EAEDA5B">
      <w:pPr>
        <w:spacing w:line="360" w:lineRule="exact"/>
        <w:ind w:right="-58"/>
        <w:jc w:val="center"/>
        <w:outlineLvl w:val="1"/>
        <w:rPr>
          <w:rFonts w:ascii="宋体" w:hAnsi="宋体" w:cs="宋体"/>
          <w:b/>
          <w:sz w:val="32"/>
          <w:szCs w:val="32"/>
        </w:rPr>
      </w:pPr>
      <w:bookmarkStart w:id="56" w:name="_Toc25370"/>
      <w:bookmarkStart w:id="57" w:name="_Toc11776"/>
      <w:r>
        <w:rPr>
          <w:rFonts w:hint="eastAsia" w:ascii="宋体" w:hAnsi="宋体" w:cs="宋体"/>
          <w:b/>
          <w:sz w:val="32"/>
          <w:szCs w:val="32"/>
        </w:rPr>
        <w:t>岳阳市公共资源交易事前信用承诺书</w:t>
      </w:r>
      <w:bookmarkEnd w:id="56"/>
      <w:bookmarkEnd w:id="57"/>
    </w:p>
    <w:p w14:paraId="7010575E">
      <w:pPr>
        <w:spacing w:line="560" w:lineRule="exact"/>
        <w:ind w:right="-58" w:firstLine="843" w:firstLineChars="300"/>
        <w:outlineLvl w:val="1"/>
        <w:rPr>
          <w:rFonts w:ascii="宋体" w:hAnsi="宋体" w:cs="宋体"/>
          <w:kern w:val="0"/>
          <w:sz w:val="32"/>
          <w:szCs w:val="32"/>
        </w:rPr>
      </w:pPr>
      <w:bookmarkStart w:id="58" w:name="_Toc12761"/>
      <w:bookmarkStart w:id="59" w:name="_Toc10211"/>
      <w:r>
        <w:rPr>
          <w:rFonts w:hint="eastAsia" w:ascii="宋体" w:hAnsi="宋体" w:cs="宋体"/>
          <w:b/>
          <w:sz w:val="28"/>
          <w:szCs w:val="28"/>
        </w:rPr>
        <w:t>（投标人、供应商、竞买人、受让人等交易主体适用范本）</w:t>
      </w:r>
      <w:bookmarkEnd w:id="58"/>
      <w:bookmarkEnd w:id="59"/>
    </w:p>
    <w:p w14:paraId="3635BAD3">
      <w:pPr>
        <w:widowControl/>
        <w:spacing w:line="360" w:lineRule="auto"/>
        <w:ind w:firstLine="420" w:firstLineChars="200"/>
        <w:rPr>
          <w:rFonts w:ascii="宋体" w:hAnsi="宋体" w:cs="宋体"/>
          <w:kern w:val="0"/>
          <w:szCs w:val="21"/>
        </w:rPr>
      </w:pPr>
      <w:r>
        <w:rPr>
          <w:rFonts w:hint="eastAsia" w:ascii="宋体" w:hAnsi="宋体" w:cs="宋体"/>
          <w:kern w:val="0"/>
          <w:szCs w:val="21"/>
        </w:rPr>
        <w:t>为推进社会信用体系建设，营造诚实守信的公共资源交易环境，树立诚信守法、公平竞争的交易形象，本人作为（单位名称）的法定代表人（或负责人）代表本单位作出以下诚信承诺：</w:t>
      </w:r>
    </w:p>
    <w:p w14:paraId="614C96F7">
      <w:pPr>
        <w:widowControl/>
        <w:spacing w:line="360" w:lineRule="auto"/>
        <w:ind w:firstLine="420" w:firstLineChars="200"/>
        <w:rPr>
          <w:rFonts w:ascii="宋体" w:hAnsi="宋体" w:cs="宋体"/>
          <w:kern w:val="0"/>
          <w:szCs w:val="21"/>
        </w:rPr>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7FDF73A">
      <w:pPr>
        <w:widowControl/>
        <w:spacing w:line="360" w:lineRule="auto"/>
        <w:ind w:firstLine="420" w:firstLineChars="200"/>
        <w:rPr>
          <w:rFonts w:ascii="宋体" w:hAnsi="宋体" w:cs="宋体"/>
          <w:kern w:val="0"/>
          <w:szCs w:val="21"/>
        </w:rPr>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5CC3BB26">
      <w:pPr>
        <w:widowControl/>
        <w:spacing w:line="360" w:lineRule="auto"/>
        <w:ind w:firstLine="420" w:firstLineChars="200"/>
        <w:rPr>
          <w:rFonts w:ascii="宋体" w:hAnsi="宋体" w:cs="宋体"/>
          <w:kern w:val="0"/>
          <w:szCs w:val="21"/>
        </w:rPr>
      </w:pPr>
      <w:r>
        <w:rPr>
          <w:rFonts w:hint="eastAsia" w:ascii="宋体" w:hAnsi="宋体" w:cs="宋体"/>
          <w:kern w:val="0"/>
          <w:szCs w:val="21"/>
        </w:rPr>
        <w:t>（三）严格遵守岳阳市公共资源交易市场主体信息公示规定，及时维护和更新公共资源交易市场主体信息库中信息。</w:t>
      </w:r>
    </w:p>
    <w:p w14:paraId="6AAE1EEB">
      <w:pPr>
        <w:widowControl/>
        <w:spacing w:line="360" w:lineRule="auto"/>
        <w:ind w:firstLine="420" w:firstLineChars="200"/>
        <w:rPr>
          <w:rFonts w:ascii="宋体" w:hAnsi="宋体" w:cs="宋体"/>
          <w:kern w:val="0"/>
          <w:szCs w:val="21"/>
        </w:rPr>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661B36C6">
      <w:pPr>
        <w:widowControl/>
        <w:spacing w:line="360" w:lineRule="auto"/>
        <w:ind w:firstLine="420" w:firstLineChars="200"/>
        <w:rPr>
          <w:rFonts w:ascii="宋体" w:hAnsi="宋体" w:cs="宋体"/>
          <w:kern w:val="0"/>
          <w:szCs w:val="21"/>
        </w:rPr>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5699DD3B">
      <w:pPr>
        <w:widowControl/>
        <w:spacing w:line="360" w:lineRule="auto"/>
        <w:ind w:firstLine="420" w:firstLineChars="200"/>
        <w:rPr>
          <w:rFonts w:ascii="宋体" w:hAnsi="宋体" w:cs="宋体"/>
          <w:kern w:val="0"/>
          <w:szCs w:val="21"/>
        </w:rPr>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1B3D36DC">
      <w:pPr>
        <w:widowControl/>
        <w:spacing w:line="360" w:lineRule="auto"/>
        <w:ind w:firstLine="420" w:firstLineChars="200"/>
        <w:rPr>
          <w:rFonts w:ascii="宋体" w:hAnsi="宋体" w:cs="宋体"/>
          <w:kern w:val="0"/>
          <w:szCs w:val="21"/>
        </w:rPr>
      </w:pPr>
      <w:r>
        <w:rPr>
          <w:rFonts w:hint="eastAsia" w:ascii="宋体" w:hAnsi="宋体" w:cs="宋体"/>
          <w:kern w:val="0"/>
          <w:szCs w:val="21"/>
        </w:rPr>
        <w:t>（七）本人郑重作出上述承诺。本人和单位员工均已熟悉诚信承诺内容并认真践行承诺。</w:t>
      </w:r>
    </w:p>
    <w:p w14:paraId="4D828DE2">
      <w:pPr>
        <w:widowControl/>
        <w:spacing w:line="360" w:lineRule="auto"/>
        <w:ind w:right="-57" w:firstLine="5040" w:firstLineChars="2400"/>
        <w:jc w:val="left"/>
        <w:rPr>
          <w:rFonts w:ascii="宋体" w:hAnsi="宋体" w:cs="宋体"/>
          <w:kern w:val="0"/>
          <w:szCs w:val="21"/>
        </w:rPr>
      </w:pPr>
      <w:r>
        <w:rPr>
          <w:rFonts w:hint="eastAsia" w:ascii="宋体" w:hAnsi="宋体" w:cs="宋体"/>
          <w:kern w:val="0"/>
          <w:szCs w:val="21"/>
        </w:rPr>
        <w:t>法定代表人（或负责人）签名：</w:t>
      </w:r>
    </w:p>
    <w:p w14:paraId="605A0706">
      <w:pPr>
        <w:widowControl/>
        <w:spacing w:line="360" w:lineRule="auto"/>
        <w:ind w:right="-57" w:firstLine="6090" w:firstLineChars="2900"/>
        <w:jc w:val="left"/>
        <w:rPr>
          <w:rFonts w:ascii="宋体" w:hAnsi="宋体" w:cs="宋体"/>
          <w:kern w:val="0"/>
          <w:szCs w:val="21"/>
        </w:rPr>
      </w:pPr>
      <w:r>
        <w:rPr>
          <w:rFonts w:hint="eastAsia" w:ascii="宋体" w:hAnsi="宋体" w:cs="宋体"/>
          <w:kern w:val="0"/>
          <w:szCs w:val="21"/>
        </w:rPr>
        <w:t>单位名称（盖章）：</w:t>
      </w:r>
    </w:p>
    <w:p w14:paraId="7C1FBEC0">
      <w:pPr>
        <w:adjustRightInd w:val="0"/>
        <w:snapToGrid w:val="0"/>
        <w:spacing w:line="520" w:lineRule="exact"/>
        <w:jc w:val="left"/>
        <w:rPr>
          <w:rFonts w:ascii="宋体" w:hAnsi="宋体" w:cs="宋体"/>
          <w:b/>
        </w:rPr>
      </w:pPr>
      <w:r>
        <w:rPr>
          <w:rFonts w:hint="eastAsia" w:ascii="宋体" w:hAnsi="宋体" w:cs="宋体"/>
          <w:kern w:val="0"/>
          <w:szCs w:val="21"/>
        </w:rPr>
        <w:t xml:space="preserve">                                                               年    月    日</w:t>
      </w:r>
    </w:p>
    <w:p w14:paraId="4415F233">
      <w:pPr>
        <w:adjustRightInd w:val="0"/>
        <w:snapToGrid w:val="0"/>
        <w:spacing w:line="360" w:lineRule="auto"/>
        <w:rPr>
          <w:rFonts w:ascii="宋体" w:hAnsi="宋体" w:cs="宋体"/>
          <w:bCs/>
          <w:szCs w:val="21"/>
        </w:rPr>
      </w:pPr>
    </w:p>
    <w:p w14:paraId="615AB12E">
      <w:pPr>
        <w:adjustRightInd w:val="0"/>
        <w:snapToGrid w:val="0"/>
        <w:spacing w:line="360" w:lineRule="auto"/>
        <w:rPr>
          <w:rFonts w:ascii="宋体" w:hAnsi="宋体" w:cs="宋体"/>
          <w:bCs/>
          <w:szCs w:val="21"/>
        </w:rPr>
      </w:pPr>
    </w:p>
    <w:p w14:paraId="25A6B3E1">
      <w:pPr>
        <w:adjustRightInd w:val="0"/>
        <w:snapToGrid w:val="0"/>
        <w:spacing w:line="360" w:lineRule="auto"/>
        <w:rPr>
          <w:rFonts w:ascii="宋体" w:hAnsi="宋体" w:cs="宋体"/>
          <w:bCs/>
          <w:szCs w:val="21"/>
        </w:rPr>
      </w:pPr>
    </w:p>
    <w:p w14:paraId="439FA417">
      <w:pPr>
        <w:adjustRightInd w:val="0"/>
        <w:snapToGrid w:val="0"/>
        <w:spacing w:line="360" w:lineRule="auto"/>
        <w:rPr>
          <w:rFonts w:ascii="宋体" w:hAnsi="宋体" w:cs="宋体"/>
          <w:bCs/>
          <w:szCs w:val="21"/>
        </w:rPr>
      </w:pPr>
    </w:p>
    <w:p w14:paraId="59D92D1A">
      <w:pPr>
        <w:adjustRightInd w:val="0"/>
        <w:snapToGrid w:val="0"/>
        <w:spacing w:line="360" w:lineRule="auto"/>
        <w:rPr>
          <w:rFonts w:ascii="宋体" w:hAnsi="宋体" w:cs="宋体"/>
          <w:bCs/>
          <w:szCs w:val="21"/>
        </w:rPr>
      </w:pPr>
    </w:p>
    <w:p w14:paraId="327BE120">
      <w:pPr>
        <w:adjustRightInd w:val="0"/>
        <w:snapToGrid w:val="0"/>
        <w:spacing w:line="360" w:lineRule="auto"/>
        <w:rPr>
          <w:rFonts w:ascii="宋体" w:hAnsi="宋体" w:cs="宋体"/>
          <w:bCs/>
          <w:szCs w:val="21"/>
        </w:rPr>
      </w:pPr>
    </w:p>
    <w:p w14:paraId="22873958">
      <w:pPr>
        <w:adjustRightInd w:val="0"/>
        <w:snapToGrid w:val="0"/>
        <w:spacing w:line="360" w:lineRule="auto"/>
        <w:rPr>
          <w:rFonts w:ascii="宋体" w:hAnsi="宋体" w:cs="宋体"/>
          <w:bCs/>
          <w:szCs w:val="21"/>
        </w:rPr>
      </w:pPr>
    </w:p>
    <w:p w14:paraId="0472D1B5">
      <w:pPr>
        <w:adjustRightInd w:val="0"/>
        <w:snapToGrid w:val="0"/>
        <w:spacing w:line="360" w:lineRule="auto"/>
        <w:rPr>
          <w:rFonts w:ascii="宋体" w:hAnsi="宋体" w:cs="宋体"/>
          <w:bCs/>
          <w:szCs w:val="21"/>
        </w:rPr>
      </w:pPr>
    </w:p>
    <w:p w14:paraId="5CD68BCD">
      <w:pPr>
        <w:adjustRightInd w:val="0"/>
        <w:snapToGrid w:val="0"/>
        <w:spacing w:line="360" w:lineRule="auto"/>
        <w:rPr>
          <w:rFonts w:hint="eastAsia" w:ascii="宋体" w:hAnsi="宋体" w:cs="宋体"/>
          <w:bCs/>
          <w:szCs w:val="21"/>
        </w:rPr>
      </w:pPr>
    </w:p>
    <w:p w14:paraId="7A2EF347">
      <w:pPr>
        <w:adjustRightInd w:val="0"/>
        <w:snapToGrid w:val="0"/>
        <w:spacing w:line="360" w:lineRule="auto"/>
        <w:rPr>
          <w:rFonts w:ascii="宋体" w:hAnsi="宋体" w:cs="宋体"/>
          <w:bCs/>
          <w:szCs w:val="21"/>
        </w:rPr>
      </w:pPr>
      <w:r>
        <w:rPr>
          <w:rFonts w:hint="eastAsia" w:ascii="宋体" w:hAnsi="宋体" w:cs="宋体"/>
          <w:bCs/>
          <w:szCs w:val="21"/>
        </w:rPr>
        <w:t>附页2-3</w:t>
      </w:r>
    </w:p>
    <w:p w14:paraId="4BB9069E">
      <w:pPr>
        <w:adjustRightInd w:val="0"/>
        <w:snapToGrid w:val="0"/>
        <w:spacing w:line="360" w:lineRule="auto"/>
        <w:jc w:val="center"/>
        <w:rPr>
          <w:rFonts w:ascii="宋体"/>
          <w:b/>
          <w:bCs/>
          <w:color w:val="auto"/>
          <w:sz w:val="28"/>
          <w:szCs w:val="28"/>
          <w:highlight w:val="none"/>
        </w:rPr>
      </w:pPr>
      <w:bookmarkStart w:id="60" w:name="_Toc27337"/>
      <w:bookmarkStart w:id="61" w:name="_Toc3047"/>
      <w:r>
        <w:rPr>
          <w:rFonts w:hint="eastAsia" w:ascii="宋体" w:hAnsi="宋体" w:cs="宋体"/>
          <w:b/>
          <w:bCs/>
          <w:color w:val="auto"/>
          <w:kern w:val="0"/>
          <w:sz w:val="28"/>
          <w:szCs w:val="28"/>
          <w:highlight w:val="none"/>
        </w:rPr>
        <w:t>湖南省政府采购支持中小企业融资合作银行及联系人名单</w:t>
      </w:r>
    </w:p>
    <w:tbl>
      <w:tblPr>
        <w:tblStyle w:val="4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976"/>
      </w:tblGrid>
      <w:tr w14:paraId="78A8F4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tcBorders>
              <w:top w:val="double" w:color="auto" w:sz="4" w:space="0"/>
            </w:tcBorders>
            <w:vAlign w:val="center"/>
          </w:tcPr>
          <w:p w14:paraId="34C90134">
            <w:pPr>
              <w:adjustRightInd w:val="0"/>
              <w:snapToGrid w:val="0"/>
              <w:spacing w:before="156" w:beforeLines="50" w:line="360" w:lineRule="auto"/>
              <w:jc w:val="center"/>
              <w:rPr>
                <w:rFonts w:ascii="宋体"/>
                <w:b/>
                <w:color w:val="auto"/>
                <w:szCs w:val="21"/>
                <w:highlight w:val="none"/>
              </w:rPr>
            </w:pPr>
            <w:r>
              <w:rPr>
                <w:rFonts w:hint="eastAsia" w:ascii="宋体" w:hAnsi="宋体" w:cs="宋体"/>
                <w:b/>
                <w:bCs/>
                <w:color w:val="auto"/>
                <w:kern w:val="0"/>
                <w:szCs w:val="21"/>
                <w:highlight w:val="none"/>
              </w:rPr>
              <w:t>银行名称</w:t>
            </w:r>
          </w:p>
        </w:tc>
        <w:tc>
          <w:tcPr>
            <w:tcW w:w="1080" w:type="dxa"/>
            <w:tcBorders>
              <w:top w:val="double" w:color="auto" w:sz="4" w:space="0"/>
            </w:tcBorders>
            <w:vAlign w:val="center"/>
          </w:tcPr>
          <w:p w14:paraId="2D007F61">
            <w:pPr>
              <w:adjustRightInd w:val="0"/>
              <w:snapToGrid w:val="0"/>
              <w:spacing w:before="156" w:beforeLines="50" w:line="360" w:lineRule="auto"/>
              <w:jc w:val="center"/>
              <w:rPr>
                <w:rFonts w:ascii="宋体"/>
                <w:b/>
                <w:color w:val="auto"/>
                <w:szCs w:val="21"/>
                <w:highlight w:val="none"/>
              </w:rPr>
            </w:pPr>
            <w:r>
              <w:rPr>
                <w:rFonts w:hint="eastAsia" w:ascii="宋体" w:hAnsi="宋体" w:cs="宋体"/>
                <w:b/>
                <w:bCs/>
                <w:color w:val="auto"/>
                <w:kern w:val="0"/>
                <w:szCs w:val="21"/>
                <w:highlight w:val="none"/>
              </w:rPr>
              <w:t>联系人</w:t>
            </w:r>
          </w:p>
        </w:tc>
        <w:tc>
          <w:tcPr>
            <w:tcW w:w="3060" w:type="dxa"/>
            <w:tcBorders>
              <w:top w:val="double" w:color="auto" w:sz="4" w:space="0"/>
            </w:tcBorders>
            <w:vAlign w:val="center"/>
          </w:tcPr>
          <w:p w14:paraId="51323722">
            <w:pPr>
              <w:adjustRightInd w:val="0"/>
              <w:snapToGrid w:val="0"/>
              <w:spacing w:before="156" w:beforeLines="50" w:line="360" w:lineRule="auto"/>
              <w:jc w:val="center"/>
              <w:rPr>
                <w:rFonts w:ascii="宋体"/>
                <w:b/>
                <w:color w:val="auto"/>
                <w:szCs w:val="21"/>
                <w:highlight w:val="none"/>
              </w:rPr>
            </w:pPr>
            <w:r>
              <w:rPr>
                <w:rFonts w:hint="eastAsia" w:ascii="宋体" w:hAnsi="宋体" w:cs="宋体"/>
                <w:b/>
                <w:bCs/>
                <w:color w:val="auto"/>
                <w:kern w:val="0"/>
                <w:szCs w:val="21"/>
                <w:highlight w:val="none"/>
              </w:rPr>
              <w:t>职</w:t>
            </w:r>
            <w:r>
              <w:rPr>
                <w:rFonts w:ascii="宋体" w:cs="宋体"/>
                <w:b/>
                <w:bCs/>
                <w:color w:val="auto"/>
                <w:kern w:val="0"/>
                <w:szCs w:val="21"/>
                <w:highlight w:val="none"/>
              </w:rPr>
              <w:t> </w:t>
            </w:r>
            <w:r>
              <w:rPr>
                <w:rFonts w:hint="eastAsia" w:ascii="宋体" w:hAnsi="宋体" w:cs="宋体"/>
                <w:b/>
                <w:bCs/>
                <w:color w:val="auto"/>
                <w:kern w:val="0"/>
                <w:szCs w:val="21"/>
                <w:highlight w:val="none"/>
              </w:rPr>
              <w:t>务</w:t>
            </w:r>
          </w:p>
        </w:tc>
        <w:tc>
          <w:tcPr>
            <w:tcW w:w="2976" w:type="dxa"/>
            <w:tcBorders>
              <w:top w:val="double" w:color="auto" w:sz="4" w:space="0"/>
            </w:tcBorders>
            <w:vAlign w:val="center"/>
          </w:tcPr>
          <w:p w14:paraId="1FFF2931">
            <w:pPr>
              <w:adjustRightInd w:val="0"/>
              <w:snapToGrid w:val="0"/>
              <w:spacing w:before="156" w:beforeLines="50" w:line="360" w:lineRule="auto"/>
              <w:jc w:val="center"/>
              <w:rPr>
                <w:rFonts w:ascii="宋体"/>
                <w:b/>
                <w:color w:val="auto"/>
                <w:szCs w:val="21"/>
                <w:highlight w:val="none"/>
              </w:rPr>
            </w:pPr>
            <w:r>
              <w:rPr>
                <w:rFonts w:hint="eastAsia" w:ascii="宋体" w:hAnsi="宋体" w:cs="宋体"/>
                <w:b/>
                <w:bCs/>
                <w:color w:val="auto"/>
                <w:kern w:val="0"/>
                <w:szCs w:val="21"/>
                <w:highlight w:val="none"/>
              </w:rPr>
              <w:t>联系电话</w:t>
            </w:r>
          </w:p>
        </w:tc>
      </w:tr>
      <w:tr w14:paraId="0AB274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57F0CA8">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交通银行湖南省分行</w:t>
            </w:r>
          </w:p>
        </w:tc>
        <w:tc>
          <w:tcPr>
            <w:tcW w:w="1080" w:type="dxa"/>
            <w:vAlign w:val="center"/>
          </w:tcPr>
          <w:p w14:paraId="4F711E8C">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刘</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波</w:t>
            </w:r>
          </w:p>
        </w:tc>
        <w:tc>
          <w:tcPr>
            <w:tcW w:w="3060" w:type="dxa"/>
            <w:vAlign w:val="center"/>
          </w:tcPr>
          <w:p w14:paraId="311AFA37">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名城支行客户经理</w:t>
            </w:r>
          </w:p>
        </w:tc>
        <w:tc>
          <w:tcPr>
            <w:tcW w:w="2976" w:type="dxa"/>
            <w:vAlign w:val="center"/>
          </w:tcPr>
          <w:p w14:paraId="23E5427E">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13874998873</w:t>
            </w:r>
          </w:p>
        </w:tc>
      </w:tr>
      <w:tr w14:paraId="5B2C0F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05F33033">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交通银行湖南省分行</w:t>
            </w:r>
          </w:p>
        </w:tc>
        <w:tc>
          <w:tcPr>
            <w:tcW w:w="1080" w:type="dxa"/>
            <w:vAlign w:val="center"/>
          </w:tcPr>
          <w:p w14:paraId="5FE77AB7">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肖勇光</w:t>
            </w:r>
          </w:p>
        </w:tc>
        <w:tc>
          <w:tcPr>
            <w:tcW w:w="3060" w:type="dxa"/>
            <w:vAlign w:val="center"/>
          </w:tcPr>
          <w:p w14:paraId="3D9CAAFB">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分行高级经理</w:t>
            </w:r>
          </w:p>
        </w:tc>
        <w:tc>
          <w:tcPr>
            <w:tcW w:w="2976" w:type="dxa"/>
            <w:vAlign w:val="center"/>
          </w:tcPr>
          <w:p w14:paraId="733E707D">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13755192647</w:t>
            </w:r>
          </w:p>
        </w:tc>
      </w:tr>
      <w:tr w14:paraId="281002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7A07E260">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中国民生银行长沙分行</w:t>
            </w:r>
          </w:p>
        </w:tc>
        <w:tc>
          <w:tcPr>
            <w:tcW w:w="1080" w:type="dxa"/>
            <w:vAlign w:val="center"/>
          </w:tcPr>
          <w:p w14:paraId="14379568">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黄飞燕</w:t>
            </w:r>
          </w:p>
        </w:tc>
        <w:tc>
          <w:tcPr>
            <w:tcW w:w="3060" w:type="dxa"/>
            <w:vAlign w:val="center"/>
          </w:tcPr>
          <w:p w14:paraId="0470779E">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营业部总经理</w:t>
            </w:r>
          </w:p>
        </w:tc>
        <w:tc>
          <w:tcPr>
            <w:tcW w:w="2976" w:type="dxa"/>
            <w:vAlign w:val="center"/>
          </w:tcPr>
          <w:p w14:paraId="5C0A2D5B">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13308463468</w:t>
            </w:r>
          </w:p>
        </w:tc>
      </w:tr>
      <w:tr w14:paraId="4ADFD4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5E0B1779">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中国民生银行长沙分行</w:t>
            </w:r>
          </w:p>
        </w:tc>
        <w:tc>
          <w:tcPr>
            <w:tcW w:w="1080" w:type="dxa"/>
            <w:vAlign w:val="center"/>
          </w:tcPr>
          <w:p w14:paraId="2470DBF2">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蒋寒奇</w:t>
            </w:r>
          </w:p>
        </w:tc>
        <w:tc>
          <w:tcPr>
            <w:tcW w:w="3060" w:type="dxa"/>
            <w:vAlign w:val="center"/>
          </w:tcPr>
          <w:p w14:paraId="6FFF59C7">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营业部中小企业客户经理</w:t>
            </w:r>
          </w:p>
        </w:tc>
        <w:tc>
          <w:tcPr>
            <w:tcW w:w="2976" w:type="dxa"/>
            <w:vAlign w:val="center"/>
          </w:tcPr>
          <w:p w14:paraId="24B8F3EB">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13548982975</w:t>
            </w:r>
          </w:p>
        </w:tc>
      </w:tr>
      <w:tr w14:paraId="08609E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54BE6620">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兴业银行长沙分行</w:t>
            </w:r>
          </w:p>
        </w:tc>
        <w:tc>
          <w:tcPr>
            <w:tcW w:w="1080" w:type="dxa"/>
            <w:vAlign w:val="center"/>
          </w:tcPr>
          <w:p w14:paraId="16220497">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刘栅延</w:t>
            </w:r>
          </w:p>
        </w:tc>
        <w:tc>
          <w:tcPr>
            <w:tcW w:w="3060" w:type="dxa"/>
            <w:vAlign w:val="center"/>
          </w:tcPr>
          <w:p w14:paraId="4C121587">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支行行长</w:t>
            </w:r>
          </w:p>
        </w:tc>
        <w:tc>
          <w:tcPr>
            <w:tcW w:w="2976" w:type="dxa"/>
            <w:vAlign w:val="center"/>
          </w:tcPr>
          <w:p w14:paraId="45270FCF">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13337316405</w:t>
            </w:r>
          </w:p>
        </w:tc>
      </w:tr>
      <w:tr w14:paraId="75DFAD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0F6E9A03">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兴业银行长沙分行</w:t>
            </w:r>
          </w:p>
        </w:tc>
        <w:tc>
          <w:tcPr>
            <w:tcW w:w="1080" w:type="dxa"/>
            <w:vAlign w:val="center"/>
          </w:tcPr>
          <w:p w14:paraId="528938E8">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蒋修远</w:t>
            </w:r>
          </w:p>
        </w:tc>
        <w:tc>
          <w:tcPr>
            <w:tcW w:w="3060" w:type="dxa"/>
            <w:vAlign w:val="center"/>
          </w:tcPr>
          <w:p w14:paraId="6BC13C4C">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支行客户经理</w:t>
            </w:r>
          </w:p>
        </w:tc>
        <w:tc>
          <w:tcPr>
            <w:tcW w:w="2976" w:type="dxa"/>
            <w:vAlign w:val="center"/>
          </w:tcPr>
          <w:p w14:paraId="2EF4773B">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18607310422</w:t>
            </w:r>
          </w:p>
        </w:tc>
      </w:tr>
      <w:tr w14:paraId="64BAB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B21D078">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中国光大银行长沙分行</w:t>
            </w:r>
          </w:p>
        </w:tc>
        <w:tc>
          <w:tcPr>
            <w:tcW w:w="1080" w:type="dxa"/>
            <w:vAlign w:val="center"/>
          </w:tcPr>
          <w:p w14:paraId="0F2E98AD">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邓永胜</w:t>
            </w:r>
          </w:p>
        </w:tc>
        <w:tc>
          <w:tcPr>
            <w:tcW w:w="3060" w:type="dxa"/>
            <w:vAlign w:val="center"/>
          </w:tcPr>
          <w:p w14:paraId="2B9F818E">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岳麓支行副行长</w:t>
            </w:r>
          </w:p>
        </w:tc>
        <w:tc>
          <w:tcPr>
            <w:tcW w:w="2976" w:type="dxa"/>
            <w:vAlign w:val="center"/>
          </w:tcPr>
          <w:p w14:paraId="41CD77FE">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13617319650</w:t>
            </w:r>
          </w:p>
        </w:tc>
      </w:tr>
      <w:tr w14:paraId="469439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9F5D368">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中信银行长沙分行</w:t>
            </w:r>
          </w:p>
        </w:tc>
        <w:tc>
          <w:tcPr>
            <w:tcW w:w="1080" w:type="dxa"/>
            <w:vAlign w:val="center"/>
          </w:tcPr>
          <w:p w14:paraId="77C0BE81">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蔡学军</w:t>
            </w:r>
          </w:p>
        </w:tc>
        <w:tc>
          <w:tcPr>
            <w:tcW w:w="3060" w:type="dxa"/>
            <w:vAlign w:val="center"/>
          </w:tcPr>
          <w:p w14:paraId="414AE682">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公司银行部负责人</w:t>
            </w:r>
          </w:p>
        </w:tc>
        <w:tc>
          <w:tcPr>
            <w:tcW w:w="2976" w:type="dxa"/>
            <w:vAlign w:val="center"/>
          </w:tcPr>
          <w:p w14:paraId="6B0A895B">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13055167195</w:t>
            </w:r>
          </w:p>
        </w:tc>
      </w:tr>
      <w:tr w14:paraId="5309A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tcBorders>
              <w:bottom w:val="double" w:color="auto" w:sz="4" w:space="0"/>
            </w:tcBorders>
            <w:vAlign w:val="center"/>
          </w:tcPr>
          <w:p w14:paraId="233F5248">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中信银行长沙分行</w:t>
            </w:r>
          </w:p>
        </w:tc>
        <w:tc>
          <w:tcPr>
            <w:tcW w:w="1080" w:type="dxa"/>
            <w:tcBorders>
              <w:bottom w:val="double" w:color="auto" w:sz="4" w:space="0"/>
            </w:tcBorders>
            <w:vAlign w:val="center"/>
          </w:tcPr>
          <w:p w14:paraId="27582994">
            <w:pPr>
              <w:adjustRightInd w:val="0"/>
              <w:snapToGrid w:val="0"/>
              <w:spacing w:before="156" w:beforeLines="50" w:line="360" w:lineRule="auto"/>
              <w:jc w:val="center"/>
              <w:rPr>
                <w:rFonts w:ascii="宋体"/>
                <w:color w:val="auto"/>
                <w:szCs w:val="21"/>
                <w:highlight w:val="none"/>
              </w:rPr>
            </w:pPr>
            <w:r>
              <w:rPr>
                <w:rFonts w:hint="eastAsia" w:ascii="宋体" w:hAnsi="宋体" w:cs="宋体"/>
                <w:color w:val="auto"/>
                <w:kern w:val="0"/>
                <w:szCs w:val="21"/>
                <w:highlight w:val="none"/>
              </w:rPr>
              <w:t>宋学农</w:t>
            </w:r>
          </w:p>
        </w:tc>
        <w:tc>
          <w:tcPr>
            <w:tcW w:w="3060" w:type="dxa"/>
            <w:tcBorders>
              <w:bottom w:val="double" w:color="auto" w:sz="4" w:space="0"/>
            </w:tcBorders>
            <w:vAlign w:val="center"/>
          </w:tcPr>
          <w:p w14:paraId="4B10AFA2">
            <w:pPr>
              <w:adjustRightInd w:val="0"/>
              <w:snapToGrid w:val="0"/>
              <w:spacing w:before="156" w:beforeLines="50" w:line="360" w:lineRule="auto"/>
              <w:rPr>
                <w:rFonts w:ascii="宋体"/>
                <w:color w:val="auto"/>
                <w:szCs w:val="21"/>
                <w:highlight w:val="none"/>
              </w:rPr>
            </w:pPr>
            <w:r>
              <w:rPr>
                <w:rFonts w:hint="eastAsia" w:ascii="宋体" w:hAnsi="宋体" w:cs="宋体"/>
                <w:color w:val="auto"/>
                <w:kern w:val="0"/>
                <w:szCs w:val="21"/>
                <w:highlight w:val="none"/>
              </w:rPr>
              <w:t>银行部综合管理部副总经理</w:t>
            </w:r>
          </w:p>
        </w:tc>
        <w:tc>
          <w:tcPr>
            <w:tcW w:w="2976" w:type="dxa"/>
            <w:tcBorders>
              <w:bottom w:val="double" w:color="auto" w:sz="4" w:space="0"/>
            </w:tcBorders>
            <w:vAlign w:val="center"/>
          </w:tcPr>
          <w:p w14:paraId="05339757">
            <w:pPr>
              <w:adjustRightInd w:val="0"/>
              <w:snapToGrid w:val="0"/>
              <w:spacing w:before="156" w:beforeLines="50" w:line="360" w:lineRule="auto"/>
              <w:jc w:val="center"/>
              <w:rPr>
                <w:rFonts w:ascii="宋体"/>
                <w:color w:val="auto"/>
                <w:szCs w:val="21"/>
                <w:highlight w:val="none"/>
              </w:rPr>
            </w:pPr>
            <w:r>
              <w:rPr>
                <w:rFonts w:ascii="宋体" w:hAnsi="宋体" w:cs="宋体"/>
                <w:color w:val="auto"/>
                <w:kern w:val="0"/>
                <w:szCs w:val="21"/>
                <w:highlight w:val="none"/>
              </w:rPr>
              <w:t>0731-845822141</w:t>
            </w:r>
          </w:p>
        </w:tc>
      </w:tr>
    </w:tbl>
    <w:p w14:paraId="523B34A8">
      <w:pPr>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岳阳市政府采购合同融资合作银行及联系人名单</w:t>
      </w:r>
    </w:p>
    <w:tbl>
      <w:tblPr>
        <w:tblStyle w:val="40"/>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619"/>
        <w:gridCol w:w="883"/>
        <w:gridCol w:w="3024"/>
        <w:gridCol w:w="2436"/>
      </w:tblGrid>
      <w:tr w14:paraId="1C7748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816" w:type="pct"/>
            <w:noWrap/>
            <w:vAlign w:val="center"/>
          </w:tcPr>
          <w:p w14:paraId="4E6A7456">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bCs/>
                <w:color w:val="auto"/>
                <w:kern w:val="0"/>
                <w:sz w:val="18"/>
                <w:szCs w:val="18"/>
                <w:highlight w:val="none"/>
              </w:rPr>
              <w:t>银行名称</w:t>
            </w:r>
          </w:p>
        </w:tc>
        <w:tc>
          <w:tcPr>
            <w:tcW w:w="443" w:type="pct"/>
            <w:noWrap/>
            <w:vAlign w:val="center"/>
          </w:tcPr>
          <w:p w14:paraId="6FFA9523">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bCs/>
                <w:color w:val="auto"/>
                <w:kern w:val="0"/>
                <w:sz w:val="18"/>
                <w:szCs w:val="18"/>
                <w:highlight w:val="none"/>
              </w:rPr>
              <w:t>联系人</w:t>
            </w:r>
          </w:p>
        </w:tc>
        <w:tc>
          <w:tcPr>
            <w:tcW w:w="1517" w:type="pct"/>
            <w:noWrap/>
            <w:vAlign w:val="center"/>
          </w:tcPr>
          <w:p w14:paraId="0F38E700">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bCs/>
                <w:color w:val="auto"/>
                <w:kern w:val="0"/>
                <w:sz w:val="18"/>
                <w:szCs w:val="18"/>
                <w:highlight w:val="none"/>
              </w:rPr>
              <w:t>职  务</w:t>
            </w:r>
          </w:p>
        </w:tc>
        <w:tc>
          <w:tcPr>
            <w:tcW w:w="1222" w:type="pct"/>
            <w:noWrap/>
            <w:vAlign w:val="center"/>
          </w:tcPr>
          <w:p w14:paraId="60674EF5">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bCs/>
                <w:color w:val="auto"/>
                <w:kern w:val="0"/>
                <w:sz w:val="18"/>
                <w:szCs w:val="18"/>
                <w:highlight w:val="none"/>
              </w:rPr>
              <w:t>联系电话</w:t>
            </w:r>
          </w:p>
        </w:tc>
      </w:tr>
      <w:tr w14:paraId="5FE928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7935D31">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lang w:bidi="ar"/>
              </w:rPr>
              <w:t>交通银行岳阳分行</w:t>
            </w:r>
          </w:p>
        </w:tc>
        <w:tc>
          <w:tcPr>
            <w:tcW w:w="443" w:type="pct"/>
            <w:noWrap/>
            <w:vAlign w:val="center"/>
          </w:tcPr>
          <w:p w14:paraId="7344278B">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lang w:bidi="ar"/>
              </w:rPr>
              <w:t>黄  颖</w:t>
            </w:r>
          </w:p>
        </w:tc>
        <w:tc>
          <w:tcPr>
            <w:tcW w:w="1517" w:type="pct"/>
            <w:noWrap/>
            <w:vAlign w:val="center"/>
          </w:tcPr>
          <w:p w14:paraId="636E7B7F">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lang w:bidi="ar"/>
              </w:rPr>
              <w:t>公司、普惠部总经理</w:t>
            </w:r>
          </w:p>
        </w:tc>
        <w:tc>
          <w:tcPr>
            <w:tcW w:w="1222" w:type="pct"/>
            <w:noWrap/>
            <w:vAlign w:val="center"/>
          </w:tcPr>
          <w:p w14:paraId="5FF3576C">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lang w:bidi="ar"/>
              </w:rPr>
              <w:t>18873011060</w:t>
            </w:r>
          </w:p>
        </w:tc>
      </w:tr>
      <w:tr w14:paraId="3B8242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61129B3D">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lang w:bidi="ar"/>
              </w:rPr>
              <w:t>交通银行岳阳分行府东支行</w:t>
            </w:r>
          </w:p>
        </w:tc>
        <w:tc>
          <w:tcPr>
            <w:tcW w:w="443" w:type="pct"/>
            <w:noWrap/>
            <w:vAlign w:val="center"/>
          </w:tcPr>
          <w:p w14:paraId="4C2CE1C0">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lang w:bidi="ar"/>
              </w:rPr>
              <w:t>蒋莉华</w:t>
            </w:r>
          </w:p>
        </w:tc>
        <w:tc>
          <w:tcPr>
            <w:tcW w:w="1517" w:type="pct"/>
            <w:noWrap/>
            <w:vAlign w:val="center"/>
          </w:tcPr>
          <w:p w14:paraId="26E516F3">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lang w:bidi="ar"/>
              </w:rPr>
              <w:t>支行行长</w:t>
            </w:r>
          </w:p>
        </w:tc>
        <w:tc>
          <w:tcPr>
            <w:tcW w:w="1222" w:type="pct"/>
            <w:noWrap/>
            <w:vAlign w:val="center"/>
          </w:tcPr>
          <w:p w14:paraId="717D6797">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lang w:bidi="ar"/>
              </w:rPr>
              <w:t>13973004180</w:t>
            </w:r>
          </w:p>
        </w:tc>
      </w:tr>
      <w:tr w14:paraId="3EA0B6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7E6A32C8">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湖南岳阳农村商业银行股份有限公司</w:t>
            </w:r>
          </w:p>
        </w:tc>
        <w:tc>
          <w:tcPr>
            <w:tcW w:w="443" w:type="pct"/>
            <w:noWrap/>
            <w:vAlign w:val="center"/>
          </w:tcPr>
          <w:p w14:paraId="4F02B2AA">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徐顶龙</w:t>
            </w:r>
          </w:p>
        </w:tc>
        <w:tc>
          <w:tcPr>
            <w:tcW w:w="1517" w:type="pct"/>
            <w:noWrap/>
            <w:vAlign w:val="center"/>
          </w:tcPr>
          <w:p w14:paraId="0F0B0D2D">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总行副行长</w:t>
            </w:r>
          </w:p>
        </w:tc>
        <w:tc>
          <w:tcPr>
            <w:tcW w:w="1222" w:type="pct"/>
            <w:noWrap/>
            <w:vAlign w:val="center"/>
          </w:tcPr>
          <w:p w14:paraId="50304CAC">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18173002929</w:t>
            </w:r>
          </w:p>
        </w:tc>
      </w:tr>
      <w:tr w14:paraId="0364AC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64CA5D99">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湖南岳阳农村商业银行股份有限公司</w:t>
            </w:r>
          </w:p>
        </w:tc>
        <w:tc>
          <w:tcPr>
            <w:tcW w:w="443" w:type="pct"/>
            <w:noWrap/>
            <w:vAlign w:val="center"/>
          </w:tcPr>
          <w:p w14:paraId="25D50272">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彭靖夫</w:t>
            </w:r>
          </w:p>
        </w:tc>
        <w:tc>
          <w:tcPr>
            <w:tcW w:w="1517" w:type="pct"/>
            <w:noWrap/>
            <w:vAlign w:val="center"/>
          </w:tcPr>
          <w:p w14:paraId="56986D65">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总行营业部副主任</w:t>
            </w:r>
          </w:p>
        </w:tc>
        <w:tc>
          <w:tcPr>
            <w:tcW w:w="1222" w:type="pct"/>
            <w:noWrap/>
            <w:vAlign w:val="center"/>
          </w:tcPr>
          <w:p w14:paraId="3C5497D4">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18273053888</w:t>
            </w:r>
          </w:p>
        </w:tc>
      </w:tr>
      <w:tr w14:paraId="4519FE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162E7E3E">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农业</w:t>
            </w:r>
            <w:r>
              <w:rPr>
                <w:rFonts w:hint="eastAsia" w:ascii="宋体" w:hAnsi="宋体" w:cs="宋体"/>
                <w:color w:val="auto"/>
                <w:sz w:val="18"/>
                <w:szCs w:val="18"/>
                <w:highlight w:val="none"/>
              </w:rPr>
              <w:t>银行岳阳分行</w:t>
            </w:r>
          </w:p>
        </w:tc>
        <w:tc>
          <w:tcPr>
            <w:tcW w:w="443" w:type="pct"/>
            <w:noWrap/>
            <w:vAlign w:val="center"/>
          </w:tcPr>
          <w:p w14:paraId="083E5488">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黄立军</w:t>
            </w:r>
          </w:p>
        </w:tc>
        <w:tc>
          <w:tcPr>
            <w:tcW w:w="1517" w:type="pct"/>
            <w:noWrap/>
            <w:vAlign w:val="center"/>
          </w:tcPr>
          <w:p w14:paraId="37B9E381">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普惠</w:t>
            </w:r>
            <w:r>
              <w:rPr>
                <w:rFonts w:hint="eastAsia" w:ascii="宋体" w:hAnsi="宋体" w:cs="宋体"/>
                <w:color w:val="auto"/>
                <w:sz w:val="18"/>
                <w:szCs w:val="18"/>
                <w:highlight w:val="none"/>
              </w:rPr>
              <w:t>部负责人</w:t>
            </w:r>
          </w:p>
        </w:tc>
        <w:tc>
          <w:tcPr>
            <w:tcW w:w="1222" w:type="pct"/>
            <w:noWrap/>
            <w:vAlign w:val="center"/>
          </w:tcPr>
          <w:p w14:paraId="02B94C4A">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w:t>
            </w:r>
            <w:r>
              <w:rPr>
                <w:rFonts w:ascii="宋体" w:hAnsi="宋体" w:cs="宋体"/>
                <w:color w:val="auto"/>
                <w:sz w:val="18"/>
                <w:szCs w:val="18"/>
                <w:highlight w:val="none"/>
              </w:rPr>
              <w:t>8973061212</w:t>
            </w:r>
          </w:p>
        </w:tc>
      </w:tr>
      <w:tr w14:paraId="2B1C52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08FF914B">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农业银行岳阳分行</w:t>
            </w:r>
          </w:p>
        </w:tc>
        <w:tc>
          <w:tcPr>
            <w:tcW w:w="443" w:type="pct"/>
            <w:noWrap/>
            <w:vAlign w:val="center"/>
          </w:tcPr>
          <w:p w14:paraId="3CFC5ED6">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周</w:t>
            </w:r>
            <w:r>
              <w:rPr>
                <w:rFonts w:hint="eastAsia" w:ascii="宋体" w:hAnsi="宋体" w:cs="宋体"/>
                <w:color w:val="auto"/>
                <w:sz w:val="18"/>
                <w:szCs w:val="18"/>
                <w:highlight w:val="none"/>
              </w:rPr>
              <w:t xml:space="preserve">  </w:t>
            </w:r>
            <w:r>
              <w:rPr>
                <w:rFonts w:ascii="宋体" w:hAnsi="宋体" w:cs="宋体"/>
                <w:color w:val="auto"/>
                <w:sz w:val="18"/>
                <w:szCs w:val="18"/>
                <w:highlight w:val="none"/>
              </w:rPr>
              <w:t>芊</w:t>
            </w:r>
          </w:p>
        </w:tc>
        <w:tc>
          <w:tcPr>
            <w:tcW w:w="1517" w:type="pct"/>
            <w:noWrap/>
            <w:vAlign w:val="center"/>
          </w:tcPr>
          <w:p w14:paraId="6D53DAE4">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普惠部经办人</w:t>
            </w:r>
          </w:p>
        </w:tc>
        <w:tc>
          <w:tcPr>
            <w:tcW w:w="1222" w:type="pct"/>
            <w:noWrap/>
            <w:vAlign w:val="center"/>
          </w:tcPr>
          <w:p w14:paraId="2B374B43">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13975036393</w:t>
            </w:r>
          </w:p>
        </w:tc>
      </w:tr>
      <w:tr w14:paraId="07E6E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545A5ED">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湖南银行岳阳分行</w:t>
            </w:r>
          </w:p>
        </w:tc>
        <w:tc>
          <w:tcPr>
            <w:tcW w:w="443" w:type="pct"/>
            <w:noWrap/>
            <w:vAlign w:val="center"/>
          </w:tcPr>
          <w:p w14:paraId="1319971C">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何昌林</w:t>
            </w:r>
          </w:p>
        </w:tc>
        <w:tc>
          <w:tcPr>
            <w:tcW w:w="1517" w:type="pct"/>
            <w:noWrap/>
            <w:vAlign w:val="center"/>
          </w:tcPr>
          <w:p w14:paraId="38F61271">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分行副行长</w:t>
            </w:r>
          </w:p>
        </w:tc>
        <w:tc>
          <w:tcPr>
            <w:tcW w:w="1222" w:type="pct"/>
            <w:noWrap/>
            <w:vAlign w:val="center"/>
          </w:tcPr>
          <w:p w14:paraId="0DB0C85A">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15707306666</w:t>
            </w:r>
          </w:p>
        </w:tc>
      </w:tr>
      <w:tr w14:paraId="2AC1B0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78AE019C">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湖南银行岳阳分行财源支行</w:t>
            </w:r>
          </w:p>
        </w:tc>
        <w:tc>
          <w:tcPr>
            <w:tcW w:w="443" w:type="pct"/>
            <w:noWrap/>
            <w:vAlign w:val="center"/>
          </w:tcPr>
          <w:p w14:paraId="3579F990">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张  璐</w:t>
            </w:r>
          </w:p>
        </w:tc>
        <w:tc>
          <w:tcPr>
            <w:tcW w:w="1517" w:type="pct"/>
            <w:noWrap/>
            <w:vAlign w:val="center"/>
          </w:tcPr>
          <w:p w14:paraId="632ABA9A">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客户经理</w:t>
            </w:r>
          </w:p>
        </w:tc>
        <w:tc>
          <w:tcPr>
            <w:tcW w:w="1222" w:type="pct"/>
            <w:noWrap/>
            <w:vAlign w:val="center"/>
          </w:tcPr>
          <w:p w14:paraId="0BCB1921">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13707308320</w:t>
            </w:r>
          </w:p>
        </w:tc>
      </w:tr>
      <w:tr w14:paraId="51490D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655E180B">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巴陵农村商业银行</w:t>
            </w:r>
          </w:p>
        </w:tc>
        <w:tc>
          <w:tcPr>
            <w:tcW w:w="443" w:type="pct"/>
            <w:noWrap/>
            <w:vAlign w:val="center"/>
          </w:tcPr>
          <w:p w14:paraId="0B7B0E8B">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柳  斌</w:t>
            </w:r>
          </w:p>
        </w:tc>
        <w:tc>
          <w:tcPr>
            <w:tcW w:w="1517" w:type="pct"/>
            <w:noWrap/>
            <w:vAlign w:val="center"/>
          </w:tcPr>
          <w:p w14:paraId="2010BE18">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总行党委-副行长</w:t>
            </w:r>
          </w:p>
        </w:tc>
        <w:tc>
          <w:tcPr>
            <w:tcW w:w="1222" w:type="pct"/>
            <w:noWrap/>
            <w:vAlign w:val="center"/>
          </w:tcPr>
          <w:p w14:paraId="40573299">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13789029698</w:t>
            </w:r>
          </w:p>
        </w:tc>
      </w:tr>
      <w:tr w14:paraId="707F3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603B71B9">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巴陵农商行德胜路分理处</w:t>
            </w:r>
          </w:p>
        </w:tc>
        <w:tc>
          <w:tcPr>
            <w:tcW w:w="443" w:type="pct"/>
            <w:noWrap/>
            <w:vAlign w:val="center"/>
          </w:tcPr>
          <w:p w14:paraId="49017B17">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付素洁</w:t>
            </w:r>
          </w:p>
        </w:tc>
        <w:tc>
          <w:tcPr>
            <w:tcW w:w="1517" w:type="pct"/>
            <w:noWrap/>
            <w:vAlign w:val="center"/>
          </w:tcPr>
          <w:p w14:paraId="0DCEBD80">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支行副行长</w:t>
            </w:r>
          </w:p>
        </w:tc>
        <w:tc>
          <w:tcPr>
            <w:tcW w:w="1222" w:type="pct"/>
            <w:noWrap/>
            <w:vAlign w:val="center"/>
          </w:tcPr>
          <w:p w14:paraId="104A8976">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13907309327</w:t>
            </w:r>
          </w:p>
        </w:tc>
      </w:tr>
      <w:tr w14:paraId="494128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44C9F618">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highlight w:val="none"/>
              </w:rPr>
              <w:t>中国建设银行岳阳市分行营业部</w:t>
            </w:r>
          </w:p>
        </w:tc>
        <w:tc>
          <w:tcPr>
            <w:tcW w:w="443" w:type="pct"/>
            <w:noWrap/>
            <w:vAlign w:val="center"/>
          </w:tcPr>
          <w:p w14:paraId="6ED45944">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highlight w:val="none"/>
              </w:rPr>
              <w:t>邹鸿志</w:t>
            </w:r>
          </w:p>
        </w:tc>
        <w:tc>
          <w:tcPr>
            <w:tcW w:w="1517" w:type="pct"/>
            <w:noWrap/>
            <w:vAlign w:val="center"/>
          </w:tcPr>
          <w:p w14:paraId="2912897C">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highlight w:val="none"/>
              </w:rPr>
              <w:t>分行营业部副行长</w:t>
            </w:r>
          </w:p>
        </w:tc>
        <w:tc>
          <w:tcPr>
            <w:tcW w:w="1222" w:type="pct"/>
            <w:noWrap/>
            <w:vAlign w:val="center"/>
          </w:tcPr>
          <w:p w14:paraId="2B78FB7D">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highlight w:val="none"/>
              </w:rPr>
              <w:t>18711236688</w:t>
            </w:r>
          </w:p>
        </w:tc>
      </w:tr>
      <w:tr w14:paraId="7B1E22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C097FB0">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highlight w:val="none"/>
              </w:rPr>
              <w:t>中国建设银行岳阳市分行营业部</w:t>
            </w:r>
          </w:p>
        </w:tc>
        <w:tc>
          <w:tcPr>
            <w:tcW w:w="443" w:type="pct"/>
            <w:noWrap/>
            <w:vAlign w:val="center"/>
          </w:tcPr>
          <w:p w14:paraId="5FCDFB16">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highlight w:val="none"/>
              </w:rPr>
              <w:t>刘紫薇</w:t>
            </w:r>
          </w:p>
        </w:tc>
        <w:tc>
          <w:tcPr>
            <w:tcW w:w="1517" w:type="pct"/>
            <w:noWrap/>
            <w:vAlign w:val="center"/>
          </w:tcPr>
          <w:p w14:paraId="4D00B99E">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highlight w:val="none"/>
              </w:rPr>
              <w:t>分行普惠部客户经理</w:t>
            </w:r>
          </w:p>
        </w:tc>
        <w:tc>
          <w:tcPr>
            <w:tcW w:w="1222" w:type="pct"/>
            <w:noWrap/>
            <w:vAlign w:val="center"/>
          </w:tcPr>
          <w:p w14:paraId="196C7435">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highlight w:val="none"/>
              </w:rPr>
              <w:t>19967060009</w:t>
            </w:r>
          </w:p>
        </w:tc>
      </w:tr>
      <w:tr w14:paraId="4A0B09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03DEEF1F">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中国建设银行岳阳市分行营业部</w:t>
            </w:r>
          </w:p>
        </w:tc>
        <w:tc>
          <w:tcPr>
            <w:tcW w:w="443" w:type="pct"/>
            <w:noWrap/>
            <w:vAlign w:val="center"/>
          </w:tcPr>
          <w:p w14:paraId="0985D178">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highlight w:val="none"/>
              </w:rPr>
              <w:t>李润泽</w:t>
            </w:r>
          </w:p>
        </w:tc>
        <w:tc>
          <w:tcPr>
            <w:tcW w:w="1517" w:type="pct"/>
            <w:noWrap/>
            <w:vAlign w:val="center"/>
          </w:tcPr>
          <w:p w14:paraId="36B6A807">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highlight w:val="none"/>
              </w:rPr>
              <w:t>分行营业部客户经理</w:t>
            </w:r>
          </w:p>
        </w:tc>
        <w:tc>
          <w:tcPr>
            <w:tcW w:w="1222" w:type="pct"/>
            <w:noWrap/>
            <w:vAlign w:val="center"/>
          </w:tcPr>
          <w:p w14:paraId="1F54C508">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highlight w:val="none"/>
              </w:rPr>
              <w:t>13337309009</w:t>
            </w:r>
          </w:p>
        </w:tc>
      </w:tr>
      <w:tr w14:paraId="26EDA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D0F5CD5">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兴业银行岳阳分行营业部</w:t>
            </w:r>
          </w:p>
        </w:tc>
        <w:tc>
          <w:tcPr>
            <w:tcW w:w="443" w:type="pct"/>
            <w:noWrap/>
            <w:vAlign w:val="center"/>
          </w:tcPr>
          <w:p w14:paraId="69486C88">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谭  丽</w:t>
            </w:r>
          </w:p>
        </w:tc>
        <w:tc>
          <w:tcPr>
            <w:tcW w:w="1517" w:type="pct"/>
            <w:noWrap/>
            <w:vAlign w:val="center"/>
          </w:tcPr>
          <w:p w14:paraId="5BEFB02F">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总经理</w:t>
            </w:r>
          </w:p>
        </w:tc>
        <w:tc>
          <w:tcPr>
            <w:tcW w:w="1222" w:type="pct"/>
            <w:noWrap/>
            <w:vAlign w:val="center"/>
          </w:tcPr>
          <w:p w14:paraId="47906C92">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18773081188</w:t>
            </w:r>
          </w:p>
        </w:tc>
      </w:tr>
      <w:tr w14:paraId="23EB43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733706F4">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兴业银行岳阳分行营业部</w:t>
            </w:r>
          </w:p>
        </w:tc>
        <w:tc>
          <w:tcPr>
            <w:tcW w:w="443" w:type="pct"/>
            <w:noWrap/>
            <w:vAlign w:val="center"/>
          </w:tcPr>
          <w:p w14:paraId="2D1B3834">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李江天</w:t>
            </w:r>
          </w:p>
        </w:tc>
        <w:tc>
          <w:tcPr>
            <w:tcW w:w="1517" w:type="pct"/>
            <w:noWrap/>
            <w:vAlign w:val="center"/>
          </w:tcPr>
          <w:p w14:paraId="77351A69">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客户经理</w:t>
            </w:r>
          </w:p>
        </w:tc>
        <w:tc>
          <w:tcPr>
            <w:tcW w:w="1222" w:type="pct"/>
            <w:noWrap/>
            <w:vAlign w:val="center"/>
          </w:tcPr>
          <w:p w14:paraId="32F0CC9B">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19573070611</w:t>
            </w:r>
          </w:p>
        </w:tc>
      </w:tr>
      <w:tr w14:paraId="146EDB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616CF5BD">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中信</w:t>
            </w:r>
            <w:r>
              <w:rPr>
                <w:rFonts w:hint="eastAsia" w:ascii="宋体" w:hAnsi="宋体" w:cs="宋体"/>
                <w:color w:val="auto"/>
                <w:sz w:val="18"/>
                <w:szCs w:val="18"/>
                <w:highlight w:val="none"/>
              </w:rPr>
              <w:t>银行岳阳分行</w:t>
            </w:r>
          </w:p>
        </w:tc>
        <w:tc>
          <w:tcPr>
            <w:tcW w:w="443" w:type="pct"/>
            <w:noWrap/>
            <w:vAlign w:val="center"/>
          </w:tcPr>
          <w:p w14:paraId="537D5C9D">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李箐笛</w:t>
            </w:r>
          </w:p>
        </w:tc>
        <w:tc>
          <w:tcPr>
            <w:tcW w:w="1517" w:type="pct"/>
            <w:noWrap/>
            <w:vAlign w:val="center"/>
          </w:tcPr>
          <w:p w14:paraId="650AC2FC">
            <w:pPr>
              <w:adjustRightInd w:val="0"/>
              <w:snapToGrid w:val="0"/>
              <w:spacing w:before="156" w:beforeLines="50" w:line="360" w:lineRule="auto"/>
              <w:jc w:val="center"/>
              <w:rPr>
                <w:rFonts w:ascii="宋体" w:hAnsi="宋体" w:cs="宋体"/>
                <w:color w:val="auto"/>
                <w:sz w:val="18"/>
                <w:szCs w:val="18"/>
                <w:highlight w:val="none"/>
              </w:rPr>
            </w:pPr>
            <w:r>
              <w:rPr>
                <w:rFonts w:ascii="宋体" w:hAnsi="宋体" w:cs="宋体"/>
                <w:color w:val="auto"/>
                <w:sz w:val="18"/>
                <w:szCs w:val="18"/>
                <w:highlight w:val="none"/>
              </w:rPr>
              <w:t>公司部客户经理</w:t>
            </w:r>
          </w:p>
        </w:tc>
        <w:tc>
          <w:tcPr>
            <w:tcW w:w="1222" w:type="pct"/>
            <w:noWrap/>
            <w:vAlign w:val="center"/>
          </w:tcPr>
          <w:p w14:paraId="5A92513E">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13</w:t>
            </w:r>
            <w:r>
              <w:rPr>
                <w:rFonts w:ascii="宋体" w:hAnsi="宋体" w:cs="宋体"/>
                <w:color w:val="auto"/>
                <w:sz w:val="18"/>
                <w:szCs w:val="18"/>
                <w:highlight w:val="none"/>
              </w:rPr>
              <w:t>117516881</w:t>
            </w:r>
          </w:p>
        </w:tc>
      </w:tr>
      <w:tr w14:paraId="269A90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50D479A">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工商银行岳阳分行</w:t>
            </w:r>
          </w:p>
        </w:tc>
        <w:tc>
          <w:tcPr>
            <w:tcW w:w="443" w:type="pct"/>
            <w:noWrap/>
            <w:vAlign w:val="center"/>
          </w:tcPr>
          <w:p w14:paraId="6DC14885">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杨文韬</w:t>
            </w:r>
          </w:p>
        </w:tc>
        <w:tc>
          <w:tcPr>
            <w:tcW w:w="1517" w:type="pct"/>
            <w:noWrap/>
            <w:vAlign w:val="center"/>
          </w:tcPr>
          <w:p w14:paraId="3AA7F20C">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普惠部负责人</w:t>
            </w:r>
          </w:p>
        </w:tc>
        <w:tc>
          <w:tcPr>
            <w:tcW w:w="1222" w:type="pct"/>
            <w:noWrap/>
            <w:vAlign w:val="center"/>
          </w:tcPr>
          <w:p w14:paraId="15635EC3">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13789018303</w:t>
            </w:r>
          </w:p>
        </w:tc>
      </w:tr>
      <w:tr w14:paraId="4D3C65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6655E8BF">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工商银行岳阳分行</w:t>
            </w:r>
          </w:p>
        </w:tc>
        <w:tc>
          <w:tcPr>
            <w:tcW w:w="443" w:type="pct"/>
            <w:noWrap/>
            <w:vAlign w:val="center"/>
          </w:tcPr>
          <w:p w14:paraId="234B849F">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陈  盈</w:t>
            </w:r>
          </w:p>
        </w:tc>
        <w:tc>
          <w:tcPr>
            <w:tcW w:w="1517" w:type="pct"/>
            <w:noWrap/>
            <w:vAlign w:val="center"/>
          </w:tcPr>
          <w:p w14:paraId="5010E3EF">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普惠部经办人</w:t>
            </w:r>
          </w:p>
        </w:tc>
        <w:tc>
          <w:tcPr>
            <w:tcW w:w="1222" w:type="pct"/>
            <w:noWrap/>
            <w:vAlign w:val="center"/>
          </w:tcPr>
          <w:p w14:paraId="09FA9C2D">
            <w:pPr>
              <w:adjustRightInd w:val="0"/>
              <w:snapToGrid w:val="0"/>
              <w:spacing w:before="156" w:beforeLines="50"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17872007507</w:t>
            </w:r>
          </w:p>
        </w:tc>
      </w:tr>
    </w:tbl>
    <w:p w14:paraId="6A9474F0">
      <w:pPr>
        <w:adjustRightInd w:val="0"/>
        <w:snapToGrid w:val="0"/>
        <w:spacing w:line="360" w:lineRule="auto"/>
        <w:rPr>
          <w:rFonts w:ascii="宋体"/>
          <w:b/>
          <w:bCs/>
          <w:color w:val="auto"/>
          <w:szCs w:val="21"/>
          <w:highlight w:val="none"/>
        </w:rPr>
      </w:pPr>
    </w:p>
    <w:p w14:paraId="4CDE98A8">
      <w:pPr>
        <w:adjustRightInd w:val="0"/>
        <w:snapToGrid w:val="0"/>
        <w:spacing w:line="360" w:lineRule="auto"/>
        <w:rPr>
          <w:rFonts w:ascii="宋体"/>
          <w:b/>
          <w:bCs/>
          <w:color w:val="auto"/>
          <w:szCs w:val="21"/>
          <w:highlight w:val="none"/>
        </w:rPr>
      </w:pPr>
      <w:r>
        <w:rPr>
          <w:rFonts w:hint="eastAsia" w:ascii="宋体" w:hAnsi="宋体"/>
          <w:b/>
          <w:bCs/>
          <w:color w:val="auto"/>
          <w:szCs w:val="21"/>
          <w:highlight w:val="none"/>
        </w:rPr>
        <w:t>附页</w:t>
      </w:r>
      <w:r>
        <w:rPr>
          <w:rFonts w:ascii="宋体" w:hAnsi="宋体"/>
          <w:b/>
          <w:bCs/>
          <w:color w:val="auto"/>
          <w:szCs w:val="21"/>
          <w:highlight w:val="none"/>
        </w:rPr>
        <w:t>2</w:t>
      </w:r>
    </w:p>
    <w:p w14:paraId="1847832D">
      <w:pPr>
        <w:adjustRightInd w:val="0"/>
        <w:snapToGrid w:val="0"/>
        <w:spacing w:line="360" w:lineRule="auto"/>
        <w:jc w:val="center"/>
        <w:rPr>
          <w:rFonts w:ascii="宋体"/>
          <w:b/>
          <w:bCs/>
          <w:color w:val="auto"/>
          <w:sz w:val="28"/>
          <w:szCs w:val="28"/>
          <w:highlight w:val="none"/>
        </w:rPr>
      </w:pPr>
      <w:r>
        <w:rPr>
          <w:rFonts w:hint="eastAsia" w:ascii="宋体" w:hAnsi="宋体" w:cs="宋体"/>
          <w:b/>
          <w:bCs/>
          <w:color w:val="auto"/>
          <w:kern w:val="0"/>
          <w:sz w:val="28"/>
          <w:szCs w:val="28"/>
          <w:highlight w:val="none"/>
        </w:rPr>
        <w:t>湖南省政府采购信用担保试点工作的</w:t>
      </w:r>
      <w:r>
        <w:rPr>
          <w:rFonts w:hint="eastAsia" w:ascii="宋体" w:hAnsi="宋体"/>
          <w:b/>
          <w:color w:val="auto"/>
          <w:sz w:val="28"/>
          <w:szCs w:val="28"/>
          <w:highlight w:val="none"/>
        </w:rPr>
        <w:t>信用担保机构名单</w:t>
      </w:r>
    </w:p>
    <w:tbl>
      <w:tblPr>
        <w:tblStyle w:val="40"/>
        <w:tblW w:w="9876"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4476"/>
      </w:tblGrid>
      <w:tr w14:paraId="4F5EF7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tcBorders>
              <w:top w:val="double" w:color="auto" w:sz="4" w:space="0"/>
            </w:tcBorders>
            <w:vAlign w:val="center"/>
          </w:tcPr>
          <w:p w14:paraId="344173A1">
            <w:pPr>
              <w:adjustRightInd w:val="0"/>
              <w:snapToGrid w:val="0"/>
              <w:spacing w:line="240" w:lineRule="exact"/>
              <w:jc w:val="center"/>
              <w:rPr>
                <w:rFonts w:ascii="宋体" w:cs="宋体"/>
                <w:b/>
                <w:bCs/>
                <w:color w:val="auto"/>
                <w:kern w:val="0"/>
                <w:szCs w:val="21"/>
                <w:highlight w:val="none"/>
              </w:rPr>
            </w:pPr>
            <w:r>
              <w:rPr>
                <w:rFonts w:hint="eastAsia" w:ascii="宋体" w:hAnsi="宋体"/>
                <w:b/>
                <w:color w:val="auto"/>
                <w:szCs w:val="21"/>
                <w:highlight w:val="none"/>
              </w:rPr>
              <w:t>信用担保机构</w:t>
            </w:r>
          </w:p>
        </w:tc>
        <w:tc>
          <w:tcPr>
            <w:tcW w:w="1080" w:type="dxa"/>
            <w:tcBorders>
              <w:top w:val="double" w:color="auto" w:sz="4" w:space="0"/>
            </w:tcBorders>
            <w:vAlign w:val="center"/>
          </w:tcPr>
          <w:p w14:paraId="70AFC0D9">
            <w:pPr>
              <w:adjustRightInd w:val="0"/>
              <w:snapToGrid w:val="0"/>
              <w:spacing w:line="240" w:lineRule="exact"/>
              <w:jc w:val="center"/>
              <w:rPr>
                <w:rFonts w:ascii="宋体" w:cs="宋体"/>
                <w:b/>
                <w:bCs/>
                <w:color w:val="auto"/>
                <w:kern w:val="0"/>
                <w:szCs w:val="21"/>
                <w:highlight w:val="none"/>
              </w:rPr>
            </w:pPr>
            <w:r>
              <w:rPr>
                <w:rFonts w:hint="eastAsia" w:ascii="宋体" w:hAnsi="宋体"/>
                <w:b/>
                <w:color w:val="auto"/>
                <w:szCs w:val="21"/>
                <w:highlight w:val="none"/>
              </w:rPr>
              <w:t>联系人</w:t>
            </w:r>
          </w:p>
        </w:tc>
        <w:tc>
          <w:tcPr>
            <w:tcW w:w="4476" w:type="dxa"/>
            <w:tcBorders>
              <w:top w:val="double" w:color="auto" w:sz="4" w:space="0"/>
            </w:tcBorders>
            <w:vAlign w:val="center"/>
          </w:tcPr>
          <w:p w14:paraId="34F46F77">
            <w:pPr>
              <w:adjustRightInd w:val="0"/>
              <w:snapToGrid w:val="0"/>
              <w:spacing w:line="240" w:lineRule="exact"/>
              <w:jc w:val="center"/>
              <w:rPr>
                <w:rFonts w:ascii="宋体" w:cs="宋体"/>
                <w:b/>
                <w:bCs/>
                <w:color w:val="auto"/>
                <w:kern w:val="0"/>
                <w:szCs w:val="21"/>
                <w:highlight w:val="none"/>
              </w:rPr>
            </w:pPr>
            <w:r>
              <w:rPr>
                <w:rFonts w:hint="eastAsia" w:ascii="宋体" w:hAnsi="宋体"/>
                <w:b/>
                <w:color w:val="auto"/>
                <w:szCs w:val="21"/>
                <w:highlight w:val="none"/>
              </w:rPr>
              <w:t>联系电话</w:t>
            </w:r>
          </w:p>
        </w:tc>
      </w:tr>
      <w:tr w14:paraId="42F35E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0A44F456">
            <w:pPr>
              <w:adjustRightInd w:val="0"/>
              <w:snapToGrid w:val="0"/>
              <w:spacing w:line="360" w:lineRule="auto"/>
              <w:jc w:val="left"/>
              <w:rPr>
                <w:rFonts w:ascii="宋体" w:cs="宋体"/>
                <w:bCs/>
                <w:color w:val="auto"/>
                <w:kern w:val="0"/>
                <w:szCs w:val="21"/>
                <w:highlight w:val="none"/>
              </w:rPr>
            </w:pPr>
            <w:r>
              <w:rPr>
                <w:rFonts w:hint="eastAsia" w:ascii="宋体" w:hAnsi="宋体"/>
                <w:color w:val="auto"/>
                <w:szCs w:val="21"/>
                <w:highlight w:val="none"/>
              </w:rPr>
              <w:t>中国投资担保公司</w:t>
            </w:r>
          </w:p>
        </w:tc>
        <w:tc>
          <w:tcPr>
            <w:tcW w:w="1080" w:type="dxa"/>
            <w:vAlign w:val="center"/>
          </w:tcPr>
          <w:p w14:paraId="36C44FD6">
            <w:pPr>
              <w:adjustRightInd w:val="0"/>
              <w:snapToGrid w:val="0"/>
              <w:spacing w:line="360" w:lineRule="auto"/>
              <w:jc w:val="center"/>
              <w:rPr>
                <w:rFonts w:ascii="宋体" w:cs="宋体"/>
                <w:bCs/>
                <w:color w:val="auto"/>
                <w:kern w:val="0"/>
                <w:szCs w:val="21"/>
                <w:highlight w:val="none"/>
              </w:rPr>
            </w:pPr>
            <w:r>
              <w:rPr>
                <w:rFonts w:hint="eastAsia" w:ascii="宋体" w:hAnsi="宋体"/>
                <w:color w:val="auto"/>
                <w:szCs w:val="21"/>
                <w:highlight w:val="none"/>
              </w:rPr>
              <w:t>何</w:t>
            </w:r>
            <w:r>
              <w:rPr>
                <w:rFonts w:ascii="宋体" w:hAnsi="宋体"/>
                <w:color w:val="auto"/>
                <w:szCs w:val="21"/>
                <w:highlight w:val="none"/>
              </w:rPr>
              <w:t xml:space="preserve">  </w:t>
            </w:r>
            <w:r>
              <w:rPr>
                <w:rFonts w:hint="eastAsia" w:ascii="宋体" w:hAnsi="宋体"/>
                <w:color w:val="auto"/>
                <w:szCs w:val="21"/>
                <w:highlight w:val="none"/>
              </w:rPr>
              <w:t>嘉</w:t>
            </w:r>
          </w:p>
        </w:tc>
        <w:tc>
          <w:tcPr>
            <w:tcW w:w="4476" w:type="dxa"/>
            <w:vAlign w:val="center"/>
          </w:tcPr>
          <w:p w14:paraId="1F5A950A">
            <w:pPr>
              <w:adjustRightInd w:val="0"/>
              <w:snapToGrid w:val="0"/>
              <w:spacing w:line="360" w:lineRule="auto"/>
              <w:jc w:val="left"/>
              <w:rPr>
                <w:rFonts w:ascii="宋体" w:cs="宋体"/>
                <w:bCs/>
                <w:color w:val="auto"/>
                <w:kern w:val="0"/>
                <w:szCs w:val="21"/>
                <w:highlight w:val="none"/>
              </w:rPr>
            </w:pPr>
            <w:r>
              <w:rPr>
                <w:rFonts w:ascii="宋体" w:hAnsi="宋体"/>
                <w:color w:val="auto"/>
                <w:szCs w:val="21"/>
                <w:highlight w:val="none"/>
              </w:rPr>
              <w:t>010-88822659/13718642233</w:t>
            </w:r>
          </w:p>
        </w:tc>
      </w:tr>
      <w:tr w14:paraId="043C4E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369C3163">
            <w:pPr>
              <w:adjustRightInd w:val="0"/>
              <w:snapToGrid w:val="0"/>
              <w:spacing w:line="360" w:lineRule="auto"/>
              <w:jc w:val="left"/>
              <w:rPr>
                <w:rFonts w:ascii="宋体" w:cs="宋体"/>
                <w:bCs/>
                <w:color w:val="auto"/>
                <w:kern w:val="0"/>
                <w:szCs w:val="21"/>
                <w:highlight w:val="none"/>
              </w:rPr>
            </w:pPr>
            <w:r>
              <w:rPr>
                <w:rFonts w:hint="eastAsia" w:ascii="宋体" w:hAnsi="宋体"/>
                <w:color w:val="auto"/>
                <w:szCs w:val="21"/>
                <w:highlight w:val="none"/>
              </w:rPr>
              <w:t>湖南省中小企业信用担保有限责任公司</w:t>
            </w:r>
          </w:p>
        </w:tc>
        <w:tc>
          <w:tcPr>
            <w:tcW w:w="1080" w:type="dxa"/>
            <w:vAlign w:val="center"/>
          </w:tcPr>
          <w:p w14:paraId="56D504A6">
            <w:pPr>
              <w:adjustRightInd w:val="0"/>
              <w:snapToGrid w:val="0"/>
              <w:spacing w:line="360" w:lineRule="auto"/>
              <w:jc w:val="center"/>
              <w:rPr>
                <w:rFonts w:ascii="宋体" w:cs="宋体"/>
                <w:bCs/>
                <w:color w:val="auto"/>
                <w:kern w:val="0"/>
                <w:szCs w:val="21"/>
                <w:highlight w:val="none"/>
              </w:rPr>
            </w:pPr>
            <w:r>
              <w:rPr>
                <w:rFonts w:hint="eastAsia" w:ascii="宋体" w:hAnsi="宋体"/>
                <w:color w:val="auto"/>
                <w:szCs w:val="21"/>
                <w:highlight w:val="none"/>
              </w:rPr>
              <w:t>蔡建雄</w:t>
            </w:r>
          </w:p>
        </w:tc>
        <w:tc>
          <w:tcPr>
            <w:tcW w:w="4476" w:type="dxa"/>
            <w:vAlign w:val="center"/>
          </w:tcPr>
          <w:p w14:paraId="55FF862E">
            <w:pPr>
              <w:adjustRightInd w:val="0"/>
              <w:snapToGrid w:val="0"/>
              <w:spacing w:line="360" w:lineRule="auto"/>
              <w:jc w:val="left"/>
              <w:rPr>
                <w:rFonts w:ascii="宋体" w:cs="宋体"/>
                <w:bCs/>
                <w:color w:val="auto"/>
                <w:kern w:val="0"/>
                <w:szCs w:val="21"/>
                <w:highlight w:val="none"/>
              </w:rPr>
            </w:pPr>
            <w:r>
              <w:rPr>
                <w:rFonts w:ascii="宋体" w:hAnsi="宋体"/>
                <w:color w:val="auto"/>
                <w:szCs w:val="21"/>
                <w:highlight w:val="none"/>
              </w:rPr>
              <w:t>0731-84172390-201/15573193555</w:t>
            </w:r>
          </w:p>
        </w:tc>
      </w:tr>
      <w:tr w14:paraId="0DD5A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3" w:hRule="atLeast"/>
        </w:trPr>
        <w:tc>
          <w:tcPr>
            <w:tcW w:w="4320" w:type="dxa"/>
            <w:tcBorders>
              <w:bottom w:val="double" w:color="auto" w:sz="4" w:space="0"/>
            </w:tcBorders>
            <w:vAlign w:val="center"/>
          </w:tcPr>
          <w:p w14:paraId="758B00A2">
            <w:pPr>
              <w:adjustRightInd w:val="0"/>
              <w:snapToGrid w:val="0"/>
              <w:spacing w:line="360" w:lineRule="auto"/>
              <w:rPr>
                <w:rFonts w:ascii="宋体" w:cs="宋体"/>
                <w:color w:val="auto"/>
                <w:szCs w:val="21"/>
                <w:highlight w:val="none"/>
              </w:rPr>
            </w:pPr>
            <w:r>
              <w:rPr>
                <w:rFonts w:hint="eastAsia" w:ascii="宋体" w:hAnsi="宋体"/>
                <w:color w:val="auto"/>
                <w:szCs w:val="21"/>
                <w:highlight w:val="none"/>
              </w:rPr>
              <w:t>湖南农业信用担保有限公司</w:t>
            </w:r>
          </w:p>
        </w:tc>
        <w:tc>
          <w:tcPr>
            <w:tcW w:w="1080" w:type="dxa"/>
            <w:tcBorders>
              <w:bottom w:val="double" w:color="auto" w:sz="4" w:space="0"/>
            </w:tcBorders>
            <w:vAlign w:val="center"/>
          </w:tcPr>
          <w:p w14:paraId="3FBC98D2">
            <w:pPr>
              <w:adjustRightInd w:val="0"/>
              <w:snapToGrid w:val="0"/>
              <w:spacing w:line="360" w:lineRule="auto"/>
              <w:jc w:val="center"/>
              <w:rPr>
                <w:rFonts w:ascii="宋体"/>
                <w:color w:val="auto"/>
                <w:szCs w:val="21"/>
                <w:highlight w:val="none"/>
              </w:rPr>
            </w:pPr>
            <w:r>
              <w:rPr>
                <w:rFonts w:hint="eastAsia" w:ascii="宋体" w:hAnsi="宋体"/>
                <w:color w:val="auto"/>
                <w:szCs w:val="21"/>
                <w:highlight w:val="none"/>
              </w:rPr>
              <w:t>彭</w:t>
            </w:r>
            <w:r>
              <w:rPr>
                <w:rFonts w:ascii="宋体" w:hAnsi="宋体"/>
                <w:color w:val="auto"/>
                <w:szCs w:val="21"/>
                <w:highlight w:val="none"/>
              </w:rPr>
              <w:t xml:space="preserve">  </w:t>
            </w:r>
            <w:r>
              <w:rPr>
                <w:rFonts w:hint="eastAsia" w:ascii="宋体" w:hAnsi="宋体"/>
                <w:color w:val="auto"/>
                <w:szCs w:val="21"/>
                <w:highlight w:val="none"/>
              </w:rPr>
              <w:t>球</w:t>
            </w:r>
          </w:p>
          <w:p w14:paraId="04544E27">
            <w:pPr>
              <w:adjustRightInd w:val="0"/>
              <w:snapToGrid w:val="0"/>
              <w:spacing w:line="360" w:lineRule="auto"/>
              <w:jc w:val="center"/>
              <w:rPr>
                <w:rFonts w:ascii="宋体" w:cs="宋体"/>
                <w:bCs/>
                <w:color w:val="auto"/>
                <w:kern w:val="0"/>
                <w:szCs w:val="21"/>
                <w:highlight w:val="none"/>
              </w:rPr>
            </w:pPr>
            <w:r>
              <w:rPr>
                <w:rFonts w:hint="eastAsia" w:ascii="宋体" w:hAnsi="宋体"/>
                <w:color w:val="auto"/>
                <w:szCs w:val="21"/>
                <w:highlight w:val="none"/>
              </w:rPr>
              <w:t>邓霞英</w:t>
            </w:r>
          </w:p>
        </w:tc>
        <w:tc>
          <w:tcPr>
            <w:tcW w:w="4476" w:type="dxa"/>
            <w:tcBorders>
              <w:bottom w:val="double" w:color="auto" w:sz="4" w:space="0"/>
            </w:tcBorders>
            <w:vAlign w:val="center"/>
          </w:tcPr>
          <w:p w14:paraId="1AEF5C3D">
            <w:pPr>
              <w:adjustRightInd w:val="0"/>
              <w:snapToGrid w:val="0"/>
              <w:spacing w:line="360" w:lineRule="auto"/>
              <w:jc w:val="left"/>
              <w:rPr>
                <w:rFonts w:ascii="宋体" w:cs="宋体"/>
                <w:bCs/>
                <w:color w:val="auto"/>
                <w:kern w:val="0"/>
                <w:szCs w:val="21"/>
                <w:highlight w:val="none"/>
              </w:rPr>
            </w:pPr>
            <w:r>
              <w:rPr>
                <w:rFonts w:ascii="宋体" w:hAnsi="宋体"/>
                <w:color w:val="auto"/>
                <w:szCs w:val="21"/>
                <w:highlight w:val="none"/>
              </w:rPr>
              <w:t>0731-89761702/13875980906 0731-89761706/13574125851</w:t>
            </w:r>
          </w:p>
        </w:tc>
      </w:tr>
    </w:tbl>
    <w:p w14:paraId="784C5CA9">
      <w:pPr>
        <w:adjustRightInd w:val="0"/>
        <w:snapToGrid w:val="0"/>
        <w:spacing w:line="360" w:lineRule="auto"/>
        <w:jc w:val="center"/>
        <w:outlineLvl w:val="0"/>
        <w:rPr>
          <w:rFonts w:ascii="宋体" w:hAnsi="宋体" w:cs="宋体"/>
          <w:b/>
          <w:bCs/>
          <w:color w:val="auto"/>
          <w:kern w:val="0"/>
          <w:sz w:val="28"/>
          <w:szCs w:val="28"/>
          <w:highlight w:val="none"/>
        </w:rPr>
      </w:pPr>
      <w:bookmarkStart w:id="62" w:name="_Toc32043"/>
    </w:p>
    <w:p w14:paraId="6FECF0FB">
      <w:pPr>
        <w:adjustRightInd w:val="0"/>
        <w:snapToGrid w:val="0"/>
        <w:spacing w:line="360" w:lineRule="auto"/>
        <w:jc w:val="center"/>
        <w:outlineLvl w:val="0"/>
        <w:rPr>
          <w:rFonts w:ascii="宋体" w:hAnsi="宋体" w:cs="宋体"/>
          <w:b/>
          <w:bCs/>
          <w:color w:val="auto"/>
          <w:sz w:val="28"/>
          <w:szCs w:val="28"/>
          <w:highlight w:val="none"/>
        </w:rPr>
      </w:pPr>
      <w:r>
        <w:rPr>
          <w:rFonts w:hint="eastAsia" w:ascii="宋体" w:hAnsi="宋体" w:cs="宋体"/>
          <w:b/>
          <w:bCs/>
          <w:color w:val="auto"/>
          <w:kern w:val="0"/>
          <w:sz w:val="28"/>
          <w:szCs w:val="28"/>
          <w:highlight w:val="none"/>
        </w:rPr>
        <w:t>岳阳市政府采购信用担保试点工作的信用担保机构名</w:t>
      </w:r>
      <w:r>
        <w:rPr>
          <w:rFonts w:hint="eastAsia" w:ascii="宋体" w:hAnsi="宋体" w:cs="宋体"/>
          <w:b/>
          <w:color w:val="auto"/>
          <w:sz w:val="28"/>
          <w:szCs w:val="28"/>
          <w:highlight w:val="none"/>
        </w:rPr>
        <w:t>单</w:t>
      </w:r>
      <w:bookmarkEnd w:id="62"/>
    </w:p>
    <w:tbl>
      <w:tblPr>
        <w:tblStyle w:val="40"/>
        <w:tblW w:w="987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863"/>
        <w:gridCol w:w="1088"/>
        <w:gridCol w:w="3919"/>
      </w:tblGrid>
      <w:tr w14:paraId="11966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863" w:type="dxa"/>
            <w:vAlign w:val="center"/>
          </w:tcPr>
          <w:p w14:paraId="4DB74B28">
            <w:pPr>
              <w:adjustRightInd w:val="0"/>
              <w:snapToGrid w:val="0"/>
              <w:spacing w:line="320" w:lineRule="exact"/>
              <w:jc w:val="center"/>
              <w:rPr>
                <w:rFonts w:ascii="宋体" w:hAnsi="宋体" w:cs="宋体"/>
                <w:b/>
                <w:bCs/>
                <w:color w:val="auto"/>
                <w:kern w:val="0"/>
                <w:sz w:val="22"/>
                <w:szCs w:val="22"/>
                <w:highlight w:val="none"/>
              </w:rPr>
            </w:pPr>
            <w:r>
              <w:rPr>
                <w:rFonts w:hint="eastAsia" w:ascii="宋体" w:hAnsi="宋体" w:cs="宋体"/>
                <w:b/>
                <w:color w:val="auto"/>
                <w:sz w:val="22"/>
                <w:szCs w:val="22"/>
                <w:highlight w:val="none"/>
              </w:rPr>
              <w:t>信用担保机构</w:t>
            </w:r>
          </w:p>
        </w:tc>
        <w:tc>
          <w:tcPr>
            <w:tcW w:w="1088" w:type="dxa"/>
            <w:vAlign w:val="center"/>
          </w:tcPr>
          <w:p w14:paraId="634F588D">
            <w:pPr>
              <w:adjustRightInd w:val="0"/>
              <w:snapToGrid w:val="0"/>
              <w:spacing w:line="320" w:lineRule="exact"/>
              <w:jc w:val="center"/>
              <w:rPr>
                <w:rFonts w:ascii="宋体" w:hAnsi="宋体" w:cs="宋体"/>
                <w:b/>
                <w:bCs/>
                <w:color w:val="auto"/>
                <w:kern w:val="0"/>
                <w:sz w:val="22"/>
                <w:szCs w:val="22"/>
                <w:highlight w:val="none"/>
              </w:rPr>
            </w:pPr>
            <w:r>
              <w:rPr>
                <w:rFonts w:hint="eastAsia" w:ascii="宋体" w:hAnsi="宋体" w:cs="宋体"/>
                <w:b/>
                <w:color w:val="auto"/>
                <w:sz w:val="22"/>
                <w:szCs w:val="22"/>
                <w:highlight w:val="none"/>
              </w:rPr>
              <w:t>联系人</w:t>
            </w:r>
          </w:p>
        </w:tc>
        <w:tc>
          <w:tcPr>
            <w:tcW w:w="3919" w:type="dxa"/>
            <w:vAlign w:val="center"/>
          </w:tcPr>
          <w:p w14:paraId="6BF72DB4">
            <w:pPr>
              <w:adjustRightInd w:val="0"/>
              <w:snapToGrid w:val="0"/>
              <w:spacing w:line="320" w:lineRule="exact"/>
              <w:jc w:val="center"/>
              <w:rPr>
                <w:rFonts w:ascii="宋体" w:hAnsi="宋体" w:cs="宋体"/>
                <w:b/>
                <w:bCs/>
                <w:color w:val="auto"/>
                <w:kern w:val="0"/>
                <w:sz w:val="22"/>
                <w:szCs w:val="22"/>
                <w:highlight w:val="none"/>
              </w:rPr>
            </w:pPr>
            <w:r>
              <w:rPr>
                <w:rFonts w:hint="eastAsia" w:ascii="宋体" w:hAnsi="宋体" w:cs="宋体"/>
                <w:b/>
                <w:color w:val="auto"/>
                <w:sz w:val="22"/>
                <w:szCs w:val="22"/>
                <w:highlight w:val="none"/>
              </w:rPr>
              <w:t>联系电话</w:t>
            </w:r>
          </w:p>
        </w:tc>
      </w:tr>
      <w:tr w14:paraId="12E9D0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863" w:type="dxa"/>
            <w:vAlign w:val="center"/>
          </w:tcPr>
          <w:p w14:paraId="6608059F">
            <w:pPr>
              <w:adjustRightInd w:val="0"/>
              <w:snapToGrid w:val="0"/>
              <w:spacing w:line="320" w:lineRule="exact"/>
              <w:jc w:val="center"/>
              <w:rPr>
                <w:rFonts w:ascii="宋体" w:hAnsi="宋体" w:cs="宋体"/>
                <w:bCs/>
                <w:color w:val="auto"/>
                <w:kern w:val="0"/>
                <w:sz w:val="21"/>
                <w:szCs w:val="21"/>
                <w:highlight w:val="none"/>
              </w:rPr>
            </w:pPr>
            <w:r>
              <w:rPr>
                <w:rFonts w:hint="eastAsia" w:ascii="宋体" w:hAnsi="宋体" w:cs="宋体"/>
                <w:color w:val="auto"/>
                <w:sz w:val="21"/>
                <w:szCs w:val="21"/>
                <w:highlight w:val="none"/>
              </w:rPr>
              <w:t>岳阳市融资担保有限责任公司</w:t>
            </w:r>
          </w:p>
        </w:tc>
        <w:tc>
          <w:tcPr>
            <w:tcW w:w="1088" w:type="dxa"/>
            <w:vAlign w:val="center"/>
          </w:tcPr>
          <w:p w14:paraId="640A5C68">
            <w:pPr>
              <w:adjustRightInd w:val="0"/>
              <w:snapToGrid w:val="0"/>
              <w:spacing w:line="320" w:lineRule="exact"/>
              <w:jc w:val="center"/>
              <w:rPr>
                <w:rFonts w:ascii="宋体" w:hAnsi="宋体" w:cs="宋体"/>
                <w:bCs/>
                <w:color w:val="auto"/>
                <w:kern w:val="0"/>
                <w:sz w:val="21"/>
                <w:szCs w:val="21"/>
                <w:highlight w:val="none"/>
              </w:rPr>
            </w:pPr>
            <w:r>
              <w:rPr>
                <w:rFonts w:hint="eastAsia" w:ascii="宋体" w:hAnsi="宋体" w:cs="宋体"/>
                <w:color w:val="auto"/>
                <w:sz w:val="21"/>
                <w:szCs w:val="21"/>
                <w:highlight w:val="none"/>
              </w:rPr>
              <w:t>陈会亮</w:t>
            </w:r>
          </w:p>
        </w:tc>
        <w:tc>
          <w:tcPr>
            <w:tcW w:w="3919" w:type="dxa"/>
            <w:vAlign w:val="center"/>
          </w:tcPr>
          <w:p w14:paraId="0C7B6E8A">
            <w:pPr>
              <w:adjustRightInd w:val="0"/>
              <w:snapToGrid w:val="0"/>
              <w:spacing w:line="320" w:lineRule="exact"/>
              <w:jc w:val="left"/>
              <w:rPr>
                <w:rFonts w:ascii="宋体" w:hAnsi="宋体" w:cs="宋体"/>
                <w:bCs/>
                <w:color w:val="auto"/>
                <w:kern w:val="0"/>
                <w:sz w:val="21"/>
                <w:szCs w:val="21"/>
                <w:highlight w:val="none"/>
              </w:rPr>
            </w:pPr>
            <w:r>
              <w:rPr>
                <w:rFonts w:hint="eastAsia" w:ascii="宋体" w:hAnsi="宋体" w:cs="宋体"/>
                <w:color w:val="auto"/>
                <w:sz w:val="21"/>
                <w:szCs w:val="21"/>
                <w:highlight w:val="none"/>
              </w:rPr>
              <w:t>0730-8717032/18907300076</w:t>
            </w:r>
          </w:p>
        </w:tc>
      </w:tr>
      <w:tr w14:paraId="415E70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863" w:type="dxa"/>
            <w:vAlign w:val="center"/>
          </w:tcPr>
          <w:p w14:paraId="4AB1CF2E">
            <w:pPr>
              <w:adjustRightInd w:val="0"/>
              <w:snapToGrid w:val="0"/>
              <w:spacing w:line="32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岳阳市融资担保有限责任公司</w:t>
            </w:r>
          </w:p>
        </w:tc>
        <w:tc>
          <w:tcPr>
            <w:tcW w:w="1088" w:type="dxa"/>
            <w:vAlign w:val="center"/>
          </w:tcPr>
          <w:p w14:paraId="2657E163">
            <w:pPr>
              <w:adjustRightInd w:val="0"/>
              <w:snapToGrid w:val="0"/>
              <w:spacing w:line="32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黎子龙</w:t>
            </w:r>
          </w:p>
        </w:tc>
        <w:tc>
          <w:tcPr>
            <w:tcW w:w="3919" w:type="dxa"/>
            <w:vAlign w:val="center"/>
          </w:tcPr>
          <w:p w14:paraId="1E0F08D2">
            <w:pPr>
              <w:adjustRightInd w:val="0"/>
              <w:snapToGrid w:val="0"/>
              <w:spacing w:line="32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0730-8717032/17773021899</w:t>
            </w:r>
          </w:p>
        </w:tc>
      </w:tr>
      <w:tr w14:paraId="7FA944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863" w:type="dxa"/>
            <w:vAlign w:val="center"/>
          </w:tcPr>
          <w:p w14:paraId="2FBC244E">
            <w:pPr>
              <w:adjustRightInd w:val="0"/>
              <w:snapToGrid w:val="0"/>
              <w:spacing w:line="32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湖南省农业信用担保有限公司</w:t>
            </w:r>
          </w:p>
          <w:p w14:paraId="5D722E09">
            <w:pPr>
              <w:adjustRightInd w:val="0"/>
              <w:snapToGrid w:val="0"/>
              <w:spacing w:line="32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岳阳市分公司</w:t>
            </w:r>
          </w:p>
        </w:tc>
        <w:tc>
          <w:tcPr>
            <w:tcW w:w="1088" w:type="dxa"/>
            <w:vAlign w:val="center"/>
          </w:tcPr>
          <w:p w14:paraId="062433C2">
            <w:pPr>
              <w:adjustRightInd w:val="0"/>
              <w:snapToGrid w:val="0"/>
              <w:spacing w:line="32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张  武</w:t>
            </w:r>
          </w:p>
        </w:tc>
        <w:tc>
          <w:tcPr>
            <w:tcW w:w="3919" w:type="dxa"/>
            <w:vAlign w:val="center"/>
          </w:tcPr>
          <w:p w14:paraId="332F9E5C">
            <w:pPr>
              <w:adjustRightInd w:val="0"/>
              <w:snapToGrid w:val="0"/>
              <w:spacing w:line="32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0730-5220262/18973170258</w:t>
            </w:r>
          </w:p>
        </w:tc>
      </w:tr>
    </w:tbl>
    <w:p w14:paraId="2101D899">
      <w:pPr>
        <w:jc w:val="center"/>
        <w:outlineLvl w:val="0"/>
        <w:rPr>
          <w:rFonts w:ascii="宋体" w:hAnsi="宋体" w:cs="宋体"/>
          <w:b/>
          <w:bCs/>
          <w:sz w:val="28"/>
          <w:szCs w:val="36"/>
        </w:rPr>
      </w:pPr>
    </w:p>
    <w:p w14:paraId="6AD65561">
      <w:pPr>
        <w:jc w:val="center"/>
        <w:outlineLvl w:val="0"/>
        <w:rPr>
          <w:rFonts w:ascii="宋体" w:hAnsi="宋体" w:cs="宋体"/>
          <w:b/>
          <w:bCs/>
          <w:sz w:val="28"/>
          <w:szCs w:val="36"/>
        </w:rPr>
      </w:pPr>
    </w:p>
    <w:p w14:paraId="6680CDA4">
      <w:pPr>
        <w:jc w:val="both"/>
        <w:outlineLvl w:val="0"/>
        <w:rPr>
          <w:rFonts w:ascii="宋体" w:hAnsi="宋体" w:cs="宋体"/>
          <w:b/>
          <w:bCs/>
          <w:sz w:val="28"/>
          <w:szCs w:val="36"/>
        </w:rPr>
      </w:pPr>
    </w:p>
    <w:p w14:paraId="361D3766">
      <w:pPr>
        <w:jc w:val="center"/>
        <w:outlineLvl w:val="0"/>
        <w:rPr>
          <w:rFonts w:hint="eastAsia" w:ascii="宋体" w:hAnsi="宋体" w:cs="宋体"/>
          <w:b/>
          <w:bCs/>
          <w:sz w:val="28"/>
          <w:szCs w:val="36"/>
        </w:rPr>
      </w:pPr>
    </w:p>
    <w:p w14:paraId="662525FF">
      <w:pPr>
        <w:jc w:val="center"/>
        <w:outlineLvl w:val="0"/>
        <w:rPr>
          <w:rFonts w:ascii="宋体" w:hAnsi="宋体" w:cs="宋体"/>
          <w:b/>
          <w:bCs/>
          <w:sz w:val="28"/>
          <w:szCs w:val="36"/>
        </w:rPr>
      </w:pPr>
      <w:r>
        <w:rPr>
          <w:rFonts w:hint="eastAsia" w:ascii="宋体" w:hAnsi="宋体" w:cs="宋体"/>
          <w:b/>
          <w:bCs/>
          <w:sz w:val="28"/>
          <w:szCs w:val="36"/>
        </w:rPr>
        <w:t>正文</w:t>
      </w:r>
      <w:bookmarkEnd w:id="60"/>
      <w:bookmarkEnd w:id="61"/>
    </w:p>
    <w:p w14:paraId="71AECA27">
      <w:pPr>
        <w:jc w:val="center"/>
        <w:outlineLvl w:val="0"/>
        <w:rPr>
          <w:rFonts w:ascii="宋体" w:hAnsi="宋体" w:cs="宋体"/>
          <w:b/>
          <w:bCs/>
          <w:sz w:val="24"/>
          <w:szCs w:val="32"/>
        </w:rPr>
      </w:pPr>
      <w:bookmarkStart w:id="63" w:name="_Toc13171"/>
      <w:bookmarkStart w:id="64" w:name="_Toc5533"/>
      <w:r>
        <w:rPr>
          <w:rFonts w:hint="eastAsia" w:ascii="宋体" w:hAnsi="宋体" w:cs="宋体"/>
          <w:b/>
          <w:bCs/>
          <w:sz w:val="24"/>
          <w:szCs w:val="32"/>
        </w:rPr>
        <w:t>一、总则</w:t>
      </w:r>
      <w:bookmarkEnd w:id="63"/>
      <w:bookmarkEnd w:id="64"/>
    </w:p>
    <w:p w14:paraId="7D7F7089">
      <w:pPr>
        <w:adjustRightInd w:val="0"/>
        <w:snapToGrid w:val="0"/>
        <w:spacing w:line="360" w:lineRule="auto"/>
        <w:jc w:val="left"/>
        <w:rPr>
          <w:rFonts w:ascii="宋体" w:hAnsi="宋体" w:cs="宋体"/>
          <w:b/>
          <w:bCs/>
          <w:szCs w:val="21"/>
        </w:rPr>
      </w:pPr>
      <w:r>
        <w:rPr>
          <w:rFonts w:hint="eastAsia" w:ascii="宋体" w:hAnsi="宋体" w:cs="宋体"/>
          <w:b/>
          <w:bCs/>
          <w:szCs w:val="21"/>
        </w:rPr>
        <w:t>1.适用范围</w:t>
      </w:r>
    </w:p>
    <w:p w14:paraId="1110E8A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1.1本招标文件仅适用于本章“投标须知前附表”（以下简称</w:t>
      </w:r>
      <w:r>
        <w:rPr>
          <w:rFonts w:hint="eastAsia" w:ascii="宋体" w:hAnsi="宋体" w:cs="宋体"/>
          <w:b/>
          <w:szCs w:val="21"/>
        </w:rPr>
        <w:t>【投标须知前附表】</w:t>
      </w:r>
      <w:r>
        <w:rPr>
          <w:rFonts w:hint="eastAsia" w:ascii="宋体" w:hAnsi="宋体" w:cs="宋体"/>
          <w:szCs w:val="21"/>
        </w:rPr>
        <w:t>）中所叙述的采购项目。</w:t>
      </w:r>
    </w:p>
    <w:p w14:paraId="04A4783F">
      <w:pPr>
        <w:adjustRightInd w:val="0"/>
        <w:snapToGrid w:val="0"/>
        <w:spacing w:line="360" w:lineRule="auto"/>
        <w:jc w:val="left"/>
        <w:rPr>
          <w:rFonts w:ascii="宋体" w:hAnsi="宋体" w:cs="宋体"/>
          <w:b/>
          <w:bCs/>
          <w:szCs w:val="21"/>
        </w:rPr>
      </w:pPr>
      <w:r>
        <w:rPr>
          <w:rFonts w:hint="eastAsia" w:ascii="宋体" w:hAnsi="宋体" w:cs="宋体"/>
          <w:b/>
          <w:bCs/>
          <w:szCs w:val="21"/>
        </w:rPr>
        <w:t>2.定义</w:t>
      </w:r>
    </w:p>
    <w:p w14:paraId="7D1BD05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2.1采购人名称、地址、电话、联系人见</w:t>
      </w:r>
      <w:r>
        <w:rPr>
          <w:rFonts w:hint="eastAsia" w:ascii="宋体" w:hAnsi="宋体" w:cs="宋体"/>
          <w:b/>
          <w:szCs w:val="21"/>
        </w:rPr>
        <w:t>【投标须知前附表】</w:t>
      </w:r>
      <w:r>
        <w:rPr>
          <w:rFonts w:hint="eastAsia" w:ascii="宋体" w:hAnsi="宋体" w:cs="宋体"/>
          <w:szCs w:val="21"/>
        </w:rPr>
        <w:t>。</w:t>
      </w:r>
    </w:p>
    <w:p w14:paraId="45213EF8">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2.2采购代理机构名称、地址、电话、联系人见</w:t>
      </w:r>
      <w:r>
        <w:rPr>
          <w:rFonts w:hint="eastAsia" w:ascii="宋体" w:hAnsi="宋体" w:cs="宋体"/>
          <w:b/>
          <w:szCs w:val="21"/>
        </w:rPr>
        <w:t>【投标须知前附表】。</w:t>
      </w:r>
    </w:p>
    <w:p w14:paraId="3558639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2.3投标人系指响应招标、参加投标竞争的法人、其他组织或自然人。</w:t>
      </w:r>
    </w:p>
    <w:p w14:paraId="5533A6E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2.4货物是指各种形态和种类的物品，包括原材料、燃料、设备、产品等，详见《政府采购品目分类目录》（财库[2013]189号）。</w:t>
      </w:r>
    </w:p>
    <w:p w14:paraId="1066133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2.5服务是政府自身需要的服务和政府向社会公众提供的服务，详见《政府采购品目分类目录》（财库[2013]189号）。</w:t>
      </w:r>
    </w:p>
    <w:p w14:paraId="07D8248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2.6</w:t>
      </w:r>
      <w:r>
        <w:rPr>
          <w:rFonts w:hint="eastAsia" w:ascii="宋体" w:hAnsi="宋体" w:cs="宋体"/>
          <w:kern w:val="0"/>
          <w:szCs w:val="21"/>
        </w:rPr>
        <w:t>进口产品是指通过中国海关报关验放进入中国境内且产自关境外的产品，详见《关于政府采购进口产品管理有关问题的通知》（财库[2007]119号）。除</w:t>
      </w:r>
      <w:r>
        <w:rPr>
          <w:rFonts w:hint="eastAsia" w:ascii="宋体" w:hAnsi="宋体" w:cs="宋体"/>
          <w:b/>
          <w:szCs w:val="21"/>
        </w:rPr>
        <w:t>【投标须知前附表】</w:t>
      </w:r>
      <w:r>
        <w:rPr>
          <w:rFonts w:hint="eastAsia" w:ascii="宋体" w:hAnsi="宋体" w:cs="宋体"/>
          <w:kern w:val="0"/>
          <w:szCs w:val="21"/>
        </w:rPr>
        <w:t>另有规定外，采购项目拒绝进口产品参加投标。本款规定同意购买进口产品的，不限制满足招标文件要求的国内产品参与投标竞争。</w:t>
      </w:r>
    </w:p>
    <w:p w14:paraId="2E011F71">
      <w:pPr>
        <w:adjustRightInd w:val="0"/>
        <w:snapToGrid w:val="0"/>
        <w:spacing w:line="360" w:lineRule="auto"/>
        <w:jc w:val="left"/>
        <w:rPr>
          <w:rFonts w:ascii="宋体" w:hAnsi="宋体" w:cs="宋体"/>
          <w:b/>
          <w:bCs/>
          <w:szCs w:val="21"/>
        </w:rPr>
      </w:pPr>
      <w:r>
        <w:rPr>
          <w:rFonts w:hint="eastAsia" w:ascii="宋体" w:hAnsi="宋体" w:cs="宋体"/>
          <w:b/>
          <w:bCs/>
          <w:szCs w:val="21"/>
        </w:rPr>
        <w:t>3.投标人的资格要求</w:t>
      </w:r>
    </w:p>
    <w:p w14:paraId="0FB7A24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3.1投标人应当符合</w:t>
      </w:r>
      <w:r>
        <w:rPr>
          <w:rFonts w:hint="eastAsia" w:ascii="宋体" w:hAnsi="宋体" w:cs="宋体"/>
          <w:b/>
          <w:szCs w:val="21"/>
        </w:rPr>
        <w:t>【投标须知前附表】</w:t>
      </w:r>
      <w:r>
        <w:rPr>
          <w:rFonts w:hint="eastAsia" w:ascii="宋体" w:hAnsi="宋体" w:cs="宋体"/>
          <w:szCs w:val="21"/>
        </w:rPr>
        <w:t>中规定的投标人基本资格条件和特定资格条件。</w:t>
      </w:r>
    </w:p>
    <w:p w14:paraId="653DF94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3.2本章第3.1款规定接受联合体形式投标的，投标人除应符合本章第3.1</w:t>
      </w:r>
      <w:r>
        <w:rPr>
          <w:rFonts w:hint="eastAsia" w:ascii="宋体" w:hAnsi="宋体" w:cs="宋体"/>
          <w:kern w:val="0"/>
          <w:szCs w:val="21"/>
          <w:lang w:val="zh-CN"/>
        </w:rPr>
        <w:t>款</w:t>
      </w:r>
      <w:r>
        <w:rPr>
          <w:rFonts w:hint="eastAsia" w:ascii="宋体" w:hAnsi="宋体" w:cs="宋体"/>
          <w:szCs w:val="21"/>
        </w:rPr>
        <w:t xml:space="preserve">规定外，还应遵守以下规定： </w:t>
      </w:r>
    </w:p>
    <w:p w14:paraId="34AF37A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（l）联合体中有同类资质的投标人按照联合体分工承担相同工作的，应当按照资质等级较低的投标人确定资质等级。</w:t>
      </w:r>
    </w:p>
    <w:p w14:paraId="53CD5118">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（2）联合体各方应按招标文件提供的格式签订联合体协议书，明确联合体牵头人和各方的权利义务、合同工作量比例，以及合同款项支付具体规定。</w:t>
      </w:r>
    </w:p>
    <w:p w14:paraId="2200F88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（3）联合体各方签订联合体协议书后，不得再单独参加或者与其他投标人组成新的联合体参加同一项目的采购活动。</w:t>
      </w:r>
    </w:p>
    <w:p w14:paraId="31F1A99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3.3投标人不得存在下列情形之一：</w:t>
      </w:r>
    </w:p>
    <w:p w14:paraId="483FA08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447C57B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（2）单位负责人为同一人或者存在直接控股、管理关系的不同投标人，不得参加同一合同项下的政府采购活动。</w:t>
      </w:r>
    </w:p>
    <w:p w14:paraId="41B2112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（3）为采购项目提供整体设计、规范编制或者项目管理、监理、检测等服务的投标人，不得再参加该采购项目的其他采购活动。</w:t>
      </w:r>
    </w:p>
    <w:p w14:paraId="57280B1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列入失信被执行人、重大税收违法案件当事人名单、政府采购严重违法失信行为记录名单及其他不符合《中华人民共和国政府采购法》第二十二条规定条件（联合体形式投标的，联合体成员存在不良信用记录，视同联合体存在不良信用记录）。</w:t>
      </w:r>
    </w:p>
    <w:p w14:paraId="4537435C">
      <w:pPr>
        <w:adjustRightInd w:val="0"/>
        <w:snapToGrid w:val="0"/>
        <w:spacing w:line="360" w:lineRule="auto"/>
        <w:jc w:val="left"/>
        <w:rPr>
          <w:rFonts w:ascii="宋体" w:hAnsi="宋体" w:cs="宋体"/>
          <w:b/>
          <w:bCs/>
          <w:szCs w:val="21"/>
        </w:rPr>
      </w:pPr>
      <w:r>
        <w:rPr>
          <w:rFonts w:hint="eastAsia" w:ascii="宋体" w:hAnsi="宋体" w:cs="宋体"/>
          <w:b/>
          <w:bCs/>
          <w:szCs w:val="21"/>
        </w:rPr>
        <w:t xml:space="preserve">4.投标费用 </w:t>
      </w:r>
    </w:p>
    <w:p w14:paraId="799F521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4.1投标人应自行承担所有参与投标的相关费用，不论投标的结果如何，采购人或者采购代理机构均无义务和责任承担这些费用。</w:t>
      </w:r>
    </w:p>
    <w:p w14:paraId="6D5529DE">
      <w:pPr>
        <w:adjustRightInd w:val="0"/>
        <w:snapToGrid w:val="0"/>
        <w:spacing w:line="360" w:lineRule="auto"/>
        <w:jc w:val="left"/>
        <w:rPr>
          <w:rFonts w:ascii="宋体" w:hAnsi="宋体" w:cs="宋体"/>
          <w:b/>
        </w:rPr>
      </w:pPr>
      <w:r>
        <w:rPr>
          <w:rFonts w:hint="eastAsia" w:ascii="宋体" w:hAnsi="宋体" w:cs="宋体"/>
          <w:b/>
          <w:bCs/>
        </w:rPr>
        <w:t>5.</w:t>
      </w:r>
      <w:r>
        <w:rPr>
          <w:rFonts w:hint="eastAsia" w:ascii="宋体" w:hAnsi="宋体" w:cs="宋体"/>
          <w:b/>
        </w:rPr>
        <w:t>保密</w:t>
      </w:r>
    </w:p>
    <w:p w14:paraId="19717BF4">
      <w:pPr>
        <w:adjustRightInd w:val="0"/>
        <w:snapToGrid w:val="0"/>
        <w:spacing w:line="360" w:lineRule="auto"/>
        <w:ind w:firstLine="420" w:firstLineChars="200"/>
        <w:jc w:val="left"/>
        <w:rPr>
          <w:rFonts w:ascii="宋体" w:hAnsi="宋体" w:cs="宋体"/>
        </w:rPr>
      </w:pPr>
      <w:r>
        <w:rPr>
          <w:rFonts w:hint="eastAsia" w:ascii="宋体" w:hAnsi="宋体" w:cs="宋体"/>
        </w:rPr>
        <w:t>5.1参与招标投标活动的各方应对招标文件和投标文件中的商业和技术等秘密保密，违者应对由此造成的后果承担法律责任。</w:t>
      </w:r>
    </w:p>
    <w:p w14:paraId="762EAFCD">
      <w:pPr>
        <w:adjustRightInd w:val="0"/>
        <w:snapToGrid w:val="0"/>
        <w:spacing w:line="360" w:lineRule="auto"/>
        <w:jc w:val="left"/>
        <w:rPr>
          <w:rFonts w:ascii="宋体" w:hAnsi="宋体" w:cs="宋体"/>
          <w:b/>
        </w:rPr>
      </w:pPr>
      <w:r>
        <w:rPr>
          <w:rFonts w:hint="eastAsia" w:ascii="宋体" w:hAnsi="宋体" w:cs="宋体"/>
          <w:b/>
        </w:rPr>
        <w:t>6．组织现场考察或者召开答疑会</w:t>
      </w:r>
    </w:p>
    <w:p w14:paraId="1F0DB6A5">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6.1采购人或者采购代理机构组织现场考察或者召开开标前答疑会的，获取招标文件的潜在投标人应按【投标须知前附表】规定参加现场考察或者答疑会；如不参加，其风险由其自行承担。</w:t>
      </w:r>
    </w:p>
    <w:p w14:paraId="2BBE4C7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采购人或者采购代理机构召开开标前答疑会的，获取招标文件的潜在投标人应按【投标须知前附表】规定的时间，以书面形式将提出的问题送达采购代理机构，以便采购人或者采购代理机构在会议期间澄清。答疑会后，对投标人所提问题的澄清，采购代理机构将按本章第10.1款或第10.2款相应规定办理。</w:t>
      </w:r>
    </w:p>
    <w:p w14:paraId="2D678EB5">
      <w:pPr>
        <w:adjustRightInd w:val="0"/>
        <w:snapToGrid w:val="0"/>
        <w:spacing w:line="360" w:lineRule="auto"/>
        <w:ind w:firstLine="420" w:firstLineChars="200"/>
        <w:jc w:val="left"/>
        <w:rPr>
          <w:rFonts w:ascii="宋体" w:hAnsi="宋体" w:cs="宋体"/>
        </w:rPr>
      </w:pPr>
      <w:r>
        <w:rPr>
          <w:rFonts w:hint="eastAsia" w:ascii="宋体" w:hAnsi="宋体" w:cs="宋体"/>
        </w:rPr>
        <w:t>6.3潜在投标人现场考察或者参加答疑会的费用由自己承担，现场考察期间所发生的人身伤害及财产损失由自己负责。</w:t>
      </w:r>
    </w:p>
    <w:p w14:paraId="234192E8">
      <w:pPr>
        <w:adjustRightInd w:val="0"/>
        <w:snapToGrid w:val="0"/>
        <w:spacing w:line="360" w:lineRule="auto"/>
        <w:ind w:firstLine="420" w:firstLineChars="200"/>
        <w:jc w:val="left"/>
        <w:rPr>
          <w:rFonts w:ascii="宋体" w:hAnsi="宋体" w:cs="宋体"/>
        </w:rPr>
      </w:pPr>
      <w:r>
        <w:rPr>
          <w:rFonts w:hint="eastAsia" w:ascii="宋体" w:hAnsi="宋体" w:cs="宋体"/>
        </w:rPr>
        <w:t>6.4采购人或者采购代理机构不对投标人据此而做出的推论、理解和结论负责。投标人一旦中标，不得以任何借口，提出额外补偿，或延长合同期限的要求。</w:t>
      </w:r>
    </w:p>
    <w:p w14:paraId="438A917E">
      <w:pPr>
        <w:jc w:val="center"/>
        <w:outlineLvl w:val="0"/>
        <w:rPr>
          <w:rFonts w:ascii="宋体" w:hAnsi="宋体" w:cs="宋体"/>
          <w:b/>
          <w:bCs/>
          <w:sz w:val="24"/>
          <w:szCs w:val="32"/>
        </w:rPr>
      </w:pPr>
      <w:bookmarkStart w:id="65" w:name="_Toc27180"/>
      <w:bookmarkStart w:id="66" w:name="_Toc15430"/>
      <w:r>
        <w:rPr>
          <w:rFonts w:hint="eastAsia" w:ascii="宋体" w:hAnsi="宋体" w:cs="宋体"/>
          <w:b/>
          <w:bCs/>
          <w:sz w:val="24"/>
          <w:szCs w:val="32"/>
        </w:rPr>
        <w:t>二、招标文件</w:t>
      </w:r>
      <w:bookmarkEnd w:id="65"/>
      <w:bookmarkEnd w:id="66"/>
    </w:p>
    <w:p w14:paraId="07A1B6E9">
      <w:pPr>
        <w:adjustRightInd w:val="0"/>
        <w:snapToGrid w:val="0"/>
        <w:spacing w:line="360" w:lineRule="auto"/>
        <w:jc w:val="left"/>
        <w:rPr>
          <w:rFonts w:ascii="宋体" w:hAnsi="宋体" w:cs="宋体"/>
          <w:b/>
          <w:bCs/>
          <w:szCs w:val="21"/>
        </w:rPr>
      </w:pPr>
      <w:r>
        <w:rPr>
          <w:rFonts w:hint="eastAsia" w:ascii="宋体" w:hAnsi="宋体" w:cs="宋体"/>
          <w:b/>
          <w:bCs/>
          <w:szCs w:val="21"/>
        </w:rPr>
        <w:t>7.招标文件的构成</w:t>
      </w:r>
    </w:p>
    <w:p w14:paraId="450D8D0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7.1 招标文件共六章，各章内容如下：</w:t>
      </w:r>
    </w:p>
    <w:p w14:paraId="4FF5B79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第一章 投标邀请</w:t>
      </w:r>
    </w:p>
    <w:p w14:paraId="0C68F94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第二章 投标须知</w:t>
      </w:r>
    </w:p>
    <w:p w14:paraId="261EE3E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第三章 评标方法及标准</w:t>
      </w:r>
    </w:p>
    <w:p w14:paraId="4E4CC0E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第四章 技术规格、参数及要求</w:t>
      </w:r>
    </w:p>
    <w:p w14:paraId="4F4D357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第五章 政府采购合同</w:t>
      </w:r>
    </w:p>
    <w:p w14:paraId="5342B44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第六章 投标文件的组成</w:t>
      </w:r>
    </w:p>
    <w:p w14:paraId="5F522E66">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7.2本章第10.1</w:t>
      </w:r>
      <w:r>
        <w:rPr>
          <w:rFonts w:hint="eastAsia" w:ascii="宋体" w:hAnsi="宋体" w:cs="宋体"/>
          <w:kern w:val="0"/>
          <w:szCs w:val="21"/>
          <w:lang w:val="zh-CN"/>
        </w:rPr>
        <w:t>款</w:t>
      </w:r>
      <w:r>
        <w:rPr>
          <w:rFonts w:hint="eastAsia" w:ascii="宋体" w:hAnsi="宋体" w:cs="宋体"/>
          <w:szCs w:val="21"/>
        </w:rPr>
        <w:t>对招标文件所作的澄清或者修改，构成招标文件的组成部分。</w:t>
      </w:r>
    </w:p>
    <w:p w14:paraId="3ADFBC8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7.3采购项目需要公开的有关信息，包括招标公告、招标文件澄清或修改公告、中标结果公告等通知，采购代理机构将通过</w:t>
      </w:r>
      <w:r>
        <w:rPr>
          <w:rFonts w:hint="eastAsia" w:ascii="宋体" w:hAnsi="宋体" w:cs="宋体"/>
          <w:b/>
        </w:rPr>
        <w:t>【投标须知前附表】</w:t>
      </w:r>
      <w:r>
        <w:rPr>
          <w:rFonts w:hint="eastAsia" w:ascii="宋体" w:hAnsi="宋体" w:cs="宋体"/>
          <w:szCs w:val="21"/>
        </w:rPr>
        <w:t>指定媒体公开发布，</w:t>
      </w:r>
      <w:r>
        <w:rPr>
          <w:rFonts w:hint="eastAsia" w:ascii="宋体" w:hAnsi="宋体" w:cs="宋体"/>
          <w:b/>
        </w:rPr>
        <w:t>【投标须知前附表】</w:t>
      </w:r>
      <w:r>
        <w:rPr>
          <w:rFonts w:hint="eastAsia" w:ascii="宋体" w:hAnsi="宋体" w:cs="宋体"/>
          <w:szCs w:val="21"/>
        </w:rPr>
        <w:t>指定媒体信息发布内容存在差异的，以岳阳市政府采购网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1B34DB3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7.4投标人应仔细阅读招标文件的全部内容，按照招标文件要求编制投标文件。任何对招标文件的忽略或误解不能作为投标文件存在缺陷或瑕疵的理由，其风险由投标人承担。</w:t>
      </w:r>
    </w:p>
    <w:p w14:paraId="36CC6808">
      <w:pPr>
        <w:adjustRightInd w:val="0"/>
        <w:snapToGrid w:val="0"/>
        <w:spacing w:line="360" w:lineRule="auto"/>
        <w:jc w:val="left"/>
        <w:rPr>
          <w:rFonts w:ascii="宋体" w:hAnsi="宋体" w:cs="宋体"/>
          <w:b/>
        </w:rPr>
      </w:pPr>
      <w:r>
        <w:rPr>
          <w:rFonts w:hint="eastAsia" w:ascii="宋体" w:hAnsi="宋体" w:cs="宋体"/>
          <w:b/>
        </w:rPr>
        <w:t>8．偏离与实质性响应</w:t>
      </w:r>
    </w:p>
    <w:p w14:paraId="7B8296D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8.1除法律、法规和规章规定外，招标文件中用“★”符号标明的条款为实质性要求和条件，对其中任何一条的偏离，在评标时将其视为投标无效。</w:t>
      </w:r>
    </w:p>
    <w:p w14:paraId="3E5E8A5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8.2投标文件偏离招标文件的非实质性要求和条件，在超出允许偏离的最多项数（条款数之和）或范围时，在评标时将其视为投标无效。非实质性要求条款允许偏离的最多项数或范围见【投标须知前附表】。</w:t>
      </w:r>
    </w:p>
    <w:p w14:paraId="31CD8F03">
      <w:pPr>
        <w:adjustRightInd w:val="0"/>
        <w:snapToGrid w:val="0"/>
        <w:spacing w:line="360" w:lineRule="auto"/>
        <w:jc w:val="left"/>
        <w:rPr>
          <w:rFonts w:ascii="宋体" w:hAnsi="宋体" w:cs="宋体"/>
          <w:b/>
        </w:rPr>
      </w:pPr>
      <w:r>
        <w:rPr>
          <w:rFonts w:hint="eastAsia" w:ascii="宋体" w:hAnsi="宋体" w:cs="宋体"/>
          <w:b/>
        </w:rPr>
        <w:t>9.招标文件的获取</w:t>
      </w:r>
    </w:p>
    <w:p w14:paraId="1F3D061A">
      <w:pPr>
        <w:spacing w:line="400" w:lineRule="exact"/>
        <w:ind w:firstLine="420" w:firstLineChars="200"/>
        <w:rPr>
          <w:rFonts w:ascii="宋体" w:hAnsi="宋体" w:cs="宋体"/>
          <w:szCs w:val="21"/>
        </w:rPr>
      </w:pPr>
      <w:r>
        <w:rPr>
          <w:rFonts w:hint="eastAsia" w:ascii="宋体" w:hAnsi="宋体" w:cs="宋体"/>
          <w:szCs w:val="21"/>
        </w:rPr>
        <w:t>9.1招标文件提供期限自开始发出之日起不少于五个工作日。</w:t>
      </w:r>
    </w:p>
    <w:p w14:paraId="57DAB245">
      <w:pPr>
        <w:spacing w:line="400" w:lineRule="exact"/>
        <w:ind w:firstLine="420" w:firstLineChars="200"/>
        <w:rPr>
          <w:rFonts w:ascii="宋体" w:hAnsi="宋体" w:cs="宋体"/>
          <w:bCs/>
          <w:szCs w:val="21"/>
        </w:rPr>
      </w:pPr>
      <w:r>
        <w:rPr>
          <w:rFonts w:hint="eastAsia" w:ascii="宋体" w:hAnsi="宋体" w:cs="宋体"/>
          <w:bCs/>
          <w:szCs w:val="21"/>
        </w:rPr>
        <w:t>9.2凡符合资格要求并有意参加投标的投标人,</w:t>
      </w:r>
      <w:r>
        <w:rPr>
          <w:rFonts w:hint="eastAsia" w:ascii="宋体" w:hAnsi="宋体" w:cs="宋体"/>
          <w:szCs w:val="21"/>
        </w:rPr>
        <w:t xml:space="preserve"> 登录</w:t>
      </w:r>
      <w:r>
        <w:rPr>
          <w:rFonts w:hint="eastAsia" w:ascii="宋体" w:hAnsi="宋体" w:cs="宋体"/>
          <w:b/>
        </w:rPr>
        <w:t>投标须知前附表</w:t>
      </w:r>
      <w:r>
        <w:rPr>
          <w:rFonts w:hint="eastAsia" w:ascii="宋体" w:hAnsi="宋体" w:cs="宋体"/>
        </w:rPr>
        <w:t>指定的信息公告媒体</w:t>
      </w:r>
      <w:r>
        <w:rPr>
          <w:rFonts w:hint="eastAsia" w:ascii="宋体" w:hAnsi="宋体" w:cs="宋体"/>
          <w:szCs w:val="21"/>
        </w:rPr>
        <w:t>下载招标文件，</w:t>
      </w:r>
      <w:r>
        <w:rPr>
          <w:rFonts w:hint="eastAsia" w:ascii="宋体" w:hAnsi="宋体" w:cs="宋体"/>
        </w:rPr>
        <w:t>指定的媒体名称见</w:t>
      </w:r>
      <w:r>
        <w:rPr>
          <w:rFonts w:hint="eastAsia" w:ascii="宋体" w:hAnsi="宋体" w:cs="宋体"/>
          <w:b/>
        </w:rPr>
        <w:t>投标须知前附表</w:t>
      </w:r>
      <w:r>
        <w:rPr>
          <w:rFonts w:hint="eastAsia" w:ascii="宋体" w:hAnsi="宋体" w:cs="宋体"/>
        </w:rPr>
        <w:t>，代理机构不再收取任何招标文件费用。</w:t>
      </w:r>
    </w:p>
    <w:p w14:paraId="41A269DB">
      <w:pPr>
        <w:pStyle w:val="33"/>
        <w:spacing w:line="400" w:lineRule="exact"/>
        <w:ind w:firstLine="400" w:firstLineChars="200"/>
        <w:rPr>
          <w:rFonts w:ascii="宋体" w:hAnsi="宋体" w:cs="宋体"/>
          <w:szCs w:val="21"/>
        </w:rPr>
      </w:pPr>
      <w:r>
        <w:rPr>
          <w:rFonts w:hint="eastAsia" w:ascii="宋体" w:hAnsi="宋体" w:cs="宋体"/>
          <w:szCs w:val="21"/>
        </w:rPr>
        <w:t>9.3各投标人自行在</w:t>
      </w:r>
      <w:r>
        <w:rPr>
          <w:rFonts w:hint="eastAsia" w:ascii="宋体" w:hAnsi="宋体" w:cs="宋体"/>
          <w:b/>
          <w:szCs w:val="21"/>
        </w:rPr>
        <w:t>投标须知前附表</w:t>
      </w:r>
      <w:r>
        <w:rPr>
          <w:rFonts w:hint="eastAsia" w:ascii="宋体" w:hAnsi="宋体" w:cs="宋体"/>
          <w:szCs w:val="21"/>
        </w:rPr>
        <w:t>指定的网站下载或查阅招标相关文件和资料等，恕不另行通知，如有遗漏采购人、代理机构概不负责。</w:t>
      </w:r>
    </w:p>
    <w:p w14:paraId="4F0EF259">
      <w:pPr>
        <w:pStyle w:val="33"/>
        <w:spacing w:line="400" w:lineRule="exact"/>
        <w:ind w:firstLine="400" w:firstLineChars="200"/>
        <w:rPr>
          <w:rFonts w:ascii="宋体" w:hAnsi="宋体" w:cs="宋体"/>
          <w:szCs w:val="21"/>
        </w:rPr>
      </w:pPr>
      <w:r>
        <w:rPr>
          <w:rFonts w:hint="eastAsia" w:ascii="宋体" w:hAnsi="宋体" w:cs="宋体"/>
        </w:rPr>
        <w:t>9.4招标文件的电子版本，以在政府采购网站公告的为准。</w:t>
      </w:r>
    </w:p>
    <w:p w14:paraId="0507D647">
      <w:pPr>
        <w:adjustRightInd w:val="0"/>
        <w:snapToGrid w:val="0"/>
        <w:spacing w:line="360" w:lineRule="auto"/>
        <w:jc w:val="left"/>
        <w:rPr>
          <w:rFonts w:ascii="宋体" w:hAnsi="宋体" w:cs="宋体"/>
          <w:b/>
          <w:bCs/>
          <w:szCs w:val="21"/>
        </w:rPr>
      </w:pPr>
      <w:r>
        <w:rPr>
          <w:rFonts w:hint="eastAsia" w:ascii="宋体" w:hAnsi="宋体" w:cs="宋体"/>
          <w:b/>
          <w:bCs/>
          <w:szCs w:val="21"/>
        </w:rPr>
        <w:t>10.招标文件的澄清或者修改</w:t>
      </w:r>
    </w:p>
    <w:p w14:paraId="2F431CD2">
      <w:pPr>
        <w:adjustRightInd w:val="0"/>
        <w:snapToGrid w:val="0"/>
        <w:spacing w:line="360" w:lineRule="auto"/>
        <w:ind w:firstLine="420" w:firstLineChars="200"/>
        <w:jc w:val="left"/>
        <w:rPr>
          <w:rFonts w:ascii="宋体" w:hAnsi="宋体" w:cs="宋体"/>
          <w:szCs w:val="21"/>
        </w:rPr>
      </w:pPr>
      <w:r>
        <w:rPr>
          <w:rFonts w:hint="eastAsia" w:ascii="宋体" w:hAnsi="宋体" w:cs="宋体"/>
        </w:rPr>
        <w:t>10.1采购人或采购代理机构可以对已发出的招标文件进行必要</w:t>
      </w:r>
      <w:r>
        <w:rPr>
          <w:rFonts w:hint="eastAsia" w:ascii="宋体" w:hAnsi="宋体" w:cs="宋体"/>
          <w:szCs w:val="21"/>
        </w:rPr>
        <w:t>澄清或者修改，澄清或者修改应在招标文件指定的媒体上发布澄清或者修改公告，澄清或者修改的内容为招标文件的组成部分。</w:t>
      </w:r>
    </w:p>
    <w:p w14:paraId="18473914">
      <w:pPr>
        <w:adjustRightInd w:val="0"/>
        <w:snapToGrid w:val="0"/>
        <w:spacing w:line="360" w:lineRule="auto"/>
        <w:ind w:firstLine="420" w:firstLineChars="200"/>
        <w:jc w:val="left"/>
        <w:rPr>
          <w:rFonts w:ascii="宋体" w:hAnsi="宋体" w:cs="宋体"/>
        </w:rPr>
      </w:pPr>
      <w:r>
        <w:rPr>
          <w:rFonts w:hint="eastAsia" w:ascii="宋体" w:hAnsi="宋体" w:cs="宋体"/>
          <w:szCs w:val="21"/>
        </w:rPr>
        <w:t>10.2 澄清或者修改的内容可能影响投标文件编制的，采购代理机构将在【</w:t>
      </w:r>
      <w:r>
        <w:rPr>
          <w:rFonts w:hint="eastAsia" w:ascii="宋体" w:hAnsi="宋体" w:cs="宋体"/>
          <w:b/>
          <w:szCs w:val="21"/>
        </w:rPr>
        <w:t>投标须知前附表</w:t>
      </w:r>
      <w:r>
        <w:rPr>
          <w:rFonts w:hint="eastAsia" w:ascii="宋体" w:hAnsi="宋体" w:cs="宋体"/>
          <w:szCs w:val="21"/>
        </w:rPr>
        <w:t>】规定的提交投标文件截止时间15日前，以公告形式通知所有获取招标文件的潜在投标人；不</w:t>
      </w:r>
      <w:r>
        <w:rPr>
          <w:rFonts w:hint="eastAsia" w:ascii="宋体" w:hAnsi="宋体" w:cs="宋体"/>
        </w:rPr>
        <w:t>足15日的，将相应延长提交投标文件的截止时间。</w:t>
      </w:r>
    </w:p>
    <w:p w14:paraId="70D15D97">
      <w:pPr>
        <w:jc w:val="center"/>
        <w:outlineLvl w:val="0"/>
        <w:rPr>
          <w:rFonts w:ascii="宋体" w:hAnsi="宋体" w:cs="宋体"/>
          <w:b/>
          <w:bCs/>
          <w:sz w:val="28"/>
          <w:szCs w:val="36"/>
        </w:rPr>
      </w:pPr>
      <w:bookmarkStart w:id="67" w:name="_Toc25055"/>
      <w:bookmarkStart w:id="68" w:name="_Toc6022"/>
      <w:r>
        <w:rPr>
          <w:rFonts w:hint="eastAsia" w:ascii="宋体" w:hAnsi="宋体" w:cs="宋体"/>
          <w:b/>
          <w:bCs/>
          <w:sz w:val="28"/>
          <w:szCs w:val="36"/>
        </w:rPr>
        <w:t>三、投标文件</w:t>
      </w:r>
      <w:bookmarkEnd w:id="67"/>
      <w:bookmarkEnd w:id="68"/>
    </w:p>
    <w:p w14:paraId="120A80DA">
      <w:pPr>
        <w:adjustRightInd w:val="0"/>
        <w:snapToGrid w:val="0"/>
        <w:spacing w:line="360" w:lineRule="auto"/>
        <w:jc w:val="left"/>
        <w:rPr>
          <w:rFonts w:ascii="宋体" w:hAnsi="宋体" w:cs="宋体"/>
          <w:b/>
          <w:bCs/>
          <w:szCs w:val="21"/>
        </w:rPr>
      </w:pPr>
      <w:r>
        <w:rPr>
          <w:rFonts w:hint="eastAsia" w:ascii="宋体" w:hAnsi="宋体" w:cs="宋体"/>
          <w:b/>
          <w:bCs/>
          <w:szCs w:val="21"/>
        </w:rPr>
        <w:t>11.</w:t>
      </w:r>
      <w:r>
        <w:rPr>
          <w:rFonts w:hint="eastAsia" w:ascii="宋体" w:hAnsi="宋体" w:cs="宋体"/>
          <w:b/>
          <w:szCs w:val="21"/>
        </w:rPr>
        <w:t xml:space="preserve"> </w:t>
      </w:r>
      <w:r>
        <w:rPr>
          <w:rFonts w:hint="eastAsia" w:ascii="宋体" w:hAnsi="宋体" w:cs="宋体"/>
          <w:b/>
          <w:bCs/>
          <w:szCs w:val="21"/>
        </w:rPr>
        <w:t>投标语言</w:t>
      </w:r>
    </w:p>
    <w:p w14:paraId="056CAFD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11.1除专用术语外，投标人提交的投标文件及投标人与采购代理机构就有关投标的所有来往函电均使用中文。投标人可以提交其它语言的资料，但应附有中文注释，有差异时以中文为准。</w:t>
      </w:r>
    </w:p>
    <w:p w14:paraId="17BF24A5">
      <w:pPr>
        <w:adjustRightInd w:val="0"/>
        <w:snapToGrid w:val="0"/>
        <w:spacing w:line="360" w:lineRule="auto"/>
        <w:jc w:val="left"/>
        <w:rPr>
          <w:rFonts w:ascii="宋体" w:hAnsi="宋体" w:cs="宋体"/>
          <w:b/>
          <w:szCs w:val="21"/>
        </w:rPr>
      </w:pPr>
      <w:r>
        <w:rPr>
          <w:rFonts w:hint="eastAsia" w:ascii="宋体" w:hAnsi="宋体" w:cs="宋体"/>
          <w:b/>
          <w:bCs/>
          <w:szCs w:val="21"/>
        </w:rPr>
        <w:t>12.</w:t>
      </w:r>
      <w:r>
        <w:rPr>
          <w:rFonts w:hint="eastAsia" w:ascii="宋体" w:hAnsi="宋体" w:cs="宋体"/>
          <w:b/>
          <w:szCs w:val="21"/>
        </w:rPr>
        <w:t xml:space="preserve"> 计量单位</w:t>
      </w:r>
    </w:p>
    <w:p w14:paraId="2C06AEB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12.1所有计量均采用中华人民共和国法定计量单位。</w:t>
      </w:r>
    </w:p>
    <w:p w14:paraId="624842D6">
      <w:pPr>
        <w:adjustRightInd w:val="0"/>
        <w:snapToGrid w:val="0"/>
        <w:spacing w:line="360" w:lineRule="auto"/>
        <w:jc w:val="left"/>
        <w:rPr>
          <w:rFonts w:ascii="宋体" w:hAnsi="宋体" w:cs="宋体"/>
          <w:b/>
          <w:bCs/>
          <w:szCs w:val="21"/>
        </w:rPr>
      </w:pPr>
      <w:r>
        <w:rPr>
          <w:rFonts w:hint="eastAsia" w:ascii="宋体" w:hAnsi="宋体" w:cs="宋体"/>
          <w:b/>
          <w:szCs w:val="21"/>
        </w:rPr>
        <w:t>13.</w:t>
      </w:r>
      <w:r>
        <w:rPr>
          <w:rFonts w:hint="eastAsia" w:ascii="宋体" w:hAnsi="宋体" w:cs="宋体"/>
          <w:b/>
          <w:bCs/>
          <w:szCs w:val="21"/>
        </w:rPr>
        <w:t xml:space="preserve"> 投标文件的组成</w:t>
      </w:r>
    </w:p>
    <w:p w14:paraId="036343A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13.1投标文件由商务技术文件、资格证明文件两册组成。各册的内容如下：</w:t>
      </w:r>
    </w:p>
    <w:p w14:paraId="0B252842">
      <w:pPr>
        <w:adjustRightInd w:val="0"/>
        <w:snapToGrid w:val="0"/>
        <w:spacing w:line="360" w:lineRule="auto"/>
        <w:ind w:firstLine="422" w:firstLineChars="200"/>
        <w:jc w:val="left"/>
        <w:rPr>
          <w:rFonts w:ascii="宋体" w:hAnsi="宋体"/>
          <w:b/>
          <w:szCs w:val="21"/>
        </w:rPr>
      </w:pPr>
      <w:r>
        <w:rPr>
          <w:rFonts w:hint="eastAsia" w:ascii="宋体" w:hAnsi="宋体"/>
          <w:b/>
          <w:szCs w:val="21"/>
        </w:rPr>
        <w:t>第一部分 资格证明文件</w:t>
      </w:r>
    </w:p>
    <w:p w14:paraId="76F120F9">
      <w:pPr>
        <w:adjustRightInd w:val="0"/>
        <w:snapToGrid w:val="0"/>
        <w:spacing w:line="360" w:lineRule="auto"/>
        <w:ind w:firstLine="420" w:firstLineChars="200"/>
        <w:jc w:val="left"/>
        <w:rPr>
          <w:rFonts w:ascii="宋体" w:hAnsi="宋体"/>
          <w:szCs w:val="21"/>
        </w:rPr>
      </w:pPr>
      <w:r>
        <w:rPr>
          <w:rFonts w:hint="eastAsia" w:ascii="宋体" w:hAnsi="宋体"/>
          <w:szCs w:val="21"/>
        </w:rPr>
        <w:t>（1）开标一览表</w:t>
      </w:r>
    </w:p>
    <w:p w14:paraId="3C7643D6">
      <w:pPr>
        <w:adjustRightInd w:val="0"/>
        <w:snapToGrid w:val="0"/>
        <w:spacing w:line="360" w:lineRule="auto"/>
        <w:ind w:firstLine="420" w:firstLineChars="200"/>
        <w:jc w:val="left"/>
        <w:rPr>
          <w:rFonts w:ascii="宋体" w:hAnsi="宋体"/>
          <w:szCs w:val="21"/>
        </w:rPr>
      </w:pPr>
      <w:r>
        <w:rPr>
          <w:rFonts w:hint="eastAsia" w:ascii="宋体" w:hAnsi="宋体"/>
          <w:szCs w:val="21"/>
        </w:rPr>
        <w:t>（2）法定代表人（单位负责人）身份证明</w:t>
      </w:r>
    </w:p>
    <w:p w14:paraId="7C92080F">
      <w:pPr>
        <w:adjustRightInd w:val="0"/>
        <w:snapToGrid w:val="0"/>
        <w:spacing w:line="360" w:lineRule="auto"/>
        <w:ind w:firstLine="420" w:firstLineChars="200"/>
        <w:jc w:val="left"/>
        <w:rPr>
          <w:rFonts w:ascii="宋体" w:hAnsi="宋体"/>
          <w:szCs w:val="21"/>
        </w:rPr>
      </w:pPr>
      <w:r>
        <w:rPr>
          <w:rFonts w:hint="eastAsia" w:ascii="宋体" w:hAnsi="宋体"/>
          <w:szCs w:val="21"/>
        </w:rPr>
        <w:t>（3）授权委托书</w:t>
      </w:r>
    </w:p>
    <w:p w14:paraId="11897446">
      <w:pPr>
        <w:adjustRightInd w:val="0"/>
        <w:snapToGrid w:val="0"/>
        <w:spacing w:line="360" w:lineRule="auto"/>
        <w:ind w:firstLine="420" w:firstLineChars="200"/>
        <w:jc w:val="left"/>
        <w:rPr>
          <w:rFonts w:ascii="宋体" w:hAnsi="宋体"/>
          <w:szCs w:val="21"/>
        </w:rPr>
      </w:pPr>
      <w:r>
        <w:rPr>
          <w:rFonts w:hint="eastAsia" w:ascii="宋体" w:hAnsi="宋体"/>
          <w:szCs w:val="21"/>
        </w:rPr>
        <w:t>（4）投标人提供的资格证明文件</w:t>
      </w:r>
    </w:p>
    <w:p w14:paraId="7B6C66B0">
      <w:pPr>
        <w:adjustRightInd w:val="0"/>
        <w:snapToGrid w:val="0"/>
        <w:spacing w:line="360" w:lineRule="auto"/>
        <w:ind w:firstLine="422" w:firstLineChars="200"/>
        <w:jc w:val="left"/>
        <w:rPr>
          <w:rFonts w:ascii="宋体" w:hAnsi="宋体"/>
          <w:b/>
          <w:szCs w:val="21"/>
        </w:rPr>
      </w:pPr>
      <w:r>
        <w:rPr>
          <w:rFonts w:hint="eastAsia" w:ascii="宋体" w:hAnsi="宋体"/>
          <w:b/>
          <w:szCs w:val="21"/>
        </w:rPr>
        <w:t>第二部分 商务和技术文件</w:t>
      </w:r>
    </w:p>
    <w:p w14:paraId="79DF02E2">
      <w:pPr>
        <w:adjustRightInd w:val="0"/>
        <w:snapToGrid w:val="0"/>
        <w:spacing w:line="360" w:lineRule="auto"/>
        <w:ind w:firstLine="420" w:firstLineChars="200"/>
        <w:jc w:val="left"/>
        <w:rPr>
          <w:rFonts w:ascii="宋体" w:hAnsi="宋体"/>
          <w:szCs w:val="21"/>
        </w:rPr>
      </w:pPr>
      <w:r>
        <w:rPr>
          <w:rFonts w:hint="eastAsia" w:ascii="宋体" w:hAnsi="宋体"/>
          <w:szCs w:val="21"/>
        </w:rPr>
        <w:t>（5）投标函</w:t>
      </w:r>
    </w:p>
    <w:p w14:paraId="63066040">
      <w:pPr>
        <w:adjustRightInd w:val="0"/>
        <w:snapToGrid w:val="0"/>
        <w:spacing w:line="360" w:lineRule="auto"/>
        <w:ind w:firstLine="420" w:firstLineChars="200"/>
        <w:jc w:val="left"/>
        <w:rPr>
          <w:rFonts w:ascii="宋体" w:hAnsi="宋体"/>
          <w:szCs w:val="21"/>
        </w:rPr>
      </w:pPr>
      <w:r>
        <w:rPr>
          <w:rFonts w:hint="eastAsia" w:ascii="宋体" w:hAnsi="宋体"/>
          <w:szCs w:val="21"/>
        </w:rPr>
        <w:t>（6）分项报价</w:t>
      </w:r>
    </w:p>
    <w:p w14:paraId="6165AA45">
      <w:pPr>
        <w:adjustRightInd w:val="0"/>
        <w:snapToGrid w:val="0"/>
        <w:spacing w:line="360" w:lineRule="auto"/>
        <w:ind w:firstLine="420" w:firstLineChars="200"/>
        <w:jc w:val="left"/>
        <w:rPr>
          <w:rFonts w:ascii="宋体" w:hAnsi="宋体"/>
          <w:szCs w:val="21"/>
        </w:rPr>
      </w:pPr>
      <w:r>
        <w:rPr>
          <w:rFonts w:hint="eastAsia" w:ascii="宋体" w:hAnsi="宋体"/>
          <w:szCs w:val="21"/>
        </w:rPr>
        <w:t>（7）采购需求响应</w:t>
      </w:r>
    </w:p>
    <w:p w14:paraId="4B46C848">
      <w:pPr>
        <w:adjustRightInd w:val="0"/>
        <w:snapToGrid w:val="0"/>
        <w:spacing w:line="360" w:lineRule="auto"/>
        <w:ind w:firstLine="420" w:firstLineChars="200"/>
        <w:jc w:val="left"/>
        <w:rPr>
          <w:rFonts w:ascii="宋体" w:hAnsi="宋体"/>
          <w:szCs w:val="21"/>
        </w:rPr>
      </w:pPr>
      <w:r>
        <w:rPr>
          <w:rFonts w:hint="eastAsia" w:ascii="宋体" w:hAnsi="宋体"/>
          <w:szCs w:val="21"/>
        </w:rPr>
        <w:t>（8）合同条款偏离表</w:t>
      </w:r>
    </w:p>
    <w:p w14:paraId="5D7F8089">
      <w:pPr>
        <w:adjustRightInd w:val="0"/>
        <w:snapToGrid w:val="0"/>
        <w:spacing w:line="360" w:lineRule="auto"/>
        <w:ind w:firstLine="420" w:firstLineChars="200"/>
        <w:jc w:val="left"/>
        <w:rPr>
          <w:rFonts w:ascii="宋体" w:hAnsi="宋体"/>
          <w:szCs w:val="21"/>
        </w:rPr>
      </w:pPr>
      <w:r>
        <w:rPr>
          <w:rFonts w:hint="eastAsia" w:ascii="宋体" w:hAnsi="宋体"/>
          <w:szCs w:val="21"/>
        </w:rPr>
        <w:t>（9）采购需求偏离表</w:t>
      </w:r>
    </w:p>
    <w:p w14:paraId="2BED4D11">
      <w:pPr>
        <w:adjustRightInd w:val="0"/>
        <w:snapToGrid w:val="0"/>
        <w:spacing w:line="360" w:lineRule="auto"/>
        <w:ind w:firstLine="420" w:firstLineChars="200"/>
        <w:jc w:val="left"/>
        <w:rPr>
          <w:rFonts w:ascii="宋体" w:hAnsi="宋体"/>
          <w:szCs w:val="21"/>
        </w:rPr>
      </w:pPr>
      <w:r>
        <w:rPr>
          <w:rFonts w:hint="eastAsia" w:ascii="宋体" w:hAnsi="宋体"/>
          <w:szCs w:val="21"/>
        </w:rPr>
        <w:t>（10）享受政府采购政策优惠的证明资料</w:t>
      </w:r>
    </w:p>
    <w:p w14:paraId="5784A8B0">
      <w:pPr>
        <w:adjustRightInd w:val="0"/>
        <w:snapToGrid w:val="0"/>
        <w:spacing w:line="360" w:lineRule="auto"/>
        <w:ind w:firstLine="420" w:firstLineChars="200"/>
        <w:jc w:val="left"/>
        <w:rPr>
          <w:rFonts w:ascii="宋体" w:hAnsi="宋体"/>
          <w:szCs w:val="21"/>
        </w:rPr>
      </w:pPr>
      <w:r>
        <w:rPr>
          <w:rFonts w:hint="eastAsia" w:ascii="宋体" w:hAnsi="宋体"/>
          <w:szCs w:val="21"/>
        </w:rPr>
        <w:t>（11）投标人认为需提供的其他资料</w:t>
      </w:r>
    </w:p>
    <w:p w14:paraId="0DFDD2D2">
      <w:pPr>
        <w:spacing w:line="360" w:lineRule="auto"/>
        <w:ind w:firstLine="420" w:firstLineChars="200"/>
        <w:rPr>
          <w:rFonts w:ascii="宋体" w:hAnsi="宋体" w:cs="宋体"/>
          <w:sz w:val="32"/>
          <w:szCs w:val="32"/>
        </w:rPr>
      </w:pPr>
      <w:r>
        <w:rPr>
          <w:rFonts w:hint="eastAsia" w:ascii="宋体" w:hAnsi="宋体" w:cs="宋体"/>
          <w:szCs w:val="21"/>
        </w:rPr>
        <w:t>13.2投标人应当按照招标文件的要求编制投标文件</w:t>
      </w:r>
      <w:r>
        <w:rPr>
          <w:rFonts w:hint="eastAsia" w:ascii="宋体" w:hAnsi="宋体" w:cs="宋体"/>
          <w:sz w:val="24"/>
        </w:rPr>
        <w:t>。</w:t>
      </w:r>
      <w:r>
        <w:rPr>
          <w:rFonts w:hint="eastAsia" w:ascii="宋体" w:hAnsi="宋体" w:cs="宋体"/>
          <w:szCs w:val="21"/>
        </w:rPr>
        <w:t>投标文件应当对招标文件提出的要求和条件作出明确响应。</w:t>
      </w:r>
      <w:r>
        <w:rPr>
          <w:rFonts w:hint="eastAsia" w:ascii="宋体" w:hAnsi="宋体" w:cs="宋体"/>
          <w:b/>
        </w:rPr>
        <w:t>在投标文件目录中属于本节点内容的必须上传或填写在本节点的对应位置，未按要求填写或上传的，相应责任由投标人自行承担。</w:t>
      </w:r>
    </w:p>
    <w:p w14:paraId="26D346D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13.3根据《政府采购法》第四十二条的规定，投标人无论中标与否，其投标文件不予退还。</w:t>
      </w:r>
    </w:p>
    <w:p w14:paraId="5E0C790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13.4资格审查时仅查阅资格证明文件册，资格证明相关文件由于投标人疏忽未装入资格证明文件册的视同未提交。 专家评标时，商务技术相关文件由于投标人疏忽未装入商务技术册的视同未提交。</w:t>
      </w:r>
    </w:p>
    <w:p w14:paraId="44EB5C9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13.5有关扫描件的尺寸和清晰度应该能够在电脑上被阅读、识别和判断。若投标人未按要求提供证明材料或提供的是部分证明材料或提供不清晰的扫描件的，评审委员会有权认定其投标文件未对招标文件有关需求进行响应，涉及资格性检查或符合性检查的予以废标处理，涉及打分项的则该项评分予以0分处理。</w:t>
      </w:r>
    </w:p>
    <w:p w14:paraId="2870BCC8">
      <w:pPr>
        <w:adjustRightInd w:val="0"/>
        <w:snapToGrid w:val="0"/>
        <w:spacing w:line="360" w:lineRule="auto"/>
        <w:jc w:val="left"/>
        <w:rPr>
          <w:rFonts w:ascii="宋体" w:hAnsi="宋体" w:cs="宋体"/>
          <w:b/>
          <w:bCs/>
          <w:szCs w:val="21"/>
        </w:rPr>
      </w:pPr>
      <w:r>
        <w:rPr>
          <w:rFonts w:hint="eastAsia" w:ascii="宋体" w:hAnsi="宋体" w:cs="宋体"/>
          <w:b/>
          <w:bCs/>
          <w:szCs w:val="21"/>
        </w:rPr>
        <w:t>14. 投标报价</w:t>
      </w:r>
    </w:p>
    <w:p w14:paraId="588D9B7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14.1 投标人应按招标文件规定的供货及服务要求、责任范围和合同条件，按</w:t>
      </w:r>
      <w:r>
        <w:rPr>
          <w:rFonts w:hint="eastAsia" w:ascii="宋体" w:hAnsi="宋体" w:cs="宋体"/>
          <w:b/>
          <w:szCs w:val="21"/>
        </w:rPr>
        <w:t>【投标须知前附表】</w:t>
      </w:r>
      <w:r>
        <w:rPr>
          <w:rFonts w:hint="eastAsia" w:ascii="宋体" w:hAnsi="宋体" w:cs="宋体"/>
          <w:szCs w:val="21"/>
        </w:rPr>
        <w:t>的规定进行报价。</w:t>
      </w:r>
    </w:p>
    <w:p w14:paraId="19EDC568">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14.2投标总价中不得包含招标文件要求以外的内容。否则，在评标时不予核减。</w:t>
      </w:r>
    </w:p>
    <w:p w14:paraId="6B44BA9F">
      <w:pPr>
        <w:adjustRightInd w:val="0"/>
        <w:snapToGrid w:val="0"/>
        <w:spacing w:line="360" w:lineRule="auto"/>
        <w:ind w:firstLine="420" w:firstLineChars="200"/>
        <w:jc w:val="left"/>
        <w:rPr>
          <w:rFonts w:ascii="宋体" w:hAnsi="宋体" w:cs="宋体"/>
        </w:rPr>
      </w:pPr>
      <w:r>
        <w:rPr>
          <w:rFonts w:hint="eastAsia" w:ascii="宋体" w:hAnsi="宋体" w:cs="宋体"/>
        </w:rPr>
        <w:t>14.3投标人对每种货物及服务只允许有一个报价，不接受选择性报价。否则，在评标时将其视为无效投标。</w:t>
      </w:r>
    </w:p>
    <w:p w14:paraId="2AF4D1B5">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14.4投标人在提交投标文件的截止时间前修改投标报价的，应同时修改投标文件中相应内容。此修改应符合本章第22.1款的相关规定。</w:t>
      </w:r>
    </w:p>
    <w:p w14:paraId="4B2EDC7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14.5采购人可以在采购预算额度内合理设定最高限价。投标人的投标报价不得超过采购项目最高限价。采购项目采购预算、最高限价（如果设）见【投标须知前附表】。</w:t>
      </w:r>
    </w:p>
    <w:p w14:paraId="3BD71447">
      <w:pPr>
        <w:adjustRightInd w:val="0"/>
        <w:snapToGrid w:val="0"/>
        <w:spacing w:line="360" w:lineRule="auto"/>
        <w:ind w:firstLine="420" w:firstLineChars="200"/>
        <w:jc w:val="left"/>
        <w:rPr>
          <w:rFonts w:ascii="宋体" w:hAnsi="宋体" w:cs="宋体"/>
        </w:rPr>
      </w:pPr>
      <w:r>
        <w:rPr>
          <w:rFonts w:hint="eastAsia" w:ascii="宋体" w:hAnsi="宋体" w:cs="宋体"/>
        </w:rPr>
        <w:t>14.6 投标文件中标明的价格在合同执行过程中是固定不变的，不得以任何理由予以变更。任何包含价格调整要求和条件的投标，在评标时将其视为投标无效。</w:t>
      </w:r>
    </w:p>
    <w:p w14:paraId="6FA8168D">
      <w:pPr>
        <w:adjustRightInd w:val="0"/>
        <w:snapToGrid w:val="0"/>
        <w:spacing w:line="360" w:lineRule="auto"/>
        <w:jc w:val="left"/>
        <w:rPr>
          <w:rFonts w:ascii="宋体" w:hAnsi="宋体" w:cs="宋体"/>
          <w:b/>
          <w:bCs/>
          <w:szCs w:val="21"/>
        </w:rPr>
      </w:pPr>
      <w:r>
        <w:rPr>
          <w:rFonts w:hint="eastAsia" w:ascii="宋体" w:hAnsi="宋体" w:cs="宋体"/>
          <w:b/>
        </w:rPr>
        <w:t xml:space="preserve">15. </w:t>
      </w:r>
      <w:r>
        <w:rPr>
          <w:rFonts w:hint="eastAsia" w:ascii="宋体" w:hAnsi="宋体" w:cs="宋体"/>
          <w:b/>
          <w:bCs/>
          <w:szCs w:val="21"/>
        </w:rPr>
        <w:t>投标人的资格证明文件</w:t>
      </w:r>
    </w:p>
    <w:p w14:paraId="3F209DA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15.1投标人应提交满足本章第3.1</w:t>
      </w:r>
      <w:r>
        <w:rPr>
          <w:rFonts w:hint="eastAsia" w:ascii="宋体" w:hAnsi="宋体" w:cs="宋体"/>
          <w:kern w:val="0"/>
          <w:szCs w:val="21"/>
          <w:lang w:val="zh-CN"/>
        </w:rPr>
        <w:t>款</w:t>
      </w:r>
      <w:r>
        <w:rPr>
          <w:rFonts w:hint="eastAsia" w:ascii="宋体" w:hAnsi="宋体" w:cs="宋体"/>
          <w:szCs w:val="21"/>
        </w:rPr>
        <w:t>规定的资格条件要求的证明文件,该证明文件作为投标文件的一部分。</w:t>
      </w:r>
    </w:p>
    <w:p w14:paraId="0C1AD118">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15.2如果投标人为联合体，则应提交联合体各方资格证明文件、联合体协议。否则，在评标时将其视为无效投标。</w:t>
      </w:r>
    </w:p>
    <w:p w14:paraId="36A9B7FB">
      <w:pPr>
        <w:adjustRightInd w:val="0"/>
        <w:snapToGrid w:val="0"/>
        <w:spacing w:line="360" w:lineRule="auto"/>
        <w:jc w:val="left"/>
        <w:rPr>
          <w:rFonts w:ascii="宋体" w:hAnsi="宋体" w:cs="宋体"/>
          <w:b/>
          <w:bCs/>
          <w:szCs w:val="21"/>
        </w:rPr>
      </w:pPr>
      <w:r>
        <w:rPr>
          <w:rFonts w:hint="eastAsia" w:ascii="宋体" w:hAnsi="宋体" w:cs="宋体"/>
          <w:b/>
          <w:bCs/>
          <w:szCs w:val="21"/>
        </w:rPr>
        <w:t>16. 投标货物符合招标文件规定的证明文件</w:t>
      </w:r>
    </w:p>
    <w:p w14:paraId="467CBC5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16.1 投标人应当提交其拟供的合同项下货物及其服务符合招标文件规定的证明文件,该证明文件作为投标文件的一部分。</w:t>
      </w:r>
    </w:p>
    <w:p w14:paraId="500A72F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16.2 投标人在货物说明一览表中应当说明货物的品牌型号、规格参数、制造商及原产地等，交货时应出具原产地证明及出厂合格证明。</w:t>
      </w:r>
    </w:p>
    <w:p w14:paraId="4E74C0E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16.3 上述证明文件可以是文字资料、图纸和数据，并须提供：</w:t>
      </w:r>
    </w:p>
    <w:p w14:paraId="361BC3C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（1）货物主要性能和参数的详细说明；</w:t>
      </w:r>
    </w:p>
    <w:p w14:paraId="1A580CC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（2）对照招标文件技术规格，逐条说明所提供货物和服务对招标文件的技术规格条文的响应与偏离。对有具体参数要求的指标，投标人应提供具体参数值。</w:t>
      </w:r>
    </w:p>
    <w:p w14:paraId="767E4533">
      <w:pPr>
        <w:widowControl/>
        <w:spacing w:before="100" w:beforeAutospacing="1" w:after="100" w:afterAutospacing="1" w:line="380" w:lineRule="atLeast"/>
        <w:jc w:val="left"/>
        <w:rPr>
          <w:rFonts w:ascii="宋体" w:hAnsi="宋体" w:cs="宋体"/>
          <w:szCs w:val="21"/>
        </w:rPr>
      </w:pPr>
      <w:r>
        <w:rPr>
          <w:rFonts w:hint="eastAsia" w:ascii="宋体" w:hAnsi="宋体" w:cs="宋体"/>
          <w:szCs w:val="21"/>
        </w:rPr>
        <w:t xml:space="preserve">    16.4 采购人、采购代理机构一般不得要求投标人提供样品，仅凭书面方式不能准确描述采购需求或者需要对样品进行主观判断以确认是否满足采购需求等特殊情况除外。</w:t>
      </w:r>
    </w:p>
    <w:p w14:paraId="3C46CB66">
      <w:pPr>
        <w:adjustRightInd w:val="0"/>
        <w:snapToGrid w:val="0"/>
        <w:spacing w:beforeLines="50" w:line="360" w:lineRule="auto"/>
        <w:ind w:firstLine="422" w:firstLineChars="200"/>
        <w:jc w:val="left"/>
        <w:rPr>
          <w:rFonts w:ascii="宋体" w:hAnsi="宋体" w:cs="宋体"/>
          <w:szCs w:val="21"/>
        </w:rPr>
      </w:pPr>
      <w:r>
        <w:rPr>
          <w:rFonts w:hint="eastAsia" w:ascii="宋体" w:hAnsi="宋体" w:cs="宋体"/>
          <w:b/>
          <w:szCs w:val="21"/>
        </w:rPr>
        <w:t>投标须知前附表</w:t>
      </w:r>
      <w:r>
        <w:rPr>
          <w:rFonts w:hint="eastAsia" w:ascii="宋体" w:hAnsi="宋体" w:cs="宋体"/>
          <w:szCs w:val="21"/>
        </w:rPr>
        <w:t>规定投标人在投标时提供样品的，投标人有以下情形之一的，在评标时将其视为无效投标。</w:t>
      </w:r>
    </w:p>
    <w:p w14:paraId="0977042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（1）未在投标须知前附表规定的提交时间、地点提交的；</w:t>
      </w:r>
    </w:p>
    <w:p w14:paraId="091EB60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（2）投标人提供的样品与投标文件提供样品的规格、型号不一致的。</w:t>
      </w:r>
    </w:p>
    <w:p w14:paraId="712742A0">
      <w:pPr>
        <w:adjustRightInd w:val="0"/>
        <w:snapToGrid w:val="0"/>
        <w:spacing w:line="360" w:lineRule="auto"/>
        <w:jc w:val="left"/>
        <w:rPr>
          <w:rFonts w:ascii="宋体" w:hAnsi="宋体" w:cs="宋体"/>
          <w:b/>
          <w:bCs/>
          <w:szCs w:val="21"/>
        </w:rPr>
      </w:pPr>
      <w:r>
        <w:rPr>
          <w:rFonts w:hint="eastAsia" w:ascii="宋体" w:hAnsi="宋体" w:cs="宋体"/>
          <w:b/>
          <w:bCs/>
          <w:szCs w:val="21"/>
        </w:rPr>
        <w:t>17. 投标有效期</w:t>
      </w:r>
    </w:p>
    <w:p w14:paraId="218F096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17.1 除</w:t>
      </w:r>
      <w:r>
        <w:rPr>
          <w:rFonts w:hint="eastAsia" w:ascii="宋体" w:hAnsi="宋体" w:cs="宋体"/>
          <w:b/>
          <w:szCs w:val="21"/>
        </w:rPr>
        <w:t>【投标须知前附表】</w:t>
      </w:r>
      <w:r>
        <w:rPr>
          <w:rFonts w:hint="eastAsia" w:ascii="宋体" w:hAnsi="宋体" w:cs="宋体"/>
          <w:szCs w:val="21"/>
        </w:rPr>
        <w:t>另有规定外，投标有效期为90日，投标有效期从提交投标文件的截止之日起算。投标有效期不足的投标，在评标时将其视为投标无效。</w:t>
      </w:r>
    </w:p>
    <w:p w14:paraId="63144B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17.2 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p>
    <w:p w14:paraId="54463EBA">
      <w:pPr>
        <w:adjustRightInd w:val="0"/>
        <w:snapToGrid w:val="0"/>
        <w:spacing w:line="360" w:lineRule="auto"/>
        <w:jc w:val="left"/>
        <w:rPr>
          <w:rFonts w:ascii="宋体" w:hAnsi="宋体" w:cs="宋体"/>
          <w:b/>
          <w:bCs/>
          <w:szCs w:val="21"/>
        </w:rPr>
      </w:pPr>
      <w:r>
        <w:rPr>
          <w:rFonts w:hint="eastAsia" w:ascii="宋体" w:hAnsi="宋体" w:cs="宋体"/>
          <w:b/>
          <w:bCs/>
          <w:szCs w:val="21"/>
        </w:rPr>
        <w:t>18. 投标保证金</w:t>
      </w:r>
    </w:p>
    <w:p w14:paraId="24A3FB0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18.1 </w:t>
      </w:r>
      <w:r>
        <w:rPr>
          <w:rFonts w:hint="eastAsia" w:ascii="宋体" w:hAnsi="宋体" w:cs="宋体"/>
          <w:b/>
          <w:szCs w:val="21"/>
        </w:rPr>
        <w:t>【投标须知前附表】</w:t>
      </w:r>
      <w:r>
        <w:rPr>
          <w:rFonts w:hint="eastAsia" w:ascii="宋体" w:hAnsi="宋体" w:cs="宋体"/>
          <w:szCs w:val="21"/>
        </w:rPr>
        <w:t>要求投标人提交</w:t>
      </w:r>
      <w:r>
        <w:rPr>
          <w:rFonts w:hint="eastAsia" w:ascii="宋体" w:hAnsi="宋体" w:cs="宋体"/>
          <w:bCs/>
          <w:szCs w:val="21"/>
        </w:rPr>
        <w:t>投标保证金的</w:t>
      </w:r>
      <w:r>
        <w:rPr>
          <w:rFonts w:hint="eastAsia" w:ascii="宋体" w:hAnsi="宋体" w:cs="宋体"/>
          <w:szCs w:val="21"/>
        </w:rPr>
        <w:t>，</w:t>
      </w:r>
      <w:r>
        <w:rPr>
          <w:rFonts w:hint="eastAsia" w:ascii="宋体" w:hAnsi="宋体" w:cs="宋体"/>
          <w:bCs/>
          <w:szCs w:val="21"/>
        </w:rPr>
        <w:t>投标人应</w:t>
      </w:r>
      <w:r>
        <w:rPr>
          <w:rFonts w:hint="eastAsia" w:ascii="宋体" w:hAnsi="宋体" w:cs="宋体"/>
          <w:szCs w:val="21"/>
        </w:rPr>
        <w:t>以支票、汇票、本票或金融机构、担保机构出具的保函等非现金形式，</w:t>
      </w:r>
      <w:r>
        <w:rPr>
          <w:rFonts w:hint="eastAsia" w:ascii="宋体" w:hAnsi="宋体" w:cs="宋体"/>
          <w:bCs/>
          <w:szCs w:val="21"/>
        </w:rPr>
        <w:t>在</w:t>
      </w:r>
      <w:r>
        <w:rPr>
          <w:rFonts w:hint="eastAsia" w:ascii="宋体" w:hAnsi="宋体" w:cs="宋体"/>
          <w:szCs w:val="21"/>
        </w:rPr>
        <w:t>提交投标文件的截止时间</w:t>
      </w:r>
      <w:r>
        <w:rPr>
          <w:rFonts w:hint="eastAsia" w:ascii="宋体" w:hAnsi="宋体" w:cs="宋体"/>
          <w:bCs/>
          <w:szCs w:val="21"/>
        </w:rPr>
        <w:t>前提交投标保证金</w:t>
      </w:r>
      <w:r>
        <w:rPr>
          <w:rFonts w:hint="eastAsia" w:ascii="宋体" w:hAnsi="宋体" w:cs="宋体"/>
          <w:szCs w:val="21"/>
        </w:rPr>
        <w:t>。</w:t>
      </w:r>
      <w:r>
        <w:rPr>
          <w:rFonts w:hint="eastAsia" w:ascii="宋体" w:hAnsi="宋体" w:cs="宋体"/>
          <w:bCs/>
          <w:szCs w:val="21"/>
        </w:rPr>
        <w:t>投标保证金有效期应与投标有效期一致。</w:t>
      </w:r>
    </w:p>
    <w:p w14:paraId="2722F9A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18.2 投标保证金应以投标人自身名义缴纳，其名称应与投标人名称一致，不得以分支机构等他人名义缴纳。联合体投标的，其投标保证金由牵头方缴纳。</w:t>
      </w:r>
    </w:p>
    <w:p w14:paraId="01B8FFF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18.3 联合体投标的，可以由联合体中的一方或者共同提交投标保证金。以一方名义提交投标保证金的，对联合体各方均具有约束力。</w:t>
      </w:r>
    </w:p>
    <w:p w14:paraId="37B80E9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18.4投标保证金的退还按以下规定办理：</w:t>
      </w:r>
    </w:p>
    <w:p w14:paraId="5F381FE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（1）中标投标人的投标保证金，将在政府采购合同签订后5个工作日内退还。</w:t>
      </w:r>
    </w:p>
    <w:p w14:paraId="4035009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（2）未中标的投标人的投标保证金，将在中标通知书发出后5个工作日内退还。</w:t>
      </w:r>
    </w:p>
    <w:p w14:paraId="6E94025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（3）终止招标的。对于已递交投标保证金的，采购代理机构在终止招标公告发布后5个工作日内退还。</w:t>
      </w:r>
    </w:p>
    <w:p w14:paraId="58A8574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（4）在投标截止日前撤回投标的，对于已递交投标保证金的，采购代理机构在收到投标人书面撤回投标通知之日起5个工作日内退还。</w:t>
      </w:r>
    </w:p>
    <w:p w14:paraId="1A9C10F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18.5 有以下情形之一的，投标保证金将不予退还，上缴国库：</w:t>
      </w:r>
    </w:p>
    <w:p w14:paraId="08E7C8B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（1）投标人在投标有效期内撤销投标文件； </w:t>
      </w:r>
    </w:p>
    <w:p w14:paraId="2B92E03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（2）提供虚假材料谋取中标的；</w:t>
      </w:r>
    </w:p>
    <w:p w14:paraId="4EE37FE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（3）确定为中标人后，中标人放弃中标的； </w:t>
      </w:r>
    </w:p>
    <w:p w14:paraId="53EB985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（4）中标通知书发出后，中标人不签订合同或转让、分包项目以及拒绝履行合同义务的；</w:t>
      </w:r>
    </w:p>
    <w:p w14:paraId="783A625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（5）投标人有25.1和25.2规定的串通投标行为的</w:t>
      </w:r>
    </w:p>
    <w:p w14:paraId="4B7C5BB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（6）法律法规或招标文件规定的其他情形。</w:t>
      </w:r>
    </w:p>
    <w:p w14:paraId="3F6EAD1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上款第（3）、（4）项对因严重自然灾害和其他不可抗力事件产生的情形除外。</w:t>
      </w:r>
    </w:p>
    <w:p w14:paraId="1EF7A2E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19. 投标文件的签署</w:t>
      </w:r>
    </w:p>
    <w:p w14:paraId="7D1A1C00">
      <w:pPr>
        <w:spacing w:line="400" w:lineRule="atLeast"/>
        <w:ind w:firstLine="420" w:firstLineChars="200"/>
        <w:rPr>
          <w:rFonts w:ascii="宋体" w:hAnsi="宋体" w:cs="宋体"/>
          <w:szCs w:val="21"/>
        </w:rPr>
      </w:pPr>
      <w:r>
        <w:rPr>
          <w:rFonts w:hint="eastAsia" w:ascii="宋体" w:hAnsi="宋体" w:cs="宋体"/>
          <w:szCs w:val="21"/>
        </w:rPr>
        <w:t>19.1电子投标文件：投标人应按照电子招标文件要求制作投标文件，并进行电子签名和盖章。</w:t>
      </w:r>
    </w:p>
    <w:p w14:paraId="57003E2A">
      <w:pPr>
        <w:spacing w:line="400" w:lineRule="exact"/>
        <w:ind w:right="31" w:firstLine="420" w:firstLineChars="200"/>
        <w:rPr>
          <w:rFonts w:ascii="宋体" w:hAnsi="宋体" w:cs="宋体"/>
          <w:szCs w:val="21"/>
        </w:rPr>
      </w:pPr>
      <w:r>
        <w:rPr>
          <w:rFonts w:hint="eastAsia" w:ascii="宋体" w:hAnsi="宋体" w:cs="宋体"/>
          <w:szCs w:val="21"/>
        </w:rPr>
        <w:t>19.2投标人确认投标后，应从交易平台上下载“政府采购电子招标文件制作工具”，并使用此工具编制电子投标文件，否则将可能影响电子投标文件的上传而导致投标无效。</w:t>
      </w:r>
    </w:p>
    <w:p w14:paraId="7BD8CBB1">
      <w:pPr>
        <w:spacing w:line="400" w:lineRule="exact"/>
        <w:ind w:right="31" w:firstLine="420" w:firstLineChars="200"/>
        <w:rPr>
          <w:rFonts w:ascii="宋体" w:hAnsi="宋体" w:cs="宋体"/>
          <w:szCs w:val="21"/>
        </w:rPr>
      </w:pPr>
      <w:r>
        <w:rPr>
          <w:rFonts w:hint="eastAsia" w:ascii="宋体" w:hAnsi="宋体" w:cs="宋体"/>
          <w:szCs w:val="21"/>
        </w:rPr>
        <w:t>19.3投标人因自身原因导致电子投标文件无法导入电子评标系统的，该投标文件视为无效投标文件。</w:t>
      </w:r>
    </w:p>
    <w:p w14:paraId="071E8A9D">
      <w:pPr>
        <w:spacing w:line="400" w:lineRule="exact"/>
        <w:ind w:right="31" w:firstLine="420" w:firstLineChars="200"/>
        <w:rPr>
          <w:rFonts w:ascii="宋体" w:hAnsi="宋体" w:cs="宋体"/>
          <w:szCs w:val="21"/>
        </w:rPr>
      </w:pPr>
      <w:r>
        <w:rPr>
          <w:rFonts w:hint="eastAsia" w:ascii="宋体" w:hAnsi="宋体" w:cs="宋体"/>
          <w:szCs w:val="21"/>
        </w:rPr>
        <w:t>19.4电子招投标文件具有法律效力，若投标文件与招标文件要求不一致，其内容影响中标结果时，责任由投标人自行承担。</w:t>
      </w:r>
    </w:p>
    <w:p w14:paraId="58E81D1F">
      <w:pPr>
        <w:jc w:val="center"/>
        <w:outlineLvl w:val="0"/>
        <w:rPr>
          <w:rFonts w:ascii="宋体" w:hAnsi="宋体" w:cs="宋体"/>
          <w:b/>
          <w:bCs/>
          <w:sz w:val="28"/>
          <w:szCs w:val="36"/>
        </w:rPr>
      </w:pPr>
      <w:bookmarkStart w:id="69" w:name="_Toc27892"/>
      <w:bookmarkStart w:id="70" w:name="_Toc15181"/>
      <w:r>
        <w:rPr>
          <w:rFonts w:hint="eastAsia" w:ascii="宋体" w:hAnsi="宋体" w:cs="宋体"/>
          <w:b/>
          <w:bCs/>
          <w:sz w:val="28"/>
          <w:szCs w:val="36"/>
        </w:rPr>
        <w:t>四、投标</w:t>
      </w:r>
      <w:bookmarkEnd w:id="69"/>
      <w:bookmarkEnd w:id="70"/>
    </w:p>
    <w:p w14:paraId="1931AFAC">
      <w:pPr>
        <w:spacing w:line="360" w:lineRule="atLeast"/>
        <w:ind w:firstLine="420" w:firstLineChars="200"/>
        <w:rPr>
          <w:rFonts w:ascii="宋体" w:hAnsi="宋体" w:cs="宋体"/>
        </w:rPr>
      </w:pPr>
      <w:r>
        <w:rPr>
          <w:rFonts w:hint="eastAsia" w:ascii="宋体" w:hAnsi="宋体" w:cs="宋体"/>
        </w:rPr>
        <w:t>20．投标人应准备所投项目的电子投标文件一份，此投标文件须根据招标人提供的后缀名为YYZY</w:t>
      </w:r>
      <w:r>
        <w:rPr>
          <w:rFonts w:hint="eastAsia" w:ascii="宋体" w:hAnsi="宋体" w:cs="宋体"/>
          <w:szCs w:val="21"/>
        </w:rPr>
        <w:t>格式</w:t>
      </w:r>
      <w:r>
        <w:rPr>
          <w:rFonts w:hint="eastAsia" w:ascii="宋体" w:hAnsi="宋体" w:cs="宋体"/>
        </w:rPr>
        <w:t>的电子招标文件进行制作，电子投标文件制作工具可登录</w:t>
      </w:r>
      <w:r>
        <w:rPr>
          <w:rFonts w:hint="eastAsia" w:ascii="宋体" w:hAnsi="宋体" w:cs="宋体"/>
          <w:kern w:val="0"/>
          <w:szCs w:val="21"/>
        </w:rPr>
        <w:t>“</w:t>
      </w:r>
      <w:r>
        <w:rPr>
          <w:rFonts w:hint="eastAsia" w:ascii="宋体" w:hAnsi="宋体" w:cs="宋体"/>
          <w:szCs w:val="21"/>
        </w:rPr>
        <w:t>岳阳市公共资源交易网</w:t>
      </w:r>
      <w:r>
        <w:rPr>
          <w:rFonts w:hint="eastAsia" w:ascii="宋体" w:hAnsi="宋体" w:cs="宋体"/>
          <w:kern w:val="0"/>
          <w:szCs w:val="21"/>
        </w:rPr>
        <w:t>”</w:t>
      </w:r>
      <w:r>
        <w:rPr>
          <w:rFonts w:hint="eastAsia" w:ascii="宋体" w:hAnsi="宋体" w:cs="宋体"/>
          <w:szCs w:val="21"/>
        </w:rPr>
        <w:t xml:space="preserve"> （http://ggzy.yueyang.gov.cn/）</w:t>
      </w:r>
      <w:r>
        <w:rPr>
          <w:rFonts w:hint="eastAsia" w:ascii="宋体" w:hAnsi="宋体" w:cs="宋体"/>
        </w:rPr>
        <w:t>服务指南中及时下载安装最新版本“新点投标文件制作软件（湖南公共资源版）”。在安装此软件之前，须先安装office2010及以上版本。）</w:t>
      </w:r>
    </w:p>
    <w:p w14:paraId="2391762A">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21．</w:t>
      </w:r>
      <w:bookmarkStart w:id="71" w:name="_Hlk499715941"/>
      <w:r>
        <w:rPr>
          <w:rFonts w:hint="eastAsia" w:ascii="宋体" w:hAnsi="宋体" w:cs="宋体"/>
          <w:b/>
          <w:szCs w:val="21"/>
        </w:rPr>
        <w:t>电子投标文件的编制</w:t>
      </w:r>
    </w:p>
    <w:p w14:paraId="6B16471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21. 1投标人应当使用岳阳市公共资源交易中心电子交易平台认可的“新点投标文件制作软件（湖南公共资源版）”制作投标文件（ 含澄清、说明文件）并进行固化、加密；</w:t>
      </w:r>
    </w:p>
    <w:p w14:paraId="0ADD0DB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21. 2“电子标书软件加密锁” 具有唯一性，仅限于本单位在电子化招标投标活动中使用，不得转让和出借；</w:t>
      </w:r>
    </w:p>
    <w:p w14:paraId="43189F7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21. 3投标人在编制电子投标文件时应当建立分级目录，并按照标签提示导入相关内容，请投标人注意压缩文件；</w:t>
      </w:r>
    </w:p>
    <w:p w14:paraId="442F84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21. 4电子投标文件盖章及签字</w:t>
      </w:r>
    </w:p>
    <w:p w14:paraId="0C8E6AF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投标文件的指定盖章处应采用电子平台认可的CA数字证书（含电子印章）</w:t>
      </w:r>
    </w:p>
    <w:bookmarkEnd w:id="71"/>
    <w:p w14:paraId="50A501DC">
      <w:pPr>
        <w:spacing w:line="360" w:lineRule="exact"/>
        <w:ind w:firstLine="411" w:firstLineChars="196"/>
        <w:rPr>
          <w:rFonts w:ascii="宋体" w:hAnsi="宋体" w:cs="宋体"/>
          <w:b/>
        </w:rPr>
      </w:pPr>
      <w:r>
        <w:rPr>
          <w:rFonts w:hint="eastAsia" w:ascii="宋体" w:hAnsi="宋体" w:cs="宋体"/>
        </w:rPr>
        <w:t>21. 5投标人在编辑投标文件时，</w:t>
      </w:r>
      <w:r>
        <w:rPr>
          <w:rFonts w:hint="eastAsia" w:ascii="宋体" w:hAnsi="宋体" w:cs="宋体"/>
          <w:b/>
        </w:rPr>
        <w:t>在投标文件目录中属于本节点内容的必须上传或填写在本节点的对应位置，未按要求填写或上传的，相应责任由投标人自行承担。</w:t>
      </w:r>
    </w:p>
    <w:p w14:paraId="2AC1208F">
      <w:pPr>
        <w:spacing w:line="360" w:lineRule="exact"/>
        <w:ind w:firstLine="411" w:firstLineChars="196"/>
        <w:rPr>
          <w:rFonts w:ascii="宋体" w:hAnsi="宋体" w:cs="宋体"/>
        </w:rPr>
      </w:pPr>
      <w:r>
        <w:rPr>
          <w:rFonts w:hint="eastAsia" w:ascii="宋体" w:hAnsi="宋体" w:cs="宋体"/>
        </w:rPr>
        <w:t>21. 6投标书编写完成后，</w:t>
      </w:r>
      <w:r>
        <w:rPr>
          <w:rFonts w:hint="eastAsia" w:ascii="宋体" w:hAnsi="宋体" w:cs="宋体"/>
          <w:b/>
        </w:rPr>
        <w:t>必须用本系统自带的电子密钥进行加密，如果误选了非本项目的规则文件导致不能在开标时解密投标文件，该投标文件将被电子开标系统拒绝，将导致投标文件无效。</w:t>
      </w:r>
    </w:p>
    <w:p w14:paraId="0BEE06C4">
      <w:pPr>
        <w:spacing w:line="360" w:lineRule="exact"/>
        <w:ind w:firstLine="411" w:firstLineChars="196"/>
        <w:rPr>
          <w:rFonts w:ascii="宋体" w:hAnsi="宋体" w:cs="宋体"/>
        </w:rPr>
      </w:pPr>
      <w:r>
        <w:rPr>
          <w:rFonts w:hint="eastAsia" w:ascii="宋体" w:hAnsi="宋体" w:cs="宋体"/>
        </w:rPr>
        <w:t>21. 7岳阳市公共资源交易中心不接受投标截止时间后递交的纸质、电子、传真等所有形式的投标文件。由于对网上招投标操作不熟悉或自身电脑、个人网络等原因导致不能在投标截止时间之前上传投标文件的，相</w:t>
      </w:r>
      <w:r>
        <w:rPr>
          <w:rFonts w:hint="eastAsia" w:ascii="宋体" w:hAnsi="宋体" w:cs="宋体"/>
          <w:b/>
        </w:rPr>
        <w:t>应责任由投标人自行承担</w:t>
      </w:r>
      <w:r>
        <w:rPr>
          <w:rFonts w:hint="eastAsia" w:ascii="宋体" w:hAnsi="宋体" w:cs="宋体"/>
        </w:rPr>
        <w:t>。建议于开标前一个工作日完成投标文件的制作与上传，如果上传有困难，请及时咨询。</w:t>
      </w:r>
    </w:p>
    <w:p w14:paraId="19160D12">
      <w:pPr>
        <w:spacing w:line="360" w:lineRule="exact"/>
        <w:ind w:firstLine="411" w:firstLineChars="196"/>
        <w:rPr>
          <w:rFonts w:ascii="宋体" w:hAnsi="宋体" w:cs="宋体"/>
        </w:rPr>
      </w:pPr>
      <w:r>
        <w:rPr>
          <w:rFonts w:hint="eastAsia" w:ascii="宋体" w:hAnsi="宋体" w:cs="宋体"/>
        </w:rPr>
        <w:t>21. 8如果开标时出现网络故障、技术故障，影响了招投标活动，采购人可采取措施如延期、延长上传的投标书和解密时间等，以保障招投标活动的公开、公平和公正，投标人不得对此持有异议。</w:t>
      </w:r>
    </w:p>
    <w:p w14:paraId="0606CFE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 投标文件的递交</w:t>
      </w:r>
    </w:p>
    <w:p w14:paraId="5F4723E1">
      <w:pPr>
        <w:spacing w:line="360" w:lineRule="exact"/>
        <w:ind w:firstLine="411" w:firstLineChars="196"/>
        <w:rPr>
          <w:rFonts w:ascii="宋体" w:hAnsi="宋体" w:cs="宋体"/>
          <w:u w:val="single"/>
        </w:rPr>
      </w:pPr>
      <w:r>
        <w:rPr>
          <w:rFonts w:hint="eastAsia" w:ascii="宋体" w:hAnsi="宋体" w:cs="宋体"/>
        </w:rPr>
        <w:t>22.1电子标实行网上投标，投标人必须在采购文件规定的投标截止时间前用电子密钥在“岳阳市公共资源交易网</w:t>
      </w:r>
      <w:r>
        <w:rPr>
          <w:rFonts w:hint="eastAsia" w:ascii="宋体" w:hAnsi="宋体" w:cs="宋体"/>
          <w:szCs w:val="21"/>
        </w:rPr>
        <w:t xml:space="preserve"> ”</w:t>
      </w:r>
      <w:r>
        <w:rPr>
          <w:rFonts w:hint="eastAsia" w:ascii="宋体" w:hAnsi="宋体" w:cs="宋体"/>
        </w:rPr>
        <w:t xml:space="preserve">（ </w:t>
      </w:r>
      <w:r>
        <w:rPr>
          <w:rFonts w:hint="eastAsia" w:ascii="宋体" w:hAnsi="宋体" w:cs="宋体"/>
          <w:szCs w:val="21"/>
        </w:rPr>
        <w:t>http://ggzy.yueyang.gov.cn/</w:t>
      </w:r>
      <w:r>
        <w:rPr>
          <w:rFonts w:hint="eastAsia" w:ascii="宋体" w:hAnsi="宋体" w:cs="宋体"/>
        </w:rPr>
        <w:t>）中</w:t>
      </w:r>
      <w:r>
        <w:rPr>
          <w:rFonts w:hint="eastAsia" w:ascii="宋体" w:hAnsi="宋体" w:cs="宋体"/>
          <w:kern w:val="0"/>
          <w:szCs w:val="21"/>
        </w:rPr>
        <w:t>登录“岳阳市公共资源交易中心</w:t>
      </w:r>
      <w:r>
        <w:rPr>
          <w:rFonts w:hint="eastAsia" w:ascii="宋体" w:hAnsi="宋体" w:cs="宋体"/>
          <w:szCs w:val="21"/>
        </w:rPr>
        <w:t>电子交易平台</w:t>
      </w:r>
      <w:r>
        <w:rPr>
          <w:rFonts w:hint="eastAsia" w:ascii="宋体" w:hAnsi="宋体" w:cs="宋体"/>
          <w:kern w:val="0"/>
          <w:szCs w:val="21"/>
        </w:rPr>
        <w:t>”上传投标文件</w:t>
      </w:r>
      <w:r>
        <w:rPr>
          <w:rFonts w:hint="eastAsia" w:ascii="宋体" w:hAnsi="宋体" w:cs="宋体"/>
        </w:rPr>
        <w:t>。本项目电子投标文件最大容量为200MB，超过此容量的文件将被拒绝。如果多次上传均告失败，请拨打咨询电话（</w:t>
      </w:r>
      <w:r>
        <w:rPr>
          <w:rFonts w:hint="eastAsia" w:ascii="宋体" w:hAnsi="宋体" w:cs="宋体"/>
          <w:u w:val="single"/>
        </w:rPr>
        <w:t>0730-2966692 信息技术科</w:t>
      </w:r>
      <w:r>
        <w:rPr>
          <w:rFonts w:hint="eastAsia" w:ascii="宋体" w:hAnsi="宋体" w:cs="宋体"/>
        </w:rPr>
        <w:t>）。</w:t>
      </w:r>
    </w:p>
    <w:p w14:paraId="1FF9A606">
      <w:pPr>
        <w:spacing w:line="360" w:lineRule="exact"/>
        <w:ind w:firstLine="411" w:firstLineChars="196"/>
        <w:rPr>
          <w:rFonts w:ascii="宋体" w:hAnsi="宋体" w:cs="宋体"/>
        </w:rPr>
      </w:pPr>
      <w:r>
        <w:rPr>
          <w:rFonts w:hint="eastAsia" w:ascii="宋体" w:hAnsi="宋体" w:cs="宋体"/>
        </w:rPr>
        <w:t>22.1.1按本通用条款第10条规定，招标文件发生实质性修改后，投标人须撤回原电子投标文件，根据最新招标文件重新制作投标文件并再次上传。</w:t>
      </w:r>
    </w:p>
    <w:p w14:paraId="6DD04D06">
      <w:pPr>
        <w:spacing w:line="360" w:lineRule="exact"/>
        <w:ind w:firstLine="411" w:firstLineChars="196"/>
        <w:rPr>
          <w:rFonts w:ascii="宋体" w:hAnsi="宋体" w:cs="宋体"/>
        </w:rPr>
      </w:pPr>
      <w:r>
        <w:rPr>
          <w:rFonts w:hint="eastAsia" w:ascii="宋体" w:hAnsi="宋体" w:cs="宋体"/>
        </w:rPr>
        <w:t>22.1.2投标截止时间到达以后不再接收投标文件。</w:t>
      </w:r>
    </w:p>
    <w:p w14:paraId="660D46F0">
      <w:pPr>
        <w:spacing w:line="360" w:lineRule="exact"/>
        <w:ind w:firstLine="411" w:firstLineChars="196"/>
        <w:rPr>
          <w:rFonts w:ascii="宋体" w:hAnsi="宋体" w:cs="宋体"/>
        </w:rPr>
      </w:pPr>
      <w:r>
        <w:rPr>
          <w:rFonts w:hint="eastAsia" w:ascii="宋体" w:hAnsi="宋体" w:cs="宋体"/>
        </w:rPr>
        <w:t>22.2</w:t>
      </w:r>
      <w:r>
        <w:rPr>
          <w:rFonts w:hint="eastAsia"/>
        </w:rPr>
        <w:t>中标单位在领取中标通知书之前，需提供一正贰副的纸质投标文件用于备案。当提供的纸质文件资料与岳阳市公共资源交易网的电子文件资料不一致时，以电子文件资料为准。</w:t>
      </w:r>
    </w:p>
    <w:p w14:paraId="18BD67DD">
      <w:pPr>
        <w:tabs>
          <w:tab w:val="left" w:pos="6195"/>
        </w:tabs>
        <w:adjustRightInd w:val="0"/>
        <w:snapToGrid w:val="0"/>
        <w:spacing w:line="360" w:lineRule="auto"/>
        <w:jc w:val="left"/>
        <w:rPr>
          <w:rFonts w:ascii="宋体" w:hAnsi="宋体" w:cs="宋体"/>
          <w:b/>
          <w:bCs/>
          <w:szCs w:val="21"/>
        </w:rPr>
      </w:pPr>
      <w:r>
        <w:rPr>
          <w:rFonts w:hint="eastAsia" w:ascii="宋体" w:hAnsi="宋体" w:cs="宋体"/>
          <w:b/>
          <w:bCs/>
          <w:szCs w:val="21"/>
        </w:rPr>
        <w:t>23. 投标文件的修改和撤回</w:t>
      </w:r>
      <w:r>
        <w:rPr>
          <w:rFonts w:hint="eastAsia" w:ascii="宋体" w:hAnsi="宋体" w:cs="宋体"/>
          <w:b/>
          <w:bCs/>
          <w:szCs w:val="21"/>
        </w:rPr>
        <w:tab/>
      </w:r>
    </w:p>
    <w:p w14:paraId="661E0B7A">
      <w:pPr>
        <w:spacing w:line="360" w:lineRule="auto"/>
        <w:ind w:firstLine="411" w:firstLineChars="196"/>
        <w:rPr>
          <w:rFonts w:ascii="宋体" w:hAnsi="宋体" w:cs="宋体"/>
        </w:rPr>
      </w:pPr>
      <w:r>
        <w:rPr>
          <w:rFonts w:hint="eastAsia" w:ascii="宋体" w:hAnsi="宋体" w:cs="宋体"/>
          <w:szCs w:val="21"/>
        </w:rPr>
        <w:t>23.1</w:t>
      </w:r>
      <w:r>
        <w:rPr>
          <w:rFonts w:hint="eastAsia" w:ascii="宋体" w:hAnsi="宋体" w:cs="宋体"/>
        </w:rPr>
        <w:t>投标方在提交</w:t>
      </w:r>
      <w:r>
        <w:rPr>
          <w:rFonts w:hint="eastAsia" w:ascii="宋体" w:hAnsi="宋体" w:cs="宋体"/>
          <w:szCs w:val="21"/>
        </w:rPr>
        <w:t>电子</w:t>
      </w:r>
      <w:r>
        <w:rPr>
          <w:rFonts w:hint="eastAsia" w:ascii="宋体" w:hAnsi="宋体" w:cs="宋体"/>
        </w:rPr>
        <w:t>投标文件后可对其投标文件进行修改并重新上传投标文件或在网上进行撤销投标的操作。</w:t>
      </w:r>
    </w:p>
    <w:p w14:paraId="48885FD3">
      <w:pPr>
        <w:spacing w:line="360" w:lineRule="auto"/>
        <w:ind w:firstLine="411" w:firstLineChars="196"/>
        <w:rPr>
          <w:rFonts w:ascii="宋体" w:hAnsi="宋体" w:cs="宋体"/>
        </w:rPr>
      </w:pPr>
      <w:r>
        <w:rPr>
          <w:rFonts w:hint="eastAsia" w:ascii="宋体" w:hAnsi="宋体" w:cs="宋体"/>
        </w:rPr>
        <w:t>23.2投标截止时间以后不得修改投标文件。</w:t>
      </w:r>
    </w:p>
    <w:p w14:paraId="0D55963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23.3投标人在提交投标文件的截止时间前撤回已提交的投标文件的，采购代理机构应当自收到投标人撤回通知之日起５个工作日内，退还已收取的投标保证金，但因投标人自身原因导致无法及时退还的除外。</w:t>
      </w:r>
    </w:p>
    <w:p w14:paraId="1F737228">
      <w:pPr>
        <w:adjustRightInd w:val="0"/>
        <w:snapToGrid w:val="0"/>
        <w:spacing w:line="360" w:lineRule="auto"/>
        <w:jc w:val="left"/>
        <w:rPr>
          <w:rFonts w:ascii="宋体" w:hAnsi="宋体" w:cs="宋体"/>
          <w:b/>
        </w:rPr>
      </w:pPr>
      <w:r>
        <w:rPr>
          <w:rFonts w:hint="eastAsia" w:ascii="宋体" w:hAnsi="宋体" w:cs="宋体"/>
          <w:b/>
        </w:rPr>
        <w:t>24.分包</w:t>
      </w:r>
    </w:p>
    <w:p w14:paraId="28F2120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24.1 投标人拟在中标后将中标项目的非主体、非关键性工作进行分包的，应符合【</w:t>
      </w:r>
      <w:r>
        <w:rPr>
          <w:rFonts w:hint="eastAsia" w:ascii="宋体" w:hAnsi="宋体" w:cs="宋体"/>
          <w:b/>
          <w:szCs w:val="21"/>
        </w:rPr>
        <w:t>投标须知前附表</w:t>
      </w:r>
      <w:r>
        <w:rPr>
          <w:rFonts w:hint="eastAsia" w:ascii="宋体" w:hAnsi="宋体" w:cs="宋体"/>
          <w:szCs w:val="21"/>
        </w:rPr>
        <w:t>】规定的分包内容、分包金额和资质要求等限制性条件，并在投标文件中载明分包承担主体，且分包承担主体不得再次分包。</w:t>
      </w:r>
    </w:p>
    <w:p w14:paraId="52AB79E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24.2中标人应当就分包项目向采购人负责，分包承担主体就分包项目承担连带责任。</w:t>
      </w:r>
    </w:p>
    <w:p w14:paraId="2CE04C24">
      <w:pPr>
        <w:adjustRightInd w:val="0"/>
        <w:snapToGrid w:val="0"/>
        <w:spacing w:line="360" w:lineRule="auto"/>
        <w:ind w:firstLine="420" w:firstLineChars="200"/>
        <w:jc w:val="left"/>
        <w:rPr>
          <w:rFonts w:ascii="宋体" w:hAnsi="宋体" w:cs="宋体"/>
        </w:rPr>
      </w:pPr>
      <w:r>
        <w:rPr>
          <w:rFonts w:hint="eastAsia" w:ascii="宋体" w:hAnsi="宋体" w:cs="宋体"/>
          <w:szCs w:val="21"/>
        </w:rPr>
        <w:t>24.3 不符合招标文件中有关分包、转包规定的，其投标将被拒绝。</w:t>
      </w:r>
    </w:p>
    <w:p w14:paraId="02FEF78B">
      <w:pPr>
        <w:adjustRightInd w:val="0"/>
        <w:snapToGrid w:val="0"/>
        <w:spacing w:line="360" w:lineRule="auto"/>
        <w:jc w:val="left"/>
        <w:rPr>
          <w:rFonts w:ascii="宋体" w:hAnsi="宋体" w:cs="宋体"/>
          <w:b/>
        </w:rPr>
      </w:pPr>
      <w:r>
        <w:rPr>
          <w:rFonts w:hint="eastAsia" w:ascii="宋体" w:hAnsi="宋体" w:cs="宋体"/>
          <w:b/>
          <w:bCs/>
        </w:rPr>
        <w:t>25.</w:t>
      </w:r>
      <w:r>
        <w:rPr>
          <w:rFonts w:hint="eastAsia" w:ascii="宋体" w:hAnsi="宋体" w:cs="宋体"/>
          <w:b/>
        </w:rPr>
        <w:t xml:space="preserve"> 串通投标行为</w:t>
      </w:r>
    </w:p>
    <w:p w14:paraId="2CA75522">
      <w:pPr>
        <w:adjustRightInd w:val="0"/>
        <w:snapToGrid w:val="0"/>
        <w:spacing w:line="360" w:lineRule="auto"/>
        <w:ind w:firstLine="396" w:firstLineChars="200"/>
        <w:jc w:val="left"/>
        <w:rPr>
          <w:rFonts w:ascii="宋体" w:hAnsi="宋体" w:cs="宋体"/>
          <w:spacing w:val="-6"/>
          <w:szCs w:val="21"/>
        </w:rPr>
      </w:pPr>
      <w:r>
        <w:rPr>
          <w:rFonts w:hint="eastAsia" w:ascii="宋体" w:hAnsi="宋体" w:cs="宋体"/>
          <w:spacing w:val="-6"/>
          <w:szCs w:val="21"/>
        </w:rPr>
        <w:t>25.1有下列情形之一的，属于恶意串通，对投标人依照政府采购法第七十七条第一款的规定追究法律责任：</w:t>
      </w:r>
    </w:p>
    <w:p w14:paraId="0DD24CA1">
      <w:pPr>
        <w:adjustRightInd w:val="0"/>
        <w:snapToGrid w:val="0"/>
        <w:spacing w:line="360" w:lineRule="auto"/>
        <w:ind w:firstLine="396" w:firstLineChars="200"/>
        <w:jc w:val="left"/>
        <w:rPr>
          <w:rFonts w:ascii="宋体" w:hAnsi="宋体" w:cs="宋体"/>
          <w:spacing w:val="-6"/>
          <w:szCs w:val="21"/>
        </w:rPr>
      </w:pPr>
      <w:r>
        <w:rPr>
          <w:rFonts w:hint="eastAsia" w:ascii="宋体" w:hAnsi="宋体" w:cs="宋体"/>
          <w:spacing w:val="-6"/>
          <w:szCs w:val="21"/>
        </w:rPr>
        <w:t>（1）投标人直接或者间接从采购人或者采购代理机构处获得其他投标人的相关情况并修改其投标文件；</w:t>
      </w:r>
    </w:p>
    <w:p w14:paraId="1C61253D">
      <w:pPr>
        <w:adjustRightInd w:val="0"/>
        <w:snapToGrid w:val="0"/>
        <w:spacing w:line="360" w:lineRule="auto"/>
        <w:ind w:firstLine="396" w:firstLineChars="200"/>
        <w:jc w:val="left"/>
        <w:rPr>
          <w:rFonts w:ascii="宋体" w:hAnsi="宋体" w:cs="宋体"/>
          <w:spacing w:val="-6"/>
          <w:szCs w:val="21"/>
        </w:rPr>
      </w:pPr>
      <w:r>
        <w:rPr>
          <w:rFonts w:hint="eastAsia" w:ascii="宋体" w:hAnsi="宋体" w:cs="宋体"/>
          <w:spacing w:val="-6"/>
          <w:szCs w:val="21"/>
        </w:rPr>
        <w:t>（2）投标人按照采购人或者采购代理机构的授意撤换、修改投标文件；</w:t>
      </w:r>
    </w:p>
    <w:p w14:paraId="51AA8443">
      <w:pPr>
        <w:adjustRightInd w:val="0"/>
        <w:snapToGrid w:val="0"/>
        <w:spacing w:line="360" w:lineRule="auto"/>
        <w:ind w:firstLine="396" w:firstLineChars="200"/>
        <w:jc w:val="left"/>
        <w:rPr>
          <w:rFonts w:ascii="宋体" w:hAnsi="宋体" w:cs="宋体"/>
          <w:spacing w:val="-6"/>
          <w:szCs w:val="21"/>
        </w:rPr>
      </w:pPr>
      <w:r>
        <w:rPr>
          <w:rFonts w:hint="eastAsia" w:ascii="宋体" w:hAnsi="宋体" w:cs="宋体"/>
          <w:spacing w:val="-6"/>
          <w:szCs w:val="21"/>
        </w:rPr>
        <w:t>（3）投标人之间协商报价、技术方案等投标文件的实质性内容；</w:t>
      </w:r>
    </w:p>
    <w:p w14:paraId="60937CE3">
      <w:pPr>
        <w:adjustRightInd w:val="0"/>
        <w:snapToGrid w:val="0"/>
        <w:spacing w:line="360" w:lineRule="auto"/>
        <w:ind w:firstLine="396" w:firstLineChars="200"/>
        <w:jc w:val="left"/>
        <w:rPr>
          <w:rFonts w:ascii="宋体" w:hAnsi="宋体" w:cs="宋体"/>
          <w:spacing w:val="-6"/>
          <w:szCs w:val="21"/>
        </w:rPr>
      </w:pPr>
      <w:r>
        <w:rPr>
          <w:rFonts w:hint="eastAsia" w:ascii="宋体" w:hAnsi="宋体" w:cs="宋体"/>
          <w:spacing w:val="-6"/>
          <w:szCs w:val="21"/>
        </w:rPr>
        <w:t>（4）属于同一集团、协会、商会等组织成员的投标人按照该组织要求协同参加政府采购活动；</w:t>
      </w:r>
    </w:p>
    <w:p w14:paraId="2B0F0B75">
      <w:pPr>
        <w:adjustRightInd w:val="0"/>
        <w:snapToGrid w:val="0"/>
        <w:spacing w:line="360" w:lineRule="auto"/>
        <w:ind w:firstLine="396" w:firstLineChars="200"/>
        <w:jc w:val="left"/>
        <w:rPr>
          <w:rFonts w:ascii="宋体" w:hAnsi="宋体" w:cs="宋体"/>
          <w:spacing w:val="-6"/>
          <w:szCs w:val="21"/>
        </w:rPr>
      </w:pPr>
      <w:r>
        <w:rPr>
          <w:rFonts w:hint="eastAsia" w:ascii="宋体" w:hAnsi="宋体" w:cs="宋体"/>
          <w:spacing w:val="-6"/>
          <w:szCs w:val="21"/>
        </w:rPr>
        <w:t>（5）投标人之间事先约定由某一特定投标人中标；</w:t>
      </w:r>
    </w:p>
    <w:p w14:paraId="144EFEFC">
      <w:pPr>
        <w:adjustRightInd w:val="0"/>
        <w:snapToGrid w:val="0"/>
        <w:spacing w:line="360" w:lineRule="auto"/>
        <w:ind w:firstLine="396" w:firstLineChars="200"/>
        <w:jc w:val="left"/>
        <w:rPr>
          <w:rFonts w:ascii="宋体" w:hAnsi="宋体" w:cs="宋体"/>
          <w:spacing w:val="-6"/>
          <w:szCs w:val="21"/>
        </w:rPr>
      </w:pPr>
      <w:r>
        <w:rPr>
          <w:rFonts w:hint="eastAsia" w:ascii="宋体" w:hAnsi="宋体" w:cs="宋体"/>
          <w:spacing w:val="-6"/>
          <w:szCs w:val="21"/>
        </w:rPr>
        <w:t>（6）投标人之间商定部分投标人放弃参加政府采购活动或者放弃中标；</w:t>
      </w:r>
    </w:p>
    <w:p w14:paraId="587F4997">
      <w:pPr>
        <w:adjustRightInd w:val="0"/>
        <w:snapToGrid w:val="0"/>
        <w:spacing w:line="360" w:lineRule="auto"/>
        <w:ind w:firstLine="396" w:firstLineChars="200"/>
        <w:jc w:val="left"/>
        <w:rPr>
          <w:rFonts w:ascii="宋体" w:hAnsi="宋体" w:cs="宋体"/>
          <w:spacing w:val="-6"/>
          <w:szCs w:val="21"/>
        </w:rPr>
      </w:pPr>
      <w:r>
        <w:rPr>
          <w:rFonts w:hint="eastAsia" w:ascii="宋体" w:hAnsi="宋体" w:cs="宋体"/>
          <w:spacing w:val="-6"/>
          <w:szCs w:val="21"/>
        </w:rPr>
        <w:t>（7）投标人与采购人或者采购代理机构之间、投标人相互之间，为谋求特定投标人中标或者排斥其他投标人的其他串通行为。</w:t>
      </w:r>
    </w:p>
    <w:p w14:paraId="1759BFD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25.2有下列情形之一的，视为投标人串通投标，其投标无效：</w:t>
      </w:r>
    </w:p>
    <w:p w14:paraId="26BA496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（1）不同投标人的投标文件由同一单位或者个人编制；</w:t>
      </w:r>
    </w:p>
    <w:p w14:paraId="3DCB685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（2）不同投标人委托同一单位或者个人办理投标事宜；</w:t>
      </w:r>
    </w:p>
    <w:p w14:paraId="6211CBE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（3）不同投标人的投标文件载明的项目管理成员或者联系人员为同一人；</w:t>
      </w:r>
    </w:p>
    <w:p w14:paraId="4D42AD2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（4）不同投标人的投标文件异常一致或者投标报价呈规律性差异；</w:t>
      </w:r>
    </w:p>
    <w:p w14:paraId="3FB30E0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（5）不同投标人的投标文件相互混装；</w:t>
      </w:r>
    </w:p>
    <w:p w14:paraId="247A9A85">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（6）不同投标人的投标保证金从同一单位或者个人的账户转出。</w:t>
      </w:r>
    </w:p>
    <w:p w14:paraId="2E62AB09">
      <w:pPr>
        <w:jc w:val="center"/>
        <w:outlineLvl w:val="0"/>
        <w:rPr>
          <w:rFonts w:ascii="宋体" w:hAnsi="宋体" w:cs="宋体"/>
          <w:b/>
          <w:bCs/>
          <w:sz w:val="28"/>
          <w:szCs w:val="36"/>
        </w:rPr>
      </w:pPr>
      <w:bookmarkStart w:id="72" w:name="_Toc24831"/>
      <w:bookmarkStart w:id="73" w:name="_Toc7823"/>
      <w:r>
        <w:rPr>
          <w:rFonts w:hint="eastAsia" w:ascii="宋体" w:hAnsi="宋体" w:cs="宋体"/>
          <w:b/>
          <w:bCs/>
          <w:sz w:val="28"/>
          <w:szCs w:val="36"/>
        </w:rPr>
        <w:t>五、开标，资格审查和评标</w:t>
      </w:r>
      <w:bookmarkEnd w:id="72"/>
      <w:bookmarkEnd w:id="73"/>
    </w:p>
    <w:p w14:paraId="5AE6723D">
      <w:pPr>
        <w:adjustRightInd w:val="0"/>
        <w:snapToGrid w:val="0"/>
        <w:spacing w:line="360" w:lineRule="auto"/>
        <w:jc w:val="left"/>
        <w:rPr>
          <w:rFonts w:ascii="宋体" w:hAnsi="宋体" w:cs="宋体"/>
          <w:b/>
          <w:bCs/>
          <w:szCs w:val="21"/>
        </w:rPr>
      </w:pPr>
      <w:r>
        <w:rPr>
          <w:rFonts w:hint="eastAsia" w:ascii="宋体" w:hAnsi="宋体" w:cs="宋体"/>
          <w:b/>
          <w:bCs/>
          <w:szCs w:val="21"/>
        </w:rPr>
        <w:t>26. 开标</w:t>
      </w:r>
    </w:p>
    <w:p w14:paraId="3D5F240A">
      <w:pPr>
        <w:spacing w:line="360" w:lineRule="auto"/>
        <w:ind w:firstLine="315" w:firstLineChars="150"/>
        <w:rPr>
          <w:rFonts w:ascii="宋体" w:hAnsi="宋体" w:cs="宋体"/>
          <w:szCs w:val="21"/>
        </w:rPr>
      </w:pPr>
      <w:r>
        <w:rPr>
          <w:rFonts w:hint="eastAsia" w:ascii="宋体" w:hAnsi="宋体" w:cs="宋体"/>
          <w:szCs w:val="21"/>
        </w:rPr>
        <w:t>26.1采购代理机构在规定时间组织网上开标。投标人在岳阳市公共资源交易电子服务平台中登陆“岳阳政府采购不见面开标大厅”，参与项目网上开标会。</w:t>
      </w:r>
    </w:p>
    <w:p w14:paraId="7BEE54AC">
      <w:pPr>
        <w:spacing w:line="360" w:lineRule="auto"/>
        <w:ind w:firstLine="315" w:firstLineChars="150"/>
        <w:rPr>
          <w:rFonts w:ascii="宋体" w:hAnsi="宋体" w:cs="宋体"/>
          <w:szCs w:val="21"/>
        </w:rPr>
      </w:pPr>
      <w:r>
        <w:rPr>
          <w:rFonts w:hint="eastAsia" w:ascii="宋体" w:hAnsi="宋体" w:cs="宋体"/>
          <w:szCs w:val="21"/>
        </w:rPr>
        <w:t>26.2投标截止时间到达以后，投标人在规定时限内对电子投标文件进行解密并在网上进行开标、唱标，同步在网上公布开标结果。解密时长应符合【</w:t>
      </w:r>
      <w:r>
        <w:rPr>
          <w:rFonts w:hint="eastAsia" w:ascii="宋体" w:hAnsi="宋体" w:cs="宋体"/>
          <w:b/>
          <w:szCs w:val="21"/>
        </w:rPr>
        <w:t>投标须知前附表</w:t>
      </w:r>
      <w:r>
        <w:rPr>
          <w:rFonts w:hint="eastAsia" w:ascii="宋体" w:hAnsi="宋体" w:cs="宋体"/>
          <w:szCs w:val="21"/>
        </w:rPr>
        <w:t>】的规定。</w:t>
      </w:r>
    </w:p>
    <w:p w14:paraId="2B031023">
      <w:pPr>
        <w:spacing w:line="360" w:lineRule="exact"/>
        <w:ind w:firstLine="315" w:firstLineChars="150"/>
        <w:rPr>
          <w:rFonts w:ascii="宋体" w:hAnsi="宋体" w:cs="宋体"/>
          <w:sz w:val="32"/>
          <w:szCs w:val="32"/>
        </w:rPr>
      </w:pPr>
      <w:r>
        <w:rPr>
          <w:rFonts w:hint="eastAsia" w:ascii="宋体" w:hAnsi="宋体" w:cs="宋体"/>
          <w:szCs w:val="21"/>
        </w:rPr>
        <w:t>26.3开标注意事项：因投标人原因未按时限解密或无法解密的投标文件视为无效投标文件，相应责任由投标人自行承担。</w:t>
      </w:r>
    </w:p>
    <w:p w14:paraId="4EF5E302">
      <w:pPr>
        <w:adjustRightInd w:val="0"/>
        <w:snapToGrid w:val="0"/>
        <w:spacing w:line="360" w:lineRule="auto"/>
        <w:jc w:val="left"/>
        <w:rPr>
          <w:rFonts w:ascii="宋体" w:hAnsi="宋体" w:cs="宋体"/>
          <w:b/>
          <w:szCs w:val="21"/>
        </w:rPr>
      </w:pPr>
      <w:r>
        <w:rPr>
          <w:rStyle w:val="43"/>
          <w:rFonts w:hint="eastAsia" w:ascii="宋体" w:hAnsi="宋体" w:cs="宋体"/>
          <w:szCs w:val="21"/>
        </w:rPr>
        <w:t>27.</w:t>
      </w:r>
      <w:r>
        <w:rPr>
          <w:rFonts w:hint="eastAsia" w:ascii="宋体" w:hAnsi="宋体" w:cs="宋体"/>
          <w:b/>
          <w:szCs w:val="21"/>
        </w:rPr>
        <w:t xml:space="preserve"> </w:t>
      </w:r>
      <w:r>
        <w:rPr>
          <w:rFonts w:hint="eastAsia" w:ascii="宋体" w:hAnsi="宋体" w:cs="宋体"/>
          <w:b/>
          <w:bCs/>
          <w:szCs w:val="21"/>
        </w:rPr>
        <w:t>资格审查</w:t>
      </w:r>
    </w:p>
    <w:p w14:paraId="7B28987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27.1开标结束后，采购人及采购代理机构将依法对投标人的资格进行审查。</w:t>
      </w:r>
    </w:p>
    <w:p w14:paraId="0646E36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27.2在资格审查时，采购人及采购代理机构将对投标人信用记录进行甄别。</w:t>
      </w:r>
    </w:p>
    <w:p w14:paraId="6879BFB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（1）信用信息查询的查询内容：本章第3.3款第（4）项规定；</w:t>
      </w:r>
    </w:p>
    <w:p w14:paraId="5B1D72F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（2）信用信息查询的查询渠道：信用中国网站（www.creditchina.gov.cn）、中国政府采购网（www.ccgp.gov.cn）、湖南信用网（www.hncredit.gov.cn）和湖南省政府采购网（</w:t>
      </w:r>
      <w:r>
        <w:fldChar w:fldCharType="begin"/>
      </w:r>
      <w:r>
        <w:instrText xml:space="preserve"> HYPERLINK "http://www.ccgp-hunan.gov.cn" </w:instrText>
      </w:r>
      <w:r>
        <w:fldChar w:fldCharType="separate"/>
      </w:r>
      <w:r>
        <w:rPr>
          <w:rFonts w:hint="eastAsia" w:ascii="宋体" w:hAnsi="宋体" w:cs="宋体"/>
        </w:rPr>
        <w:t>www.ccgp-hunan.gov.cn</w:t>
      </w:r>
      <w:r>
        <w:rPr>
          <w:rFonts w:hint="eastAsia" w:ascii="宋体" w:hAnsi="宋体" w:cs="宋体"/>
        </w:rPr>
        <w:fldChar w:fldCharType="end"/>
      </w:r>
      <w:r>
        <w:rPr>
          <w:rFonts w:hint="eastAsia" w:ascii="宋体" w:hAnsi="宋体" w:cs="宋体"/>
          <w:szCs w:val="21"/>
        </w:rPr>
        <w:t>）；</w:t>
      </w:r>
    </w:p>
    <w:p w14:paraId="5E2B276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（3）信用信息查询的截止时点：提交投标文件的截止时间；</w:t>
      </w:r>
    </w:p>
    <w:p w14:paraId="042A1165">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6D7F287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（5）信用信息查询记录和证据留存具体方式：查询结果网页截图作为查询记录和证据，与其他采购文件一并保存。</w:t>
      </w:r>
    </w:p>
    <w:p w14:paraId="4AA9B99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27.3投标文件属下列情况之一的，投标无效：</w:t>
      </w:r>
    </w:p>
    <w:p w14:paraId="5D45550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（1）不符合本章第3条投标人的资格要求的；</w:t>
      </w:r>
    </w:p>
    <w:p w14:paraId="6E382138">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（2）联合体没有提交联合体协议书，或未提交联合体各方资格证明文件的；（本项目不适用）</w:t>
      </w:r>
    </w:p>
    <w:p w14:paraId="220431C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w:t>
      </w:r>
      <w:r>
        <w:rPr>
          <w:rFonts w:hint="eastAsia" w:ascii="宋体" w:hAnsi="宋体" w:cs="宋体"/>
          <w:bCs/>
          <w:szCs w:val="21"/>
        </w:rPr>
        <w:t>未按招标文件要求提交资格证明文件或</w:t>
      </w:r>
      <w:r>
        <w:rPr>
          <w:rFonts w:hint="eastAsia" w:ascii="宋体" w:hAnsi="宋体" w:cs="宋体"/>
          <w:szCs w:val="21"/>
        </w:rPr>
        <w:t>投标文件中资格证明文件未按照招标文件要求签署、盖章的；</w:t>
      </w:r>
    </w:p>
    <w:p w14:paraId="0B471BA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（4）应缴未缴投标保证金或金额不足、投标保证金缴纳形式不符合招标文件要求的。（本项目不适用）</w:t>
      </w:r>
    </w:p>
    <w:p w14:paraId="450867F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（5）不符合法律、法规和招标文件规定的其他投标无效情形的。</w:t>
      </w:r>
    </w:p>
    <w:p w14:paraId="0342E23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27.4对未通过资格审查的投标人，采购人及采购代理机构应当告知其未通过的原因。</w:t>
      </w:r>
    </w:p>
    <w:p w14:paraId="7A82BE5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27.5合格投标人不足3家的，不得进入评标环节。</w:t>
      </w:r>
    </w:p>
    <w:p w14:paraId="4AC702B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27.6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3B226EAA">
      <w:pPr>
        <w:adjustRightInd w:val="0"/>
        <w:snapToGrid w:val="0"/>
        <w:spacing w:line="360" w:lineRule="auto"/>
        <w:jc w:val="left"/>
        <w:rPr>
          <w:rFonts w:ascii="宋体" w:hAnsi="宋体" w:cs="宋体"/>
          <w:b/>
          <w:szCs w:val="21"/>
        </w:rPr>
      </w:pPr>
      <w:r>
        <w:rPr>
          <w:rFonts w:hint="eastAsia" w:ascii="宋体" w:hAnsi="宋体" w:cs="宋体"/>
          <w:b/>
          <w:bCs/>
          <w:szCs w:val="21"/>
        </w:rPr>
        <w:t>28.</w:t>
      </w:r>
      <w:r>
        <w:rPr>
          <w:rFonts w:hint="eastAsia" w:ascii="宋体" w:hAnsi="宋体" w:cs="宋体"/>
          <w:b/>
          <w:szCs w:val="21"/>
        </w:rPr>
        <w:t xml:space="preserve"> 评标委员会</w:t>
      </w:r>
    </w:p>
    <w:p w14:paraId="2A2475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28.1评标由依法组建的评标委员会负责，评标委员会由采购人代表和评审专家组成。</w:t>
      </w:r>
    </w:p>
    <w:p w14:paraId="6545584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28.2评标委员会成员有下列情形之一的，应当回避：</w:t>
      </w:r>
    </w:p>
    <w:p w14:paraId="7AEE220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（1）参加采购活动前3年内与投标人存在劳动关系；</w:t>
      </w:r>
    </w:p>
    <w:p w14:paraId="46838E2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（2）参加采购活动前3年内担任投标人的董事、监事；</w:t>
      </w:r>
    </w:p>
    <w:p w14:paraId="55D6DA7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（3）参加采购活动前3年内是投标人的控股股东或者实际控制人；</w:t>
      </w:r>
    </w:p>
    <w:p w14:paraId="4033081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（4）与投标人的法定代表人或者负责人有夫妻、直系血亲、三代以内旁系血亲或者近姻亲关系；</w:t>
      </w:r>
    </w:p>
    <w:p w14:paraId="5F2ACEE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（5）与投标人有其他可能影响政府采购活动公平、公正进行的关系。</w:t>
      </w:r>
    </w:p>
    <w:p w14:paraId="13BD2805">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28.3评标委员会负责具体评标事务，并独立履行下列职责：</w:t>
      </w:r>
    </w:p>
    <w:p w14:paraId="52C8855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（1）审查、评价投标文件是否符合招标文件的商务、技术等实质性要求；</w:t>
      </w:r>
    </w:p>
    <w:p w14:paraId="3412703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（2）要求投标人对投标文件有关事项作出澄清或者说明；</w:t>
      </w:r>
    </w:p>
    <w:p w14:paraId="360939A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（3）对投标文件进行比较和评价；</w:t>
      </w:r>
    </w:p>
    <w:p w14:paraId="0557732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（4）确定中标候选人名单，以及根据采购人委托直接确定中标人。</w:t>
      </w:r>
    </w:p>
    <w:p w14:paraId="6D873820">
      <w:pPr>
        <w:adjustRightInd w:val="0"/>
        <w:snapToGrid w:val="0"/>
        <w:spacing w:line="360" w:lineRule="auto"/>
        <w:jc w:val="left"/>
        <w:rPr>
          <w:rFonts w:ascii="宋体" w:hAnsi="宋体" w:cs="宋体"/>
          <w:b/>
          <w:bCs/>
        </w:rPr>
      </w:pPr>
      <w:r>
        <w:rPr>
          <w:rFonts w:hint="eastAsia" w:ascii="宋体" w:hAnsi="宋体" w:cs="宋体"/>
          <w:b/>
          <w:szCs w:val="21"/>
        </w:rPr>
        <w:t>29.</w:t>
      </w:r>
      <w:r>
        <w:rPr>
          <w:rFonts w:hint="eastAsia" w:ascii="宋体" w:hAnsi="宋体" w:cs="宋体"/>
          <w:b/>
          <w:bCs/>
        </w:rPr>
        <w:t xml:space="preserve"> 评标</w:t>
      </w:r>
    </w:p>
    <w:p w14:paraId="2B422A18">
      <w:pPr>
        <w:adjustRightInd w:val="0"/>
        <w:snapToGrid w:val="0"/>
        <w:spacing w:line="360" w:lineRule="auto"/>
        <w:ind w:firstLine="420" w:firstLineChars="200"/>
        <w:jc w:val="left"/>
        <w:rPr>
          <w:rFonts w:ascii="宋体" w:hAnsi="宋体" w:cs="宋体"/>
        </w:rPr>
      </w:pPr>
      <w:r>
        <w:rPr>
          <w:rFonts w:hint="eastAsia" w:ascii="宋体" w:hAnsi="宋体" w:cs="宋体"/>
        </w:rPr>
        <w:t>29.1 评标委员会按照</w:t>
      </w:r>
      <w:r>
        <w:rPr>
          <w:rFonts w:hint="eastAsia" w:ascii="宋体" w:hAnsi="宋体" w:cs="宋体"/>
          <w:bCs/>
        </w:rPr>
        <w:t>第三章评标方法及标准</w:t>
      </w:r>
      <w:r>
        <w:rPr>
          <w:rFonts w:hint="eastAsia" w:ascii="宋体" w:hAnsi="宋体" w:cs="宋体"/>
        </w:rPr>
        <w:t>规定的评标方法、评审因素、标准和程序以及有关法律、法规及规章对投标文件进行评审。</w:t>
      </w:r>
    </w:p>
    <w:p w14:paraId="7160A210">
      <w:pPr>
        <w:spacing w:line="360" w:lineRule="auto"/>
        <w:rPr>
          <w:rFonts w:ascii="宋体" w:hAnsi="宋体" w:cs="宋体"/>
          <w:b/>
          <w:bCs/>
          <w:szCs w:val="21"/>
        </w:rPr>
      </w:pPr>
      <w:r>
        <w:rPr>
          <w:rFonts w:hint="eastAsia" w:ascii="宋体" w:hAnsi="宋体" w:cs="宋体"/>
          <w:b/>
          <w:bCs/>
          <w:szCs w:val="21"/>
        </w:rPr>
        <w:t>30.电子招投标的应急措施</w:t>
      </w:r>
    </w:p>
    <w:p w14:paraId="171AC877">
      <w:pPr>
        <w:adjustRightInd w:val="0"/>
        <w:snapToGrid w:val="0"/>
        <w:spacing w:line="360" w:lineRule="auto"/>
        <w:ind w:firstLine="420" w:firstLineChars="200"/>
        <w:jc w:val="center"/>
        <w:rPr>
          <w:rFonts w:ascii="宋体" w:hAnsi="宋体" w:cs="宋体"/>
        </w:rPr>
      </w:pPr>
      <w:r>
        <w:rPr>
          <w:rFonts w:hint="eastAsia" w:ascii="宋体" w:hAnsi="宋体" w:cs="宋体"/>
          <w:bCs/>
        </w:rPr>
        <w:t>在电子化政府采购交易过程中，如遇不可抗力及停电、系统故障等情况短时内无法恢复正常的，采购人应暂停开、评标等交易活动，并如实记录相关情况。待故障和问题解除后，恢复交易活动。</w:t>
      </w:r>
      <w:r>
        <w:rPr>
          <w:rFonts w:hint="eastAsia" w:ascii="宋体" w:hAnsi="宋体" w:cs="宋体"/>
        </w:rPr>
        <w:t xml:space="preserve">  </w:t>
      </w:r>
      <w:bookmarkStart w:id="74" w:name="_Toc4297"/>
    </w:p>
    <w:p w14:paraId="2378637E">
      <w:pPr>
        <w:adjustRightInd w:val="0"/>
        <w:snapToGrid w:val="0"/>
        <w:spacing w:line="360" w:lineRule="auto"/>
        <w:jc w:val="center"/>
        <w:outlineLvl w:val="0"/>
        <w:rPr>
          <w:rFonts w:ascii="宋体" w:hAnsi="宋体" w:cs="宋体"/>
          <w:b/>
          <w:bCs/>
          <w:sz w:val="28"/>
          <w:szCs w:val="36"/>
        </w:rPr>
      </w:pPr>
      <w:bookmarkStart w:id="75" w:name="_Toc11992"/>
      <w:r>
        <w:rPr>
          <w:rFonts w:hint="eastAsia" w:ascii="宋体" w:hAnsi="宋体" w:cs="宋体"/>
          <w:b/>
          <w:bCs/>
          <w:sz w:val="28"/>
          <w:szCs w:val="36"/>
        </w:rPr>
        <w:t>六、中标信息公布</w:t>
      </w:r>
      <w:bookmarkEnd w:id="74"/>
      <w:bookmarkEnd w:id="75"/>
    </w:p>
    <w:p w14:paraId="74DD2AA5">
      <w:pPr>
        <w:adjustRightInd w:val="0"/>
        <w:snapToGrid w:val="0"/>
        <w:spacing w:line="360" w:lineRule="auto"/>
        <w:jc w:val="left"/>
        <w:rPr>
          <w:rFonts w:ascii="宋体" w:hAnsi="宋体" w:cs="宋体"/>
          <w:b/>
          <w:bCs/>
          <w:szCs w:val="21"/>
        </w:rPr>
      </w:pPr>
      <w:r>
        <w:rPr>
          <w:rFonts w:hint="eastAsia" w:ascii="宋体" w:hAnsi="宋体" w:cs="宋体"/>
          <w:b/>
          <w:szCs w:val="21"/>
        </w:rPr>
        <w:t>31.</w:t>
      </w:r>
      <w:r>
        <w:rPr>
          <w:rFonts w:hint="eastAsia" w:ascii="宋体" w:hAnsi="宋体" w:cs="宋体"/>
        </w:rPr>
        <w:t xml:space="preserve"> </w:t>
      </w:r>
      <w:r>
        <w:rPr>
          <w:rFonts w:hint="eastAsia" w:ascii="宋体" w:hAnsi="宋体" w:cs="宋体"/>
          <w:b/>
          <w:bCs/>
          <w:szCs w:val="21"/>
        </w:rPr>
        <w:t>中标通知书与中标信息公布</w:t>
      </w:r>
    </w:p>
    <w:p w14:paraId="43DA52F8">
      <w:pPr>
        <w:adjustRightInd w:val="0"/>
        <w:snapToGrid w:val="0"/>
        <w:spacing w:line="360" w:lineRule="auto"/>
        <w:ind w:firstLine="420" w:firstLineChars="200"/>
        <w:jc w:val="left"/>
        <w:rPr>
          <w:rFonts w:ascii="宋体" w:hAnsi="宋体" w:cs="宋体"/>
          <w:bCs/>
        </w:rPr>
      </w:pPr>
      <w:r>
        <w:rPr>
          <w:rFonts w:hint="eastAsia" w:ascii="宋体" w:hAnsi="宋体" w:cs="宋体"/>
          <w:szCs w:val="21"/>
        </w:rPr>
        <w:t>31.1采购代理机构应当在评标结束后2个工作日内将</w:t>
      </w:r>
      <w:r>
        <w:rPr>
          <w:rFonts w:hint="eastAsia" w:ascii="宋体" w:hAnsi="宋体" w:cs="宋体"/>
          <w:bCs/>
        </w:rPr>
        <w:t>资格审查报告和评标报告送采购人。</w:t>
      </w:r>
    </w:p>
    <w:p w14:paraId="11AFE8ED">
      <w:pPr>
        <w:adjustRightInd w:val="0"/>
        <w:snapToGrid w:val="0"/>
        <w:spacing w:line="360" w:lineRule="auto"/>
        <w:ind w:firstLine="420" w:firstLineChars="200"/>
        <w:jc w:val="left"/>
        <w:rPr>
          <w:rFonts w:ascii="宋体" w:hAnsi="宋体" w:cs="宋体"/>
          <w:bCs/>
        </w:rPr>
      </w:pPr>
      <w:r>
        <w:rPr>
          <w:rFonts w:hint="eastAsia" w:ascii="宋体" w:hAnsi="宋体" w:cs="宋体"/>
          <w:bCs/>
        </w:rPr>
        <w:t>31.2采购人应当自收到资格审查报告和评标报告之日起５个工作日内，在评标报告确定的中标候选人名单中按顺序确定中标人。中标候选人并列的，由采购人或者采购人委托评标委员会按照【</w:t>
      </w:r>
      <w:r>
        <w:rPr>
          <w:rFonts w:hint="eastAsia" w:ascii="宋体" w:hAnsi="宋体" w:cs="宋体"/>
          <w:b/>
          <w:bCs/>
        </w:rPr>
        <w:t>投标须知前附表</w:t>
      </w:r>
      <w:r>
        <w:rPr>
          <w:rFonts w:hint="eastAsia" w:ascii="宋体" w:hAnsi="宋体" w:cs="宋体"/>
          <w:bCs/>
        </w:rPr>
        <w:t>】规定的方式确定中标人；招标文件未规定的，采取随机抽取的方式确定。</w:t>
      </w:r>
    </w:p>
    <w:p w14:paraId="06A2A89A">
      <w:pPr>
        <w:adjustRightInd w:val="0"/>
        <w:snapToGrid w:val="0"/>
        <w:spacing w:line="360" w:lineRule="auto"/>
        <w:ind w:firstLine="420" w:firstLineChars="200"/>
        <w:jc w:val="left"/>
        <w:rPr>
          <w:rFonts w:ascii="宋体" w:hAnsi="宋体" w:cs="宋体"/>
          <w:bCs/>
        </w:rPr>
      </w:pPr>
      <w:r>
        <w:rPr>
          <w:rFonts w:hint="eastAsia" w:ascii="宋体" w:hAnsi="宋体" w:cs="宋体"/>
          <w:bCs/>
        </w:rPr>
        <w:t>31.3采购代理机构应当自采购人确定中标投标人之日起2个工作日内，发出中标通知书，并在招标文件指定的媒体公告中标结果，招标文件随中标结果同时公告，中标结果公告期限为１个工作日。</w:t>
      </w:r>
    </w:p>
    <w:p w14:paraId="3D515EE8">
      <w:pPr>
        <w:adjustRightInd w:val="0"/>
        <w:snapToGrid w:val="0"/>
        <w:spacing w:line="360" w:lineRule="auto"/>
        <w:ind w:firstLine="420" w:firstLineChars="200"/>
        <w:jc w:val="left"/>
        <w:rPr>
          <w:rFonts w:ascii="宋体" w:hAnsi="宋体" w:cs="宋体"/>
          <w:bCs/>
        </w:rPr>
      </w:pPr>
      <w:r>
        <w:rPr>
          <w:rFonts w:hint="eastAsia" w:ascii="宋体" w:hAnsi="宋体" w:cs="宋体"/>
          <w:bCs/>
        </w:rPr>
        <w:t>31.4采用综合评分法评审的，还应当告知未中标人本人的评审得分与排序。</w:t>
      </w:r>
    </w:p>
    <w:p w14:paraId="214E61B2">
      <w:pPr>
        <w:adjustRightInd w:val="0"/>
        <w:snapToGrid w:val="0"/>
        <w:spacing w:line="360" w:lineRule="auto"/>
        <w:jc w:val="left"/>
        <w:rPr>
          <w:rFonts w:ascii="宋体" w:hAnsi="宋体" w:cs="宋体"/>
          <w:b/>
          <w:bCs/>
          <w:szCs w:val="21"/>
        </w:rPr>
      </w:pPr>
      <w:r>
        <w:rPr>
          <w:rFonts w:hint="eastAsia" w:ascii="宋体" w:hAnsi="宋体" w:cs="宋体"/>
          <w:b/>
          <w:bCs/>
        </w:rPr>
        <w:t>32.</w:t>
      </w:r>
      <w:r>
        <w:rPr>
          <w:rFonts w:hint="eastAsia" w:ascii="宋体" w:hAnsi="宋体" w:cs="宋体"/>
          <w:b/>
          <w:szCs w:val="21"/>
        </w:rPr>
        <w:t xml:space="preserve"> 投标人询问及</w:t>
      </w:r>
      <w:r>
        <w:rPr>
          <w:rFonts w:hint="eastAsia" w:ascii="宋体" w:hAnsi="宋体" w:cs="宋体"/>
          <w:b/>
          <w:bCs/>
          <w:szCs w:val="21"/>
        </w:rPr>
        <w:t>质疑</w:t>
      </w:r>
    </w:p>
    <w:p w14:paraId="0CA31EB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32.1投标人对政府采购活动事项有疑问的，可以向采购人或采购代理机构提出询问。采购人或采购代理机构将在3个工作日内作出答复。</w:t>
      </w:r>
    </w:p>
    <w:p w14:paraId="541E0B8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32.2投标人认为招标文件、采购过程和中标结果使自己的权益受到损害的，可以在知道或者应知其权益受到损害之日起7个工作日内，以书面形式向采购人提出质疑。</w:t>
      </w:r>
    </w:p>
    <w:p w14:paraId="18243FB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32.3本章第32.2款所称投标人应知其权益受到损害之日，是指：</w:t>
      </w:r>
    </w:p>
    <w:p w14:paraId="6D602A1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（1）对可以质疑的招标文件提出质疑的，为收到招标文件之日或者招标公告期限届满之日；</w:t>
      </w:r>
    </w:p>
    <w:p w14:paraId="6166128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（2）对采购过程提出质疑的，为各采购程序环节结束之日；</w:t>
      </w:r>
    </w:p>
    <w:p w14:paraId="0878DFC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（3）对中标结果提出质疑的，为中标结果公告期限届满之日。</w:t>
      </w:r>
    </w:p>
    <w:p w14:paraId="1AE076A1">
      <w:pPr>
        <w:adjustRightInd w:val="0"/>
        <w:snapToGrid w:val="0"/>
        <w:spacing w:line="360" w:lineRule="auto"/>
        <w:ind w:firstLine="420" w:firstLineChars="200"/>
        <w:jc w:val="left"/>
        <w:rPr>
          <w:rFonts w:ascii="宋体" w:hAnsi="宋体" w:cs="宋体"/>
        </w:rPr>
      </w:pPr>
      <w:r>
        <w:rPr>
          <w:rFonts w:hint="eastAsia" w:ascii="宋体" w:hAnsi="宋体" w:cs="宋体"/>
        </w:rPr>
        <w:t>32.4投标人提出质疑的，应提供质疑书原件。采购人或采购代理机构应当向质疑投标人签收回执。</w:t>
      </w:r>
    </w:p>
    <w:p w14:paraId="16A53F76">
      <w:pPr>
        <w:adjustRightInd w:val="0"/>
        <w:snapToGrid w:val="0"/>
        <w:spacing w:line="360" w:lineRule="auto"/>
        <w:ind w:firstLine="420" w:firstLineChars="200"/>
        <w:jc w:val="left"/>
        <w:rPr>
          <w:rFonts w:ascii="宋体" w:hAnsi="宋体" w:cs="宋体"/>
        </w:rPr>
      </w:pPr>
      <w:r>
        <w:rPr>
          <w:rFonts w:hint="eastAsia" w:ascii="宋体" w:hAnsi="宋体" w:cs="宋体"/>
        </w:rPr>
        <w:t>32.5质疑书应当包括下列内容：</w:t>
      </w:r>
    </w:p>
    <w:p w14:paraId="15A2FF6F">
      <w:pPr>
        <w:adjustRightInd w:val="0"/>
        <w:snapToGrid w:val="0"/>
        <w:spacing w:line="360" w:lineRule="auto"/>
        <w:ind w:firstLine="420" w:firstLineChars="200"/>
        <w:jc w:val="left"/>
        <w:rPr>
          <w:rFonts w:ascii="宋体" w:hAnsi="宋体" w:cs="宋体"/>
        </w:rPr>
      </w:pPr>
      <w:r>
        <w:rPr>
          <w:rFonts w:hint="eastAsia" w:ascii="宋体" w:hAnsi="宋体" w:cs="宋体"/>
        </w:rPr>
        <w:t>（1）质疑投标人的名称、地址及有效联系方式；</w:t>
      </w:r>
    </w:p>
    <w:p w14:paraId="1BBF4C21">
      <w:pPr>
        <w:adjustRightInd w:val="0"/>
        <w:snapToGrid w:val="0"/>
        <w:spacing w:line="360" w:lineRule="auto"/>
        <w:ind w:firstLine="420" w:firstLineChars="200"/>
        <w:jc w:val="left"/>
        <w:rPr>
          <w:rFonts w:ascii="宋体" w:hAnsi="宋体" w:cs="宋体"/>
        </w:rPr>
      </w:pPr>
      <w:r>
        <w:rPr>
          <w:rFonts w:hint="eastAsia" w:ascii="宋体" w:hAnsi="宋体" w:cs="宋体"/>
        </w:rPr>
        <w:t>（2）质疑事项；</w:t>
      </w:r>
    </w:p>
    <w:p w14:paraId="7DF6B5C3">
      <w:pPr>
        <w:adjustRightInd w:val="0"/>
        <w:snapToGrid w:val="0"/>
        <w:spacing w:line="360" w:lineRule="auto"/>
        <w:ind w:firstLine="420" w:firstLineChars="200"/>
        <w:jc w:val="left"/>
        <w:rPr>
          <w:rFonts w:ascii="宋体" w:hAnsi="宋体" w:cs="宋体"/>
        </w:rPr>
      </w:pPr>
      <w:r>
        <w:rPr>
          <w:rFonts w:hint="eastAsia" w:ascii="宋体" w:hAnsi="宋体" w:cs="宋体"/>
        </w:rPr>
        <w:t>（3）事实依据及相关证明材料；</w:t>
      </w:r>
    </w:p>
    <w:p w14:paraId="3498DB15">
      <w:pPr>
        <w:adjustRightInd w:val="0"/>
        <w:snapToGrid w:val="0"/>
        <w:spacing w:line="360" w:lineRule="auto"/>
        <w:ind w:firstLine="420" w:firstLineChars="200"/>
        <w:jc w:val="left"/>
        <w:rPr>
          <w:rFonts w:ascii="宋体" w:hAnsi="宋体" w:cs="宋体"/>
        </w:rPr>
      </w:pPr>
      <w:r>
        <w:rPr>
          <w:rFonts w:hint="eastAsia" w:ascii="宋体" w:hAnsi="宋体" w:cs="宋体"/>
        </w:rPr>
        <w:t>（4）相关请求及主张。</w:t>
      </w:r>
    </w:p>
    <w:p w14:paraId="043BFA71">
      <w:pPr>
        <w:adjustRightInd w:val="0"/>
        <w:snapToGrid w:val="0"/>
        <w:spacing w:line="360" w:lineRule="auto"/>
        <w:ind w:firstLine="420" w:firstLineChars="200"/>
        <w:jc w:val="left"/>
        <w:rPr>
          <w:rFonts w:ascii="宋体" w:hAnsi="宋体" w:cs="宋体"/>
        </w:rPr>
      </w:pPr>
      <w:r>
        <w:rPr>
          <w:rFonts w:hint="eastAsia" w:ascii="宋体" w:hAnsi="宋体" w:cs="宋体"/>
          <w:szCs w:val="21"/>
        </w:rPr>
        <w:t>32.6</w:t>
      </w:r>
      <w:r>
        <w:rPr>
          <w:rFonts w:hint="eastAsia" w:ascii="宋体" w:hAnsi="宋体" w:cs="宋体"/>
        </w:rPr>
        <w:t>质疑书应当由投标人法定代表人（或负责人）或其授权的代理人签字并加盖投标人单位章。质疑书由授权代理人签字的应附投标人法定代表人（或负责人）委托授权书。</w:t>
      </w:r>
    </w:p>
    <w:p w14:paraId="496890B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32.7采购人或采购代理机构将在签收回执之日起7个工作日内作出书面答复，并以书面形式通知质疑投标人和其他有关的投标人。</w:t>
      </w:r>
    </w:p>
    <w:p w14:paraId="43C4327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32.8投标人对采购人或采购代理机构的答复不满意，或采购人或采购代理机构未在规定的期限作出答复的，可在答复期满后15个工作日内，按政府采购相关法律法规规章的规定及程序，向同级财政部门提出投诉。</w:t>
      </w:r>
    </w:p>
    <w:p w14:paraId="40A3987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32.9投标人提出质疑的，应提供质疑函原件，并应以直接送达（专人送达）或邮寄送达。接收质疑函的联系部门、联系电话和通讯地址见【投标须知前附表】。采购人或采购代理机构不接受电子送达（传真、电子邮件、微信等）。采购人或采购代理机构应当向质疑供应商签收回执。</w:t>
      </w:r>
    </w:p>
    <w:p w14:paraId="4DFF19D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    32.10以联合体形式参加政府采购活动的，联合体组成后提出的质疑事项应当由组成联合体的所有供应商共同提出。</w:t>
      </w:r>
    </w:p>
    <w:p w14:paraId="51A44CD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    32.11质疑函按中国政府采购网（www.ccgp.gov.cn）“下载专区”的“政府采购供应质疑函范本”和“质疑函制作说明”制作。</w:t>
      </w:r>
    </w:p>
    <w:p w14:paraId="5B01F2AE">
      <w:pPr>
        <w:jc w:val="center"/>
        <w:outlineLvl w:val="0"/>
        <w:rPr>
          <w:rFonts w:ascii="宋体" w:hAnsi="宋体" w:cs="宋体"/>
          <w:b/>
          <w:bCs/>
          <w:sz w:val="28"/>
          <w:szCs w:val="36"/>
        </w:rPr>
      </w:pPr>
      <w:bookmarkStart w:id="76" w:name="_Toc18050"/>
      <w:bookmarkStart w:id="77" w:name="_Toc22175"/>
      <w:r>
        <w:rPr>
          <w:rFonts w:hint="eastAsia" w:ascii="宋体" w:hAnsi="宋体" w:cs="宋体"/>
          <w:b/>
          <w:bCs/>
          <w:sz w:val="28"/>
          <w:szCs w:val="36"/>
        </w:rPr>
        <w:t>七、合同签订</w:t>
      </w:r>
      <w:bookmarkEnd w:id="76"/>
      <w:bookmarkEnd w:id="77"/>
    </w:p>
    <w:p w14:paraId="19B86B05">
      <w:pPr>
        <w:adjustRightInd w:val="0"/>
        <w:snapToGrid w:val="0"/>
        <w:spacing w:line="360" w:lineRule="auto"/>
        <w:jc w:val="left"/>
        <w:rPr>
          <w:rFonts w:ascii="宋体" w:hAnsi="宋体" w:cs="宋体"/>
          <w:b/>
          <w:bCs/>
          <w:szCs w:val="21"/>
        </w:rPr>
      </w:pPr>
      <w:r>
        <w:rPr>
          <w:rFonts w:hint="eastAsia" w:ascii="宋体" w:hAnsi="宋体" w:cs="宋体"/>
          <w:b/>
          <w:bCs/>
        </w:rPr>
        <w:t>33.</w:t>
      </w:r>
      <w:r>
        <w:rPr>
          <w:rFonts w:hint="eastAsia" w:ascii="宋体" w:hAnsi="宋体" w:cs="宋体"/>
          <w:b/>
          <w:bCs/>
          <w:szCs w:val="21"/>
        </w:rPr>
        <w:t xml:space="preserve"> 签订合同</w:t>
      </w:r>
    </w:p>
    <w:p w14:paraId="5DC20B8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33.1 采购人应自中标通知书发出之日起30日内，按中标通知书指定的时间、地点与中标人签订政府采购合同。所签订的合同不得对招标文件确定的事项和中标人投标文件作实质性修改。</w:t>
      </w:r>
    </w:p>
    <w:p w14:paraId="279857C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33.2 招标文件、中标人的投标文件均为签订合同的依据。</w:t>
      </w:r>
    </w:p>
    <w:p w14:paraId="14A75682">
      <w:pPr>
        <w:adjustRightInd w:val="0"/>
        <w:snapToGrid w:val="0"/>
        <w:spacing w:line="360" w:lineRule="auto"/>
        <w:ind w:firstLine="420" w:firstLineChars="200"/>
        <w:jc w:val="left"/>
        <w:rPr>
          <w:rFonts w:ascii="宋体" w:hAnsi="宋体" w:cs="宋体"/>
        </w:rPr>
      </w:pPr>
      <w:r>
        <w:rPr>
          <w:rFonts w:hint="eastAsia" w:ascii="宋体" w:hAnsi="宋体" w:cs="宋体"/>
          <w:kern w:val="0"/>
          <w:szCs w:val="21"/>
        </w:rPr>
        <w:t xml:space="preserve">33.3 </w:t>
      </w:r>
      <w:r>
        <w:rPr>
          <w:rFonts w:hint="eastAsia" w:ascii="宋体" w:hAnsi="宋体" w:cs="宋体"/>
        </w:rPr>
        <w:t>联合体中标的，联合体各方应当共同与采购人签订合同，就中标项目向采购人承担连带责任。</w:t>
      </w:r>
    </w:p>
    <w:p w14:paraId="5FEFDF24">
      <w:pPr>
        <w:adjustRightInd w:val="0"/>
        <w:snapToGrid w:val="0"/>
        <w:spacing w:line="360" w:lineRule="auto"/>
        <w:ind w:firstLine="420" w:firstLineChars="200"/>
        <w:jc w:val="left"/>
        <w:rPr>
          <w:rFonts w:ascii="宋体" w:hAnsi="宋体" w:cs="宋体"/>
        </w:rPr>
      </w:pPr>
      <w:r>
        <w:rPr>
          <w:rFonts w:hint="eastAsia" w:ascii="宋体" w:hAnsi="宋体" w:cs="宋体"/>
        </w:rPr>
        <w:t>33.4中标合同将在招标文件指定的媒体上公告，但合同中涉及国家秘密、商业秘密的内容除外。</w:t>
      </w:r>
    </w:p>
    <w:p w14:paraId="73DBCA44">
      <w:pPr>
        <w:adjustRightInd w:val="0"/>
        <w:snapToGrid w:val="0"/>
        <w:spacing w:line="360" w:lineRule="auto"/>
        <w:ind w:firstLine="420" w:firstLineChars="200"/>
        <w:jc w:val="left"/>
        <w:rPr>
          <w:rFonts w:ascii="宋体" w:hAnsi="宋体" w:cs="宋体"/>
        </w:rPr>
      </w:pPr>
      <w:r>
        <w:rPr>
          <w:rFonts w:hint="eastAsia" w:ascii="宋体" w:hAnsi="宋体" w:cs="宋体"/>
        </w:rPr>
        <w:t>33.5 中标人应当按照合同约定依法履行合同义务。政府采购合同的履行、违约责任和解决争议的方法等适用《中华人民共和国合同法》。</w:t>
      </w:r>
    </w:p>
    <w:p w14:paraId="0EFBB183">
      <w:pPr>
        <w:adjustRightInd w:val="0"/>
        <w:snapToGrid w:val="0"/>
        <w:spacing w:line="360" w:lineRule="auto"/>
        <w:jc w:val="left"/>
        <w:rPr>
          <w:rFonts w:ascii="宋体" w:hAnsi="宋体" w:cs="宋体"/>
          <w:b/>
          <w:kern w:val="0"/>
          <w:szCs w:val="21"/>
        </w:rPr>
      </w:pPr>
      <w:r>
        <w:rPr>
          <w:rFonts w:hint="eastAsia" w:ascii="宋体" w:hAnsi="宋体" w:cs="宋体"/>
          <w:b/>
          <w:bCs/>
          <w:szCs w:val="21"/>
        </w:rPr>
        <w:t>34.</w:t>
      </w:r>
      <w:r>
        <w:rPr>
          <w:rFonts w:hint="eastAsia" w:ascii="宋体" w:hAnsi="宋体" w:cs="宋体"/>
          <w:b/>
          <w:kern w:val="0"/>
          <w:szCs w:val="21"/>
        </w:rPr>
        <w:t xml:space="preserve"> 履约担保</w:t>
      </w:r>
    </w:p>
    <w:p w14:paraId="47CC1287">
      <w:pPr>
        <w:adjustRightInd w:val="0"/>
        <w:snapToGrid w:val="0"/>
        <w:spacing w:line="360" w:lineRule="auto"/>
        <w:ind w:firstLine="420" w:firstLineChars="200"/>
        <w:jc w:val="left"/>
        <w:rPr>
          <w:rFonts w:ascii="宋体" w:hAnsi="宋体" w:cs="宋体"/>
          <w:szCs w:val="21"/>
        </w:rPr>
      </w:pPr>
      <w:r>
        <w:rPr>
          <w:rFonts w:hint="eastAsia" w:ascii="宋体" w:hAnsi="宋体" w:cs="宋体"/>
          <w:kern w:val="0"/>
          <w:szCs w:val="21"/>
        </w:rPr>
        <w:t>34.1</w:t>
      </w:r>
      <w:r>
        <w:rPr>
          <w:rFonts w:hint="eastAsia" w:ascii="宋体" w:hAnsi="宋体" w:cs="宋体"/>
          <w:szCs w:val="21"/>
        </w:rPr>
        <w:t>中标人在收到采购代理机构的《中标通知书》后10日内，需向采购人提交履约担保的，应按照</w:t>
      </w:r>
      <w:r>
        <w:rPr>
          <w:rFonts w:hint="eastAsia" w:ascii="宋体" w:hAnsi="宋体" w:cs="宋体"/>
          <w:b/>
          <w:szCs w:val="21"/>
        </w:rPr>
        <w:t>【投标须知前附表】</w:t>
      </w:r>
      <w:r>
        <w:rPr>
          <w:rFonts w:hint="eastAsia" w:ascii="宋体" w:hAnsi="宋体" w:cs="宋体"/>
          <w:szCs w:val="21"/>
        </w:rPr>
        <w:t>的规定提交。联合体中标的，履约担保由联合体各方或联合体中牵头人的名义提交。</w:t>
      </w:r>
    </w:p>
    <w:p w14:paraId="5F8230C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34.2 中标人</w:t>
      </w:r>
      <w:r>
        <w:rPr>
          <w:rFonts w:hint="eastAsia" w:ascii="宋体" w:hAnsi="宋体" w:cs="宋体"/>
          <w:spacing w:val="4"/>
          <w:szCs w:val="21"/>
        </w:rPr>
        <w:t>没有按照本章第34.1</w:t>
      </w:r>
      <w:r>
        <w:rPr>
          <w:rFonts w:hint="eastAsia" w:ascii="宋体" w:hAnsi="宋体" w:cs="宋体"/>
          <w:kern w:val="0"/>
          <w:szCs w:val="21"/>
          <w:lang w:val="zh-CN"/>
        </w:rPr>
        <w:t>款</w:t>
      </w:r>
      <w:r>
        <w:rPr>
          <w:rFonts w:hint="eastAsia" w:ascii="宋体" w:hAnsi="宋体" w:cs="宋体"/>
          <w:spacing w:val="4"/>
          <w:szCs w:val="21"/>
        </w:rPr>
        <w:t>规定</w:t>
      </w:r>
      <w:r>
        <w:rPr>
          <w:rFonts w:hint="eastAsia" w:ascii="宋体" w:hAnsi="宋体" w:cs="宋体"/>
          <w:szCs w:val="21"/>
        </w:rPr>
        <w:t>提交履约担保的</w:t>
      </w:r>
      <w:r>
        <w:rPr>
          <w:rFonts w:hint="eastAsia" w:ascii="宋体" w:hAnsi="宋体" w:cs="宋体"/>
          <w:spacing w:val="4"/>
          <w:szCs w:val="21"/>
        </w:rPr>
        <w:t>，视为放弃中标，</w:t>
      </w:r>
      <w:r>
        <w:rPr>
          <w:rFonts w:hint="eastAsia" w:ascii="宋体" w:hAnsi="宋体" w:cs="宋体"/>
          <w:spacing w:val="2"/>
          <w:szCs w:val="21"/>
        </w:rPr>
        <w:t>其投标保证金不予退还。</w:t>
      </w:r>
    </w:p>
    <w:p w14:paraId="7A36C744">
      <w:pPr>
        <w:adjustRightInd w:val="0"/>
        <w:snapToGrid w:val="0"/>
        <w:spacing w:line="360" w:lineRule="auto"/>
        <w:jc w:val="left"/>
        <w:rPr>
          <w:rFonts w:ascii="宋体" w:hAnsi="宋体" w:cs="宋体"/>
          <w:b/>
          <w:bCs/>
          <w:szCs w:val="21"/>
        </w:rPr>
      </w:pPr>
      <w:r>
        <w:rPr>
          <w:rFonts w:hint="eastAsia" w:ascii="宋体" w:hAnsi="宋体" w:cs="宋体"/>
          <w:b/>
          <w:bCs/>
          <w:szCs w:val="21"/>
        </w:rPr>
        <w:t>35.</w:t>
      </w:r>
      <w:r>
        <w:rPr>
          <w:rFonts w:hint="eastAsia" w:ascii="宋体" w:hAnsi="宋体" w:cs="宋体"/>
          <w:b/>
          <w:szCs w:val="21"/>
        </w:rPr>
        <w:t xml:space="preserve"> 政府采购合同履行中</w:t>
      </w:r>
      <w:r>
        <w:rPr>
          <w:rFonts w:hint="eastAsia" w:ascii="宋体" w:hAnsi="宋体" w:cs="宋体"/>
          <w:b/>
          <w:bCs/>
          <w:szCs w:val="21"/>
        </w:rPr>
        <w:t>数量的变更</w:t>
      </w:r>
    </w:p>
    <w:p w14:paraId="26334C6E">
      <w:pPr>
        <w:adjustRightInd w:val="0"/>
        <w:snapToGrid w:val="0"/>
        <w:spacing w:line="360" w:lineRule="auto"/>
        <w:ind w:firstLine="420" w:firstLineChars="200"/>
        <w:jc w:val="left"/>
        <w:rPr>
          <w:rFonts w:ascii="宋体" w:hAnsi="宋体" w:cs="宋体"/>
          <w:sz w:val="28"/>
          <w:szCs w:val="28"/>
        </w:rPr>
      </w:pPr>
      <w:r>
        <w:rPr>
          <w:rFonts w:hint="eastAsia" w:ascii="宋体" w:hAnsi="宋体" w:cs="宋体"/>
        </w:rPr>
        <w:t>35.1政府采购合同履行中，采购人需追加与合同标的相同的货物服务的，在不改变合同其他条款的前提下，可以与中标人协商签订补充合同，但所有补充合同的采购金额不得超过原合同采购金额的百分之十。</w:t>
      </w:r>
    </w:p>
    <w:p w14:paraId="05B57112">
      <w:pPr>
        <w:adjustRightInd w:val="0"/>
        <w:snapToGrid w:val="0"/>
        <w:spacing w:line="360" w:lineRule="auto"/>
        <w:jc w:val="center"/>
        <w:outlineLvl w:val="0"/>
        <w:rPr>
          <w:rFonts w:ascii="宋体" w:hAnsi="宋体" w:cs="宋体"/>
          <w:b/>
          <w:sz w:val="28"/>
          <w:szCs w:val="28"/>
        </w:rPr>
      </w:pPr>
      <w:bookmarkStart w:id="78" w:name="_Toc23217"/>
      <w:bookmarkStart w:id="79" w:name="_Toc483"/>
      <w:r>
        <w:rPr>
          <w:rFonts w:hint="eastAsia" w:ascii="宋体" w:hAnsi="宋体" w:cs="宋体"/>
          <w:b/>
          <w:sz w:val="28"/>
          <w:szCs w:val="28"/>
        </w:rPr>
        <w:t>八、其他规定</w:t>
      </w:r>
      <w:bookmarkEnd w:id="78"/>
      <w:bookmarkEnd w:id="79"/>
    </w:p>
    <w:p w14:paraId="0E4CD9C5">
      <w:pPr>
        <w:adjustRightInd w:val="0"/>
        <w:snapToGrid w:val="0"/>
        <w:spacing w:line="360" w:lineRule="auto"/>
        <w:jc w:val="left"/>
        <w:rPr>
          <w:rFonts w:ascii="宋体" w:hAnsi="宋体" w:cs="宋体"/>
          <w:b/>
          <w:szCs w:val="21"/>
        </w:rPr>
      </w:pPr>
      <w:r>
        <w:rPr>
          <w:rFonts w:hint="eastAsia" w:ascii="宋体" w:hAnsi="宋体" w:cs="宋体"/>
          <w:b/>
          <w:bCs/>
          <w:szCs w:val="21"/>
        </w:rPr>
        <w:t>36.</w:t>
      </w:r>
      <w:r>
        <w:rPr>
          <w:rFonts w:hint="eastAsia" w:ascii="宋体" w:hAnsi="宋体" w:cs="宋体"/>
        </w:rPr>
        <w:t xml:space="preserve"> </w:t>
      </w:r>
      <w:r>
        <w:rPr>
          <w:rFonts w:hint="eastAsia" w:ascii="宋体" w:hAnsi="宋体" w:cs="宋体"/>
          <w:b/>
          <w:szCs w:val="21"/>
        </w:rPr>
        <w:t>政府采购政策</w:t>
      </w:r>
    </w:p>
    <w:p w14:paraId="350E8EE8">
      <w:pPr>
        <w:adjustRightInd w:val="0"/>
        <w:snapToGrid w:val="0"/>
        <w:spacing w:line="360" w:lineRule="auto"/>
        <w:ind w:firstLine="420" w:firstLineChars="200"/>
        <w:jc w:val="left"/>
        <w:rPr>
          <w:rFonts w:ascii="宋体" w:hAnsi="宋体" w:cs="宋体"/>
        </w:rPr>
      </w:pPr>
      <w:r>
        <w:rPr>
          <w:rFonts w:hint="eastAsia" w:ascii="宋体" w:hAnsi="宋体" w:cs="宋体"/>
        </w:rPr>
        <w:t>36.1强制采购：对列入财政部、国家发展改革委发布</w:t>
      </w:r>
      <w:r>
        <w:rPr>
          <w:rFonts w:hint="eastAsia" w:ascii="宋体" w:hAnsi="宋体" w:cs="宋体"/>
          <w:szCs w:val="21"/>
        </w:rPr>
        <w:t>《节能产品政府采购品目清单》</w:t>
      </w:r>
      <w:r>
        <w:rPr>
          <w:rFonts w:hint="eastAsia" w:ascii="宋体" w:hAnsi="宋体" w:cs="宋体"/>
        </w:rPr>
        <w:t>且属于应当强制采购的节能产品，按其规定实行强制采购。</w:t>
      </w:r>
    </w:p>
    <w:p w14:paraId="00D277D2">
      <w:pPr>
        <w:adjustRightInd w:val="0"/>
        <w:snapToGrid w:val="0"/>
        <w:spacing w:line="360" w:lineRule="auto"/>
        <w:ind w:firstLine="420" w:firstLineChars="200"/>
        <w:jc w:val="left"/>
        <w:rPr>
          <w:rFonts w:ascii="宋体" w:hAnsi="宋体" w:cs="宋体"/>
        </w:rPr>
      </w:pPr>
      <w:r>
        <w:rPr>
          <w:rFonts w:hint="eastAsia" w:ascii="宋体" w:hAnsi="宋体" w:cs="宋体"/>
        </w:rPr>
        <w:t>36.2优先采购：对列入财政部、国家发展改革委发布的</w:t>
      </w:r>
      <w:r>
        <w:rPr>
          <w:rFonts w:hint="eastAsia" w:ascii="宋体" w:hAnsi="宋体" w:cs="宋体"/>
          <w:szCs w:val="21"/>
        </w:rPr>
        <w:t>《节能产品政府采购品目清单》</w:t>
      </w:r>
      <w:r>
        <w:rPr>
          <w:rFonts w:hint="eastAsia" w:ascii="宋体" w:hAnsi="宋体" w:cs="宋体"/>
        </w:rPr>
        <w:t>》的非强制采购节能产品，财政部、环境保护部发布的</w:t>
      </w:r>
      <w:r>
        <w:rPr>
          <w:rFonts w:hint="eastAsia" w:ascii="宋体" w:hAnsi="宋体" w:cs="宋体"/>
          <w:szCs w:val="21"/>
        </w:rPr>
        <w:t>《环境标志产品政府采购品目清单》</w:t>
      </w:r>
      <w:r>
        <w:rPr>
          <w:rFonts w:hint="eastAsia" w:ascii="宋体" w:hAnsi="宋体" w:cs="宋体"/>
        </w:rPr>
        <w:t>的环境标志产品，实行优先采购，评审时按相应评标方法给予价格折扣或者加分。</w:t>
      </w:r>
    </w:p>
    <w:p w14:paraId="3FDBF5F9">
      <w:pPr>
        <w:adjustRightInd w:val="0"/>
        <w:snapToGrid w:val="0"/>
        <w:spacing w:line="360" w:lineRule="auto"/>
        <w:ind w:firstLine="420" w:firstLineChars="200"/>
        <w:jc w:val="left"/>
        <w:rPr>
          <w:rFonts w:ascii="宋体" w:hAnsi="宋体" w:cs="宋体"/>
        </w:rPr>
      </w:pPr>
      <w:r>
        <w:rPr>
          <w:rFonts w:hint="eastAsia" w:ascii="宋体" w:hAnsi="宋体" w:cs="宋体"/>
        </w:rPr>
        <w:t>36.3价格评审优惠：支持中小企业，对小型和微型企业产品给予价格折扣，用扣除后的价格参与评审。监狱企业、残疾人福利性单位视同小型、微型企业。</w:t>
      </w:r>
    </w:p>
    <w:p w14:paraId="5CE8E180">
      <w:pPr>
        <w:adjustRightInd w:val="0"/>
        <w:snapToGrid w:val="0"/>
        <w:spacing w:line="360" w:lineRule="auto"/>
        <w:ind w:firstLine="420" w:firstLineChars="200"/>
        <w:jc w:val="left"/>
        <w:rPr>
          <w:rFonts w:ascii="宋体" w:hAnsi="宋体" w:cs="宋体"/>
        </w:rPr>
      </w:pPr>
      <w:r>
        <w:rPr>
          <w:rFonts w:hint="eastAsia" w:ascii="宋体" w:hAnsi="宋体" w:cs="宋体"/>
        </w:rPr>
        <w:t>36.4优先采购产品同时属于“非强制采购节能产品”、“环境标志产品”的，评审时只有其中一项能享受优先待遇（投标人自行选择，并在投标文件中并填报相关信息及数据）；中小企业可以与同时属于“非强制采购节能产品”、“环境标志产品”中的一项重复计算；监狱企业、残疾人福利性单位属于小型、微型企业的，不重复享受政策。</w:t>
      </w:r>
    </w:p>
    <w:p w14:paraId="64B5FF79">
      <w:pPr>
        <w:adjustRightInd w:val="0"/>
        <w:snapToGrid w:val="0"/>
        <w:spacing w:line="360" w:lineRule="auto"/>
        <w:ind w:firstLine="420" w:firstLineChars="200"/>
        <w:jc w:val="left"/>
        <w:rPr>
          <w:rFonts w:ascii="宋体" w:hAnsi="宋体" w:cs="宋体"/>
        </w:rPr>
      </w:pPr>
      <w:r>
        <w:rPr>
          <w:rFonts w:hint="eastAsia" w:ascii="宋体" w:hAnsi="宋体" w:cs="宋体"/>
        </w:rPr>
        <w:t>36.5同一项目中部分产品属于优先采购政策的，评审时只对该部分产品的报价实行价格扣除及加分。</w:t>
      </w:r>
    </w:p>
    <w:p w14:paraId="4F9D230E">
      <w:pPr>
        <w:adjustRightInd w:val="0"/>
        <w:snapToGrid w:val="0"/>
        <w:spacing w:line="360" w:lineRule="auto"/>
        <w:ind w:firstLine="420" w:firstLineChars="200"/>
        <w:jc w:val="left"/>
        <w:rPr>
          <w:rFonts w:ascii="宋体" w:hAnsi="宋体" w:cs="宋体"/>
        </w:rPr>
      </w:pPr>
      <w:r>
        <w:rPr>
          <w:rFonts w:hint="eastAsia" w:ascii="宋体" w:hAnsi="宋体" w:cs="宋体"/>
        </w:rPr>
        <w:t>36.6符合本章第36.1款、第36.2款、第36.3款规定的，应提供相关证明资料。</w:t>
      </w:r>
    </w:p>
    <w:p w14:paraId="037D7049">
      <w:pPr>
        <w:adjustRightInd w:val="0"/>
        <w:snapToGrid w:val="0"/>
        <w:spacing w:line="360" w:lineRule="auto"/>
        <w:ind w:firstLine="420" w:firstLineChars="200"/>
        <w:jc w:val="left"/>
        <w:rPr>
          <w:rFonts w:ascii="宋体" w:hAnsi="宋体" w:cs="宋体"/>
        </w:rPr>
      </w:pPr>
      <w:r>
        <w:rPr>
          <w:rFonts w:hint="eastAsia" w:ascii="宋体" w:hAnsi="宋体" w:cs="宋体"/>
        </w:rPr>
        <w:t>（1）非强制采购节能产品：提供</w:t>
      </w:r>
      <w:r>
        <w:rPr>
          <w:rFonts w:hint="eastAsia" w:ascii="宋体" w:hAnsi="宋体" w:cs="宋体"/>
          <w:szCs w:val="21"/>
        </w:rPr>
        <w:t>《节能产品政府采购品目清单》</w:t>
      </w:r>
      <w:r>
        <w:rPr>
          <w:rFonts w:hint="eastAsia" w:ascii="宋体" w:hAnsi="宋体" w:cs="宋体"/>
        </w:rPr>
        <w:t>所在页（截图）或证书（复印件）。</w:t>
      </w:r>
    </w:p>
    <w:p w14:paraId="00E334BD">
      <w:pPr>
        <w:adjustRightInd w:val="0"/>
        <w:snapToGrid w:val="0"/>
        <w:spacing w:line="360" w:lineRule="auto"/>
        <w:ind w:firstLine="420" w:firstLineChars="200"/>
        <w:jc w:val="left"/>
        <w:rPr>
          <w:rFonts w:ascii="宋体" w:hAnsi="宋体" w:cs="宋体"/>
        </w:rPr>
      </w:pPr>
      <w:r>
        <w:rPr>
          <w:rFonts w:hint="eastAsia" w:ascii="宋体" w:hAnsi="宋体" w:cs="宋体"/>
        </w:rPr>
        <w:t>（2）环境标志产品：提供</w:t>
      </w:r>
      <w:r>
        <w:rPr>
          <w:rFonts w:hint="eastAsia" w:ascii="宋体" w:hAnsi="宋体" w:cs="宋体"/>
          <w:szCs w:val="21"/>
        </w:rPr>
        <w:t>《环境标志产品政府采购品目清单》</w:t>
      </w:r>
      <w:r>
        <w:rPr>
          <w:rFonts w:hint="eastAsia" w:ascii="宋体" w:hAnsi="宋体" w:cs="宋体"/>
        </w:rPr>
        <w:t>所在页（截图）或证书（复印件）。</w:t>
      </w:r>
    </w:p>
    <w:p w14:paraId="64A62FD6">
      <w:pPr>
        <w:adjustRightInd w:val="0"/>
        <w:snapToGrid w:val="0"/>
        <w:spacing w:line="360" w:lineRule="auto"/>
        <w:ind w:firstLine="420" w:firstLineChars="200"/>
        <w:jc w:val="left"/>
        <w:rPr>
          <w:rFonts w:ascii="宋体" w:hAnsi="宋体" w:cs="宋体"/>
        </w:rPr>
      </w:pPr>
      <w:r>
        <w:rPr>
          <w:rFonts w:hint="eastAsia" w:ascii="宋体" w:hAnsi="宋体" w:cs="宋体"/>
        </w:rPr>
        <w:t>（3）。</w:t>
      </w:r>
    </w:p>
    <w:p w14:paraId="3AB98174">
      <w:pPr>
        <w:adjustRightInd w:val="0"/>
        <w:snapToGrid w:val="0"/>
        <w:spacing w:line="360" w:lineRule="auto"/>
        <w:ind w:firstLine="420" w:firstLineChars="200"/>
        <w:jc w:val="left"/>
        <w:rPr>
          <w:rFonts w:ascii="宋体" w:hAnsi="宋体" w:cs="宋体"/>
        </w:rPr>
      </w:pPr>
      <w:r>
        <w:rPr>
          <w:rFonts w:hint="eastAsia" w:ascii="宋体" w:hAnsi="宋体" w:cs="宋体"/>
        </w:rPr>
        <w:t>（4）中小企业：按《关于印发＜政府采购促进中小企业发展管理办法＞的通知》(财库[2020]46号)规定提供《中小企业声明》（格式）。制造商符合小型、微型企业规定的，须与投标人同时出具《中小企业声明》。</w:t>
      </w:r>
    </w:p>
    <w:p w14:paraId="1BFD1980">
      <w:pPr>
        <w:adjustRightInd w:val="0"/>
        <w:snapToGrid w:val="0"/>
        <w:spacing w:line="360" w:lineRule="auto"/>
        <w:ind w:firstLine="420" w:firstLineChars="200"/>
        <w:jc w:val="left"/>
        <w:rPr>
          <w:rFonts w:ascii="宋体" w:hAnsi="宋体" w:cs="宋体"/>
        </w:rPr>
      </w:pPr>
      <w:r>
        <w:rPr>
          <w:rFonts w:hint="eastAsia" w:ascii="宋体" w:hAnsi="宋体" w:cs="宋体"/>
        </w:rPr>
        <w:t>（5）监狱企业：按《财政部 司法部关于政府采购支持监狱企业发展有关问题的通知》(财库〔2014〕68号)文件规定提供证明文件（复印件）。</w:t>
      </w:r>
    </w:p>
    <w:p w14:paraId="489B6F4E">
      <w:pPr>
        <w:adjustRightInd w:val="0"/>
        <w:snapToGrid w:val="0"/>
        <w:spacing w:line="360" w:lineRule="auto"/>
        <w:ind w:firstLine="420" w:firstLineChars="200"/>
        <w:jc w:val="left"/>
        <w:rPr>
          <w:rFonts w:ascii="宋体" w:hAnsi="宋体" w:cs="宋体"/>
        </w:rPr>
      </w:pPr>
      <w:r>
        <w:rPr>
          <w:rFonts w:hint="eastAsia" w:ascii="宋体" w:hAnsi="宋体" w:cs="宋体"/>
        </w:rPr>
        <w:t>（6）残疾人福利性单位：按《三部门联合发布关于促进残疾人就业政府采购政策的通知》(财库〔2017〕141号)文件规定提供《残疾人福利性单位声明函》（格式）。</w:t>
      </w:r>
    </w:p>
    <w:p w14:paraId="4C6DFDBD">
      <w:pPr>
        <w:adjustRightInd w:val="0"/>
        <w:snapToGrid w:val="0"/>
        <w:spacing w:line="360" w:lineRule="auto"/>
        <w:ind w:firstLine="420" w:firstLineChars="200"/>
        <w:jc w:val="left"/>
        <w:rPr>
          <w:rFonts w:ascii="宋体" w:hAnsi="宋体" w:cs="宋体"/>
        </w:rPr>
      </w:pPr>
      <w:r>
        <w:rPr>
          <w:rFonts w:hint="eastAsia" w:ascii="宋体" w:hAnsi="宋体" w:cs="宋体"/>
        </w:rPr>
        <w:t>36.7投标人有融资、担保需求的，</w:t>
      </w:r>
      <w:r>
        <w:rPr>
          <w:rFonts w:hint="eastAsia" w:ascii="宋体" w:hAnsi="宋体" w:cs="宋体"/>
          <w:szCs w:val="21"/>
        </w:rPr>
        <w:t>具体办理流程可向</w:t>
      </w:r>
      <w:r>
        <w:rPr>
          <w:rFonts w:hint="eastAsia" w:ascii="宋体" w:hAnsi="宋体" w:cs="宋体"/>
          <w:b/>
          <w:szCs w:val="21"/>
        </w:rPr>
        <w:t>【投标须知前附表】</w:t>
      </w:r>
      <w:r>
        <w:rPr>
          <w:rFonts w:hint="eastAsia" w:ascii="宋体" w:hAnsi="宋体" w:cs="宋体"/>
          <w:szCs w:val="21"/>
        </w:rPr>
        <w:t>附页2-3所列金融机构和担保机构询问。</w:t>
      </w:r>
    </w:p>
    <w:p w14:paraId="1673FDB6">
      <w:pPr>
        <w:adjustRightInd w:val="0"/>
        <w:snapToGrid w:val="0"/>
        <w:spacing w:line="360" w:lineRule="auto"/>
        <w:jc w:val="left"/>
        <w:rPr>
          <w:rFonts w:ascii="宋体" w:hAnsi="宋体" w:cs="宋体"/>
          <w:b/>
          <w:szCs w:val="21"/>
        </w:rPr>
      </w:pPr>
      <w:r>
        <w:rPr>
          <w:rFonts w:hint="eastAsia" w:ascii="宋体" w:hAnsi="宋体" w:cs="宋体"/>
          <w:b/>
          <w:bCs/>
          <w:szCs w:val="21"/>
        </w:rPr>
        <w:t>37.</w:t>
      </w:r>
      <w:r>
        <w:rPr>
          <w:rFonts w:hint="eastAsia" w:ascii="宋体" w:hAnsi="宋体" w:cs="宋体"/>
          <w:szCs w:val="21"/>
        </w:rPr>
        <w:t xml:space="preserve"> </w:t>
      </w:r>
      <w:r>
        <w:rPr>
          <w:rFonts w:hint="eastAsia" w:ascii="宋体" w:hAnsi="宋体" w:cs="宋体"/>
          <w:b/>
          <w:szCs w:val="21"/>
        </w:rPr>
        <w:t>招标不足三家处理</w:t>
      </w:r>
    </w:p>
    <w:p w14:paraId="009DFC6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37.1公开招标数额标准以上的采购项目，投标截止后投标人不足3家或者通过资格审查或符合性审查的投标人不足3家的，除采购任务取消情形外，按照以下方式处理：</w:t>
      </w:r>
    </w:p>
    <w:p w14:paraId="4B6BF64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（1）招标文件存在不合理条款或者招标程序不符合规定的，采购人、采购代理机构改正后依法重新招标；</w:t>
      </w:r>
    </w:p>
    <w:p w14:paraId="0ED086D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（2）招标文件没有不合理条款、招标程序符合规定，需要采用其他采购方式采购的，采购人应当依法报财政部门批准。</w:t>
      </w:r>
    </w:p>
    <w:p w14:paraId="4863E79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37.2属上款第（2）项情形的，评标委员会应出具的招标文件没有不合理条款的论证意见。</w:t>
      </w:r>
    </w:p>
    <w:p w14:paraId="0C4C2EC1">
      <w:pPr>
        <w:adjustRightInd w:val="0"/>
        <w:snapToGrid w:val="0"/>
        <w:spacing w:line="360" w:lineRule="auto"/>
        <w:jc w:val="left"/>
        <w:rPr>
          <w:rFonts w:ascii="宋体" w:hAnsi="宋体" w:cs="宋体"/>
          <w:b/>
          <w:szCs w:val="21"/>
        </w:rPr>
      </w:pPr>
      <w:r>
        <w:rPr>
          <w:rFonts w:hint="eastAsia" w:ascii="宋体" w:hAnsi="宋体" w:cs="宋体"/>
          <w:b/>
          <w:bCs/>
          <w:szCs w:val="21"/>
        </w:rPr>
        <w:t>38.</w:t>
      </w:r>
      <w:r>
        <w:rPr>
          <w:rFonts w:hint="eastAsia" w:ascii="宋体" w:hAnsi="宋体" w:cs="宋体"/>
          <w:b/>
          <w:szCs w:val="21"/>
        </w:rPr>
        <w:t xml:space="preserve"> 招标代理委托内容及服务费</w:t>
      </w:r>
    </w:p>
    <w:p w14:paraId="7FE787AA">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38.1招标代理委托内容</w:t>
      </w:r>
      <w:r>
        <w:rPr>
          <w:rFonts w:hint="eastAsia" w:ascii="宋体" w:hAnsi="宋体" w:cs="宋体"/>
          <w:b/>
          <w:szCs w:val="21"/>
        </w:rPr>
        <w:t>：</w:t>
      </w:r>
    </w:p>
    <w:p w14:paraId="311456B8">
      <w:pPr>
        <w:adjustRightInd w:val="0"/>
        <w:snapToGrid w:val="0"/>
        <w:spacing w:line="360" w:lineRule="auto"/>
        <w:ind w:firstLine="420" w:firstLineChars="200"/>
        <w:jc w:val="left"/>
        <w:rPr>
          <w:rFonts w:ascii="宋体" w:hAnsi="宋体" w:cs="宋体"/>
          <w:szCs w:val="21"/>
        </w:rPr>
      </w:pPr>
      <w:r>
        <w:rPr>
          <w:rFonts w:hint="eastAsia" w:ascii="宋体" w:hAnsi="宋体" w:cs="宋体"/>
          <w:u w:val="single"/>
        </w:rPr>
        <w:t xml:space="preserve"> （1）起草、编制采购文件。（2）组织专家对采购文件进行论证。（3）组织采购答疑会。（4）制作、发布采购信息公告。（5）依法组建评审委员会。（6）组织评审活动，记录、整理评审委员会的评审意见，协助评审委员会编写评审报告。（7）制作、发布中标（成交）信息公告。（8）发送供应商中标（成交）通知书。（9）答复供应商的询问和质疑，配合财政部门的投诉处理。（10）整理移交采购活动的采购文件档案。（11）法律法规规定的其他事项。                                              </w:t>
      </w:r>
    </w:p>
    <w:p w14:paraId="152D6BF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38.2本项目招标代理服务费由采购人向代理机构支付。费用明细见</w:t>
      </w:r>
      <w:r>
        <w:rPr>
          <w:rFonts w:hint="eastAsia" w:ascii="宋体" w:hAnsi="宋体" w:cs="宋体"/>
          <w:b/>
          <w:szCs w:val="21"/>
        </w:rPr>
        <w:t>【投标须知前附表】。</w:t>
      </w:r>
    </w:p>
    <w:p w14:paraId="41E9DC96">
      <w:pPr>
        <w:adjustRightInd w:val="0"/>
        <w:snapToGrid w:val="0"/>
        <w:spacing w:line="360" w:lineRule="auto"/>
        <w:jc w:val="left"/>
        <w:rPr>
          <w:rFonts w:ascii="宋体" w:hAnsi="宋体" w:cs="宋体"/>
          <w:b/>
          <w:szCs w:val="21"/>
        </w:rPr>
      </w:pPr>
      <w:r>
        <w:rPr>
          <w:rFonts w:hint="eastAsia" w:ascii="宋体" w:hAnsi="宋体" w:cs="宋体"/>
          <w:b/>
          <w:kern w:val="0"/>
          <w:szCs w:val="21"/>
        </w:rPr>
        <w:t>39.</w:t>
      </w:r>
      <w:r>
        <w:rPr>
          <w:rFonts w:hint="eastAsia" w:ascii="宋体" w:hAnsi="宋体" w:cs="宋体"/>
          <w:b/>
          <w:szCs w:val="21"/>
        </w:rPr>
        <w:t xml:space="preserve"> 需要补充的其他内容</w:t>
      </w:r>
    </w:p>
    <w:p w14:paraId="6C2157E0">
      <w:pPr>
        <w:adjustRightInd w:val="0"/>
        <w:snapToGrid w:val="0"/>
        <w:spacing w:line="360" w:lineRule="auto"/>
        <w:ind w:firstLine="420" w:firstLineChars="200"/>
        <w:jc w:val="left"/>
        <w:rPr>
          <w:rFonts w:ascii="宋体" w:hAnsi="宋体" w:cs="宋体"/>
        </w:rPr>
      </w:pPr>
      <w:r>
        <w:rPr>
          <w:rFonts w:hint="eastAsia" w:ascii="宋体" w:hAnsi="宋体" w:cs="宋体"/>
        </w:rPr>
        <w:t>39.1招标文件需要补充的其他内容见</w:t>
      </w:r>
      <w:r>
        <w:rPr>
          <w:rFonts w:hint="eastAsia" w:ascii="宋体" w:hAnsi="宋体" w:cs="宋体"/>
          <w:b/>
        </w:rPr>
        <w:t>【投标须知前附表】</w:t>
      </w:r>
      <w:r>
        <w:rPr>
          <w:rFonts w:hint="eastAsia" w:ascii="宋体" w:hAnsi="宋体" w:cs="宋体"/>
        </w:rPr>
        <w:t>。</w:t>
      </w:r>
    </w:p>
    <w:p w14:paraId="7E9C0DCC">
      <w:pPr>
        <w:pStyle w:val="25"/>
        <w:adjustRightInd w:val="0"/>
        <w:snapToGrid w:val="0"/>
        <w:spacing w:beforeLines="50" w:line="360" w:lineRule="auto"/>
        <w:jc w:val="center"/>
        <w:outlineLvl w:val="0"/>
        <w:rPr>
          <w:rFonts w:hAnsi="宋体" w:cs="宋体"/>
          <w:b/>
          <w:sz w:val="32"/>
          <w:szCs w:val="32"/>
        </w:rPr>
      </w:pPr>
      <w:r>
        <w:rPr>
          <w:rFonts w:hint="eastAsia" w:hAnsi="宋体" w:cs="宋体"/>
        </w:rPr>
        <w:br w:type="page"/>
      </w:r>
      <w:bookmarkStart w:id="80" w:name="_Toc3626"/>
      <w:bookmarkStart w:id="81" w:name="_Toc29912"/>
      <w:bookmarkStart w:id="82" w:name="_Toc2068"/>
      <w:r>
        <w:rPr>
          <w:rFonts w:hint="eastAsia" w:hAnsi="宋体" w:cs="宋体"/>
          <w:b/>
          <w:sz w:val="32"/>
          <w:szCs w:val="32"/>
        </w:rPr>
        <w:t>第三章 评标方法及标准（综合评分法）</w:t>
      </w:r>
      <w:bookmarkEnd w:id="80"/>
      <w:bookmarkEnd w:id="81"/>
      <w:bookmarkEnd w:id="82"/>
    </w:p>
    <w:p w14:paraId="365D0F43">
      <w:pPr>
        <w:jc w:val="center"/>
        <w:outlineLvl w:val="0"/>
        <w:rPr>
          <w:rFonts w:ascii="宋体" w:hAnsi="宋体" w:cs="宋体"/>
          <w:b/>
          <w:bCs/>
          <w:sz w:val="28"/>
          <w:szCs w:val="36"/>
        </w:rPr>
      </w:pPr>
      <w:bookmarkStart w:id="83" w:name="_Toc26655"/>
      <w:r>
        <w:rPr>
          <w:rFonts w:hint="eastAsia" w:ascii="宋体" w:hAnsi="宋体" w:cs="宋体"/>
          <w:b/>
          <w:bCs/>
          <w:sz w:val="28"/>
          <w:szCs w:val="36"/>
        </w:rPr>
        <w:t>评标方法及标准前附表</w:t>
      </w:r>
      <w:bookmarkEnd w:id="83"/>
    </w:p>
    <w:p w14:paraId="2E5F398D">
      <w:pPr>
        <w:adjustRightInd w:val="0"/>
        <w:snapToGrid w:val="0"/>
        <w:spacing w:line="360" w:lineRule="auto"/>
        <w:ind w:right="420"/>
        <w:rPr>
          <w:rFonts w:ascii="宋体" w:hAnsi="宋体" w:cs="宋体"/>
          <w:bCs/>
          <w:szCs w:val="21"/>
        </w:rPr>
      </w:pPr>
      <w:r>
        <w:rPr>
          <w:rFonts w:hint="eastAsia" w:ascii="宋体" w:hAnsi="宋体" w:cs="宋体"/>
          <w:bCs/>
          <w:szCs w:val="21"/>
        </w:rPr>
        <w:t>本项目启用的条款请在“编列内容规定”栏内以“■”标注。</w:t>
      </w:r>
    </w:p>
    <w:tbl>
      <w:tblPr>
        <w:tblStyle w:val="40"/>
        <w:tblpPr w:leftFromText="180" w:rightFromText="180" w:vertAnchor="text" w:horzAnchor="page" w:tblpXSpec="center" w:tblpY="417"/>
        <w:tblOverlap w:val="never"/>
        <w:tblW w:w="1018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87"/>
        <w:gridCol w:w="2856"/>
        <w:gridCol w:w="5842"/>
      </w:tblGrid>
      <w:tr w14:paraId="65806C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noWrap/>
          </w:tcPr>
          <w:p w14:paraId="700FEBBD">
            <w:pPr>
              <w:adjustRightInd w:val="0"/>
              <w:snapToGrid w:val="0"/>
              <w:spacing w:line="360" w:lineRule="auto"/>
              <w:jc w:val="center"/>
              <w:rPr>
                <w:rFonts w:ascii="宋体" w:hAnsi="宋体" w:cs="宋体"/>
                <w:b/>
              </w:rPr>
            </w:pPr>
            <w:r>
              <w:rPr>
                <w:rFonts w:hint="eastAsia" w:ascii="宋体" w:hAnsi="宋体" w:cs="宋体"/>
                <w:b/>
              </w:rPr>
              <w:t>条款号</w:t>
            </w:r>
          </w:p>
        </w:tc>
        <w:tc>
          <w:tcPr>
            <w:tcW w:w="2856" w:type="dxa"/>
            <w:noWrap/>
          </w:tcPr>
          <w:p w14:paraId="14E86742">
            <w:pPr>
              <w:adjustRightInd w:val="0"/>
              <w:snapToGrid w:val="0"/>
              <w:spacing w:line="360" w:lineRule="auto"/>
              <w:jc w:val="center"/>
              <w:rPr>
                <w:rFonts w:ascii="宋体" w:hAnsi="宋体" w:cs="宋体"/>
                <w:b/>
              </w:rPr>
            </w:pPr>
            <w:r>
              <w:rPr>
                <w:rFonts w:hint="eastAsia" w:ascii="宋体" w:hAnsi="宋体" w:cs="宋体"/>
                <w:b/>
              </w:rPr>
              <w:t>条款名称</w:t>
            </w:r>
          </w:p>
        </w:tc>
        <w:tc>
          <w:tcPr>
            <w:tcW w:w="5842" w:type="dxa"/>
            <w:noWrap/>
          </w:tcPr>
          <w:p w14:paraId="06E5A550">
            <w:pPr>
              <w:adjustRightInd w:val="0"/>
              <w:snapToGrid w:val="0"/>
              <w:spacing w:line="360" w:lineRule="auto"/>
              <w:jc w:val="center"/>
              <w:rPr>
                <w:rFonts w:ascii="宋体" w:hAnsi="宋体" w:cs="宋体"/>
                <w:b/>
              </w:rPr>
            </w:pPr>
            <w:r>
              <w:rPr>
                <w:rFonts w:hint="eastAsia" w:ascii="宋体" w:hAnsi="宋体" w:cs="宋体"/>
                <w:b/>
              </w:rPr>
              <w:t>编列内容规定</w:t>
            </w:r>
          </w:p>
        </w:tc>
      </w:tr>
      <w:tr w14:paraId="1E9F5E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noWrap/>
            <w:vAlign w:val="center"/>
          </w:tcPr>
          <w:p w14:paraId="7398A3CE">
            <w:pPr>
              <w:adjustRightInd w:val="0"/>
              <w:snapToGrid w:val="0"/>
              <w:spacing w:line="360" w:lineRule="auto"/>
              <w:jc w:val="center"/>
              <w:rPr>
                <w:rFonts w:ascii="宋体" w:hAnsi="宋体" w:cs="宋体"/>
                <w:szCs w:val="21"/>
              </w:rPr>
            </w:pPr>
            <w:r>
              <w:rPr>
                <w:rFonts w:hint="eastAsia" w:ascii="宋体" w:hAnsi="宋体" w:cs="宋体"/>
                <w:szCs w:val="21"/>
              </w:rPr>
              <w:t>第1.2</w:t>
            </w:r>
            <w:r>
              <w:rPr>
                <w:rFonts w:hint="eastAsia" w:ascii="宋体" w:hAnsi="宋体" w:cs="宋体"/>
                <w:kern w:val="0"/>
                <w:szCs w:val="21"/>
                <w:lang w:val="zh-CN"/>
              </w:rPr>
              <w:t>款</w:t>
            </w:r>
          </w:p>
        </w:tc>
        <w:tc>
          <w:tcPr>
            <w:tcW w:w="2856" w:type="dxa"/>
            <w:noWrap/>
            <w:vAlign w:val="center"/>
          </w:tcPr>
          <w:p w14:paraId="0957EE7A">
            <w:pPr>
              <w:adjustRightInd w:val="0"/>
              <w:snapToGrid w:val="0"/>
              <w:spacing w:line="360" w:lineRule="auto"/>
              <w:jc w:val="center"/>
              <w:rPr>
                <w:rFonts w:ascii="宋体" w:hAnsi="宋体" w:cs="宋体"/>
                <w:szCs w:val="21"/>
              </w:rPr>
            </w:pPr>
            <w:r>
              <w:rPr>
                <w:rFonts w:hint="eastAsia" w:ascii="宋体" w:hAnsi="宋体" w:cs="宋体"/>
                <w:szCs w:val="21"/>
              </w:rPr>
              <w:t>评标因素和标准</w:t>
            </w:r>
          </w:p>
        </w:tc>
        <w:tc>
          <w:tcPr>
            <w:tcW w:w="5842" w:type="dxa"/>
            <w:noWrap/>
            <w:vAlign w:val="center"/>
          </w:tcPr>
          <w:p w14:paraId="6DAA1171">
            <w:pPr>
              <w:adjustRightInd w:val="0"/>
              <w:snapToGrid w:val="0"/>
              <w:spacing w:line="360" w:lineRule="auto"/>
              <w:rPr>
                <w:rFonts w:ascii="宋体" w:hAnsi="宋体" w:cs="宋体"/>
                <w:szCs w:val="21"/>
              </w:rPr>
            </w:pPr>
            <w:r>
              <w:rPr>
                <w:rFonts w:hint="eastAsia" w:ascii="宋体" w:hAnsi="宋体" w:cs="宋体"/>
                <w:szCs w:val="21"/>
              </w:rPr>
              <w:t>见附页3-1</w:t>
            </w:r>
          </w:p>
        </w:tc>
      </w:tr>
      <w:tr w14:paraId="1EDC7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1487" w:type="dxa"/>
            <w:noWrap/>
            <w:vAlign w:val="center"/>
          </w:tcPr>
          <w:p w14:paraId="7CD168B1">
            <w:pPr>
              <w:adjustRightInd w:val="0"/>
              <w:snapToGrid w:val="0"/>
              <w:spacing w:line="360" w:lineRule="auto"/>
              <w:jc w:val="center"/>
              <w:rPr>
                <w:rFonts w:ascii="宋体" w:hAnsi="宋体" w:cs="宋体"/>
                <w:szCs w:val="21"/>
              </w:rPr>
            </w:pPr>
            <w:r>
              <w:rPr>
                <w:rFonts w:hint="eastAsia" w:ascii="宋体" w:hAnsi="宋体" w:cs="宋体"/>
                <w:szCs w:val="21"/>
              </w:rPr>
              <w:t>第4.2</w:t>
            </w:r>
            <w:r>
              <w:rPr>
                <w:rFonts w:hint="eastAsia" w:ascii="宋体" w:hAnsi="宋体" w:cs="宋体"/>
                <w:kern w:val="0"/>
                <w:szCs w:val="21"/>
                <w:lang w:val="zh-CN"/>
              </w:rPr>
              <w:t>款</w:t>
            </w:r>
          </w:p>
        </w:tc>
        <w:tc>
          <w:tcPr>
            <w:tcW w:w="2856" w:type="dxa"/>
            <w:noWrap/>
            <w:vAlign w:val="center"/>
          </w:tcPr>
          <w:p w14:paraId="0EDC8D38">
            <w:pPr>
              <w:adjustRightInd w:val="0"/>
              <w:snapToGrid w:val="0"/>
              <w:spacing w:line="360" w:lineRule="auto"/>
              <w:rPr>
                <w:rFonts w:ascii="宋体" w:hAnsi="宋体" w:cs="宋体"/>
                <w:szCs w:val="21"/>
              </w:rPr>
            </w:pPr>
            <w:r>
              <w:rPr>
                <w:rFonts w:hint="eastAsia" w:ascii="宋体" w:hAnsi="宋体" w:cs="宋体"/>
                <w:szCs w:val="21"/>
              </w:rPr>
              <w:t>投标文件报价出现前后不一致的修正</w:t>
            </w:r>
          </w:p>
        </w:tc>
        <w:tc>
          <w:tcPr>
            <w:tcW w:w="5842" w:type="dxa"/>
            <w:noWrap/>
            <w:vAlign w:val="center"/>
          </w:tcPr>
          <w:p w14:paraId="23C1E672">
            <w:pPr>
              <w:adjustRightInd w:val="0"/>
              <w:snapToGrid w:val="0"/>
              <w:spacing w:line="360" w:lineRule="auto"/>
              <w:jc w:val="left"/>
              <w:rPr>
                <w:rFonts w:ascii="宋体" w:hAnsi="宋体" w:cs="宋体"/>
                <w:szCs w:val="21"/>
              </w:rPr>
            </w:pPr>
            <w:r>
              <w:rPr>
                <w:rFonts w:hint="eastAsia" w:ascii="宋体" w:hAnsi="宋体" w:cs="宋体"/>
                <w:szCs w:val="21"/>
              </w:rPr>
              <w:t>按本章正文规定修正</w:t>
            </w:r>
          </w:p>
        </w:tc>
      </w:tr>
      <w:tr w14:paraId="680624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noWrap/>
            <w:vAlign w:val="center"/>
          </w:tcPr>
          <w:p w14:paraId="4F8DE5D9">
            <w:pPr>
              <w:adjustRightInd w:val="0"/>
              <w:snapToGrid w:val="0"/>
              <w:spacing w:line="360" w:lineRule="auto"/>
              <w:jc w:val="center"/>
              <w:rPr>
                <w:rFonts w:ascii="宋体" w:hAnsi="宋体" w:cs="宋体"/>
                <w:szCs w:val="21"/>
              </w:rPr>
            </w:pPr>
            <w:r>
              <w:rPr>
                <w:rFonts w:hint="eastAsia" w:ascii="宋体" w:hAnsi="宋体" w:cs="宋体"/>
                <w:szCs w:val="21"/>
              </w:rPr>
              <w:t>第5.8</w:t>
            </w:r>
            <w:r>
              <w:rPr>
                <w:rFonts w:hint="eastAsia" w:ascii="宋体" w:hAnsi="宋体" w:cs="宋体"/>
                <w:kern w:val="0"/>
                <w:szCs w:val="21"/>
                <w:lang w:val="zh-CN"/>
              </w:rPr>
              <w:t>款</w:t>
            </w:r>
          </w:p>
        </w:tc>
        <w:tc>
          <w:tcPr>
            <w:tcW w:w="2856" w:type="dxa"/>
            <w:noWrap/>
            <w:vAlign w:val="center"/>
          </w:tcPr>
          <w:p w14:paraId="394A2C99">
            <w:pPr>
              <w:adjustRightInd w:val="0"/>
              <w:snapToGrid w:val="0"/>
              <w:spacing w:line="360" w:lineRule="auto"/>
              <w:rPr>
                <w:rFonts w:ascii="宋体" w:hAnsi="宋体" w:cs="宋体"/>
              </w:rPr>
            </w:pPr>
            <w:r>
              <w:rPr>
                <w:rFonts w:hint="eastAsia" w:ascii="宋体" w:hAnsi="宋体" w:cs="宋体"/>
                <w:szCs w:val="21"/>
              </w:rPr>
              <w:t>提供相同品牌产品，</w:t>
            </w:r>
            <w:r>
              <w:rPr>
                <w:rFonts w:hint="eastAsia" w:ascii="宋体" w:hAnsi="宋体" w:cs="宋体"/>
              </w:rPr>
              <w:t>评审得分相同时，确定中标人推荐资格规定</w:t>
            </w:r>
          </w:p>
        </w:tc>
        <w:tc>
          <w:tcPr>
            <w:tcW w:w="5842" w:type="dxa"/>
            <w:noWrap/>
            <w:vAlign w:val="center"/>
          </w:tcPr>
          <w:p w14:paraId="7F3A000C">
            <w:pPr>
              <w:adjustRightInd w:val="0"/>
              <w:snapToGrid w:val="0"/>
              <w:spacing w:line="360" w:lineRule="auto"/>
              <w:rPr>
                <w:rFonts w:ascii="宋体" w:hAnsi="宋体" w:cs="宋体"/>
                <w:szCs w:val="21"/>
              </w:rPr>
            </w:pPr>
            <w:r>
              <w:rPr>
                <w:rFonts w:hint="eastAsia" w:ascii="宋体" w:hAnsi="宋体" w:cs="宋体"/>
              </w:rPr>
              <w:t>■ 得分相同的，按投标报价由低到高顺序排列。得分且投标报价相同的，按技术指标优劣顺序排列。</w:t>
            </w:r>
          </w:p>
          <w:p w14:paraId="06D17C14">
            <w:pPr>
              <w:adjustRightInd w:val="0"/>
              <w:snapToGrid w:val="0"/>
              <w:spacing w:line="360" w:lineRule="auto"/>
              <w:rPr>
                <w:rFonts w:ascii="宋体" w:hAnsi="宋体" w:cs="宋体"/>
                <w:szCs w:val="21"/>
              </w:rPr>
            </w:pPr>
            <w:r>
              <w:rPr>
                <w:rFonts w:hint="eastAsia" w:ascii="宋体" w:hAnsi="宋体" w:cs="宋体"/>
              </w:rPr>
              <w:t>□ 随机抽取方式确定。</w:t>
            </w:r>
          </w:p>
        </w:tc>
      </w:tr>
      <w:tr w14:paraId="1F13A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vMerge w:val="restart"/>
            <w:noWrap/>
            <w:vAlign w:val="center"/>
          </w:tcPr>
          <w:p w14:paraId="28BD93F6">
            <w:pPr>
              <w:adjustRightInd w:val="0"/>
              <w:snapToGrid w:val="0"/>
              <w:spacing w:line="360" w:lineRule="auto"/>
              <w:jc w:val="center"/>
              <w:rPr>
                <w:rFonts w:ascii="宋体" w:hAnsi="宋体" w:cs="宋体"/>
                <w:szCs w:val="21"/>
              </w:rPr>
            </w:pPr>
            <w:r>
              <w:rPr>
                <w:rFonts w:hint="eastAsia" w:ascii="宋体" w:hAnsi="宋体" w:cs="宋体"/>
                <w:szCs w:val="21"/>
              </w:rPr>
              <w:t>第5.9</w:t>
            </w:r>
            <w:r>
              <w:rPr>
                <w:rFonts w:hint="eastAsia" w:ascii="宋体" w:hAnsi="宋体" w:cs="宋体"/>
                <w:kern w:val="0"/>
                <w:szCs w:val="21"/>
                <w:lang w:val="zh-CN"/>
              </w:rPr>
              <w:t>款</w:t>
            </w:r>
          </w:p>
        </w:tc>
        <w:tc>
          <w:tcPr>
            <w:tcW w:w="2856" w:type="dxa"/>
            <w:noWrap/>
            <w:vAlign w:val="center"/>
          </w:tcPr>
          <w:p w14:paraId="072451DE">
            <w:pPr>
              <w:adjustRightInd w:val="0"/>
              <w:snapToGrid w:val="0"/>
              <w:spacing w:line="360" w:lineRule="auto"/>
              <w:jc w:val="center"/>
              <w:rPr>
                <w:rFonts w:ascii="宋体" w:hAnsi="宋体" w:cs="宋体"/>
                <w:bCs/>
                <w:szCs w:val="21"/>
              </w:rPr>
            </w:pPr>
            <w:r>
              <w:rPr>
                <w:rFonts w:hint="eastAsia" w:ascii="宋体" w:hAnsi="宋体" w:cs="宋体"/>
              </w:rPr>
              <w:t>非单一产品采购项目的核心产品</w:t>
            </w:r>
          </w:p>
        </w:tc>
        <w:tc>
          <w:tcPr>
            <w:tcW w:w="5842" w:type="dxa"/>
            <w:noWrap/>
            <w:vAlign w:val="center"/>
          </w:tcPr>
          <w:p w14:paraId="50B0394D">
            <w:pPr>
              <w:adjustRightInd w:val="0"/>
              <w:snapToGrid w:val="0"/>
              <w:spacing w:line="360" w:lineRule="auto"/>
              <w:rPr>
                <w:rFonts w:ascii="宋体" w:hAnsi="宋体" w:cs="宋体"/>
                <w:highlight w:val="none"/>
              </w:rPr>
            </w:pPr>
            <w:r>
              <w:rPr>
                <w:rFonts w:hint="eastAsia" w:ascii="宋体" w:hAnsi="宋体" w:cs="宋体"/>
                <w:highlight w:val="none"/>
                <w:lang w:eastAsia="zh-CN"/>
              </w:rPr>
              <w:t>☑</w:t>
            </w:r>
            <w:r>
              <w:rPr>
                <w:rFonts w:hint="eastAsia" w:ascii="宋体" w:hAnsi="宋体" w:cs="宋体"/>
                <w:highlight w:val="none"/>
              </w:rPr>
              <w:t xml:space="preserve"> 核心产品为：</w:t>
            </w:r>
            <w:r>
              <w:rPr>
                <w:rFonts w:hint="eastAsia" w:ascii="宋体" w:hAnsi="宋体" w:cs="宋体"/>
                <w:b/>
                <w:bCs/>
                <w:highlight w:val="none"/>
                <w:u w:val="single"/>
              </w:rPr>
              <w:t xml:space="preserve"> </w:t>
            </w:r>
            <w:r>
              <w:rPr>
                <w:rFonts w:hint="eastAsia" w:ascii="宋体" w:hAnsi="宋体" w:cs="宋体"/>
                <w:b/>
                <w:bCs/>
                <w:highlight w:val="none"/>
                <w:u w:val="single"/>
                <w:lang w:val="en-US" w:eastAsia="zh-CN"/>
              </w:rPr>
              <w:t>麻醉机</w:t>
            </w:r>
            <w:r>
              <w:rPr>
                <w:rFonts w:hint="eastAsia" w:ascii="宋体" w:hAnsi="宋体" w:cs="宋体"/>
                <w:highlight w:val="none"/>
                <w:u w:val="single"/>
              </w:rPr>
              <w:t xml:space="preserve"> </w:t>
            </w:r>
            <w:r>
              <w:rPr>
                <w:rFonts w:hint="eastAsia" w:ascii="宋体" w:hAnsi="宋体" w:cs="宋体"/>
                <w:highlight w:val="none"/>
              </w:rPr>
              <w:t>。</w:t>
            </w:r>
            <w:r>
              <w:rPr>
                <w:rFonts w:hint="eastAsia" w:ascii="宋体" w:hAnsi="宋体" w:cs="宋体"/>
                <w:kern w:val="0"/>
                <w:highlight w:val="none"/>
              </w:rPr>
              <w:t>（</w:t>
            </w:r>
            <w:r>
              <w:rPr>
                <w:rFonts w:hint="eastAsia" w:ascii="宋体" w:hAnsi="宋体" w:cs="宋体"/>
                <w:highlight w:val="none"/>
              </w:rPr>
              <w:t>提示：根据采购项目技术构成、产品价格比重等合理确定具体产品为核心产品）</w:t>
            </w:r>
          </w:p>
          <w:p w14:paraId="6A888711">
            <w:pPr>
              <w:adjustRightInd w:val="0"/>
              <w:snapToGrid w:val="0"/>
              <w:spacing w:line="360" w:lineRule="auto"/>
              <w:rPr>
                <w:rFonts w:ascii="宋体" w:hAnsi="宋体" w:cs="宋体"/>
                <w:kern w:val="0"/>
                <w:highlight w:val="none"/>
              </w:rPr>
            </w:pPr>
            <w:r>
              <w:rPr>
                <w:rFonts w:hint="eastAsia" w:ascii="宋体" w:hAnsi="宋体" w:cs="宋体"/>
                <w:highlight w:val="none"/>
                <w:lang w:eastAsia="zh-CN"/>
              </w:rPr>
              <w:t>□</w:t>
            </w:r>
            <w:r>
              <w:rPr>
                <w:rFonts w:hint="eastAsia" w:ascii="宋体" w:hAnsi="宋体" w:cs="宋体"/>
                <w:highlight w:val="none"/>
              </w:rPr>
              <w:t xml:space="preserve"> 两家及以上投标人提供相同产品的价格总和均超过该项目包各自投标总价</w:t>
            </w:r>
            <w:r>
              <w:rPr>
                <w:rFonts w:hint="eastAsia" w:ascii="宋体" w:hAnsi="宋体" w:cs="宋体"/>
                <w:highlight w:val="none"/>
                <w:u w:val="single"/>
              </w:rPr>
              <w:t xml:space="preserve"> </w:t>
            </w:r>
            <w:r>
              <w:rPr>
                <w:rFonts w:hint="eastAsia" w:ascii="宋体" w:hAnsi="宋体" w:cs="宋体"/>
                <w:highlight w:val="none"/>
                <w:u w:val="single"/>
                <w:lang w:val="en-US" w:eastAsia="zh-CN"/>
              </w:rPr>
              <w:t>/</w:t>
            </w:r>
            <w:r>
              <w:rPr>
                <w:rFonts w:hint="eastAsia" w:ascii="宋体" w:hAnsi="宋体" w:cs="宋体"/>
                <w:highlight w:val="none"/>
                <w:u w:val="single"/>
              </w:rPr>
              <w:t xml:space="preserve">  </w:t>
            </w:r>
            <w:r>
              <w:rPr>
                <w:rFonts w:hint="eastAsia" w:ascii="宋体" w:hAnsi="宋体" w:cs="宋体"/>
                <w:highlight w:val="none"/>
              </w:rPr>
              <w:t>%的，为核心产品。（提示：也可另行规定）</w:t>
            </w:r>
          </w:p>
        </w:tc>
      </w:tr>
      <w:tr w14:paraId="42C5F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vMerge w:val="continue"/>
            <w:noWrap/>
            <w:vAlign w:val="center"/>
          </w:tcPr>
          <w:p w14:paraId="44458230">
            <w:pPr>
              <w:adjustRightInd w:val="0"/>
              <w:snapToGrid w:val="0"/>
              <w:spacing w:line="360" w:lineRule="auto"/>
              <w:jc w:val="center"/>
              <w:rPr>
                <w:rFonts w:ascii="宋体" w:hAnsi="宋体" w:cs="宋体"/>
                <w:szCs w:val="21"/>
              </w:rPr>
            </w:pPr>
          </w:p>
        </w:tc>
        <w:tc>
          <w:tcPr>
            <w:tcW w:w="2856" w:type="dxa"/>
            <w:noWrap/>
            <w:vAlign w:val="center"/>
          </w:tcPr>
          <w:p w14:paraId="79863F46">
            <w:pPr>
              <w:adjustRightInd w:val="0"/>
              <w:snapToGrid w:val="0"/>
              <w:spacing w:line="360" w:lineRule="auto"/>
              <w:jc w:val="center"/>
              <w:rPr>
                <w:rFonts w:ascii="宋体" w:hAnsi="宋体" w:cs="宋体"/>
              </w:rPr>
            </w:pPr>
            <w:r>
              <w:rPr>
                <w:rFonts w:hint="eastAsia" w:ascii="宋体" w:hAnsi="宋体"/>
                <w:szCs w:val="21"/>
              </w:rPr>
              <w:t>相同品牌产品投标报价相同的</w:t>
            </w:r>
          </w:p>
        </w:tc>
        <w:tc>
          <w:tcPr>
            <w:tcW w:w="5842" w:type="dxa"/>
            <w:noWrap/>
            <w:vAlign w:val="center"/>
          </w:tcPr>
          <w:p w14:paraId="3A61D7B2">
            <w:pPr>
              <w:adjustRightInd w:val="0"/>
              <w:snapToGrid w:val="0"/>
              <w:spacing w:beforeLines="50" w:line="360" w:lineRule="auto"/>
              <w:ind w:right="-109" w:rightChars="-52"/>
              <w:rPr>
                <w:rFonts w:ascii="宋体" w:hAnsi="宋体" w:cs="宋体"/>
              </w:rPr>
            </w:pPr>
            <w:r>
              <w:rPr>
                <w:rFonts w:hint="eastAsia" w:ascii="宋体" w:hAnsi="宋体"/>
              </w:rPr>
              <w:t>得分相同的，按投标报价由低到高顺序排列。得分且投标报价相同的，按技术指标优劣顺序排列。</w:t>
            </w:r>
          </w:p>
        </w:tc>
      </w:tr>
      <w:tr w14:paraId="1F6FEC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vMerge w:val="continue"/>
            <w:noWrap/>
            <w:vAlign w:val="center"/>
          </w:tcPr>
          <w:p w14:paraId="5917FD46">
            <w:pPr>
              <w:adjustRightInd w:val="0"/>
              <w:snapToGrid w:val="0"/>
              <w:spacing w:line="360" w:lineRule="auto"/>
              <w:jc w:val="center"/>
              <w:rPr>
                <w:rFonts w:ascii="宋体" w:hAnsi="宋体" w:cs="宋体"/>
                <w:szCs w:val="21"/>
              </w:rPr>
            </w:pPr>
          </w:p>
        </w:tc>
        <w:tc>
          <w:tcPr>
            <w:tcW w:w="2856" w:type="dxa"/>
            <w:noWrap/>
            <w:vAlign w:val="center"/>
          </w:tcPr>
          <w:p w14:paraId="73843226">
            <w:pPr>
              <w:adjustRightInd w:val="0"/>
              <w:snapToGrid w:val="0"/>
              <w:spacing w:beforeLines="50" w:line="360" w:lineRule="auto"/>
              <w:jc w:val="center"/>
              <w:rPr>
                <w:rFonts w:ascii="宋体" w:hAnsi="宋体" w:cs="宋体"/>
              </w:rPr>
            </w:pPr>
            <w:r>
              <w:rPr>
                <w:rFonts w:hint="eastAsia" w:ascii="宋体" w:hAnsi="宋体"/>
                <w:bCs/>
                <w:szCs w:val="21"/>
              </w:rPr>
              <w:t>相同品牌产品评审得分相同的规定</w:t>
            </w:r>
          </w:p>
        </w:tc>
        <w:tc>
          <w:tcPr>
            <w:tcW w:w="5842" w:type="dxa"/>
            <w:noWrap/>
            <w:vAlign w:val="center"/>
          </w:tcPr>
          <w:p w14:paraId="58DCC8D9">
            <w:pPr>
              <w:adjustRightInd w:val="0"/>
              <w:snapToGrid w:val="0"/>
              <w:spacing w:beforeLines="50" w:line="360" w:lineRule="auto"/>
              <w:ind w:right="-109" w:rightChars="-52"/>
              <w:rPr>
                <w:szCs w:val="21"/>
              </w:rPr>
            </w:pPr>
            <w:r>
              <w:rPr>
                <w:szCs w:val="21"/>
              </w:rPr>
              <w:t>若</w:t>
            </w:r>
            <w:r>
              <w:rPr>
                <w:rFonts w:hint="eastAsia"/>
                <w:szCs w:val="21"/>
              </w:rPr>
              <w:t>本项目</w:t>
            </w:r>
            <w:r>
              <w:rPr>
                <w:szCs w:val="21"/>
              </w:rPr>
              <w:t>单个合同包</w:t>
            </w:r>
            <w:r>
              <w:rPr>
                <w:rFonts w:hint="eastAsia"/>
                <w:szCs w:val="21"/>
              </w:rPr>
              <w:t>中</w:t>
            </w:r>
            <w:r>
              <w:rPr>
                <w:szCs w:val="21"/>
              </w:rPr>
              <w:t>采购单一品目或有明确</w:t>
            </w:r>
            <w:r>
              <w:rPr>
                <w:rFonts w:hint="eastAsia"/>
                <w:szCs w:val="21"/>
              </w:rPr>
              <w:t>主要</w:t>
            </w:r>
            <w:r>
              <w:rPr>
                <w:szCs w:val="21"/>
              </w:rPr>
              <w:t>投标产品的，对该单一品目或</w:t>
            </w:r>
            <w:r>
              <w:rPr>
                <w:rFonts w:hint="eastAsia"/>
                <w:szCs w:val="21"/>
              </w:rPr>
              <w:t>主要</w:t>
            </w:r>
            <w:r>
              <w:rPr>
                <w:szCs w:val="21"/>
              </w:rPr>
              <w:t>投标产品</w:t>
            </w:r>
            <w:r>
              <w:rPr>
                <w:rFonts w:hint="eastAsia"/>
                <w:szCs w:val="21"/>
              </w:rPr>
              <w:t>，</w:t>
            </w:r>
            <w:r>
              <w:rPr>
                <w:szCs w:val="21"/>
              </w:rPr>
              <w:t>多家供应商用同一品牌产品参加同一个项目投标的，应作为一家供应商计算</w:t>
            </w:r>
            <w:r>
              <w:rPr>
                <w:rFonts w:hint="eastAsia"/>
                <w:szCs w:val="21"/>
              </w:rPr>
              <w:t>（主要</w:t>
            </w:r>
            <w:r>
              <w:rPr>
                <w:szCs w:val="21"/>
              </w:rPr>
              <w:t>投标产品以</w:t>
            </w:r>
            <w:r>
              <w:rPr>
                <w:rFonts w:hint="eastAsia"/>
                <w:szCs w:val="21"/>
              </w:rPr>
              <w:t>招标文件</w:t>
            </w:r>
            <w:r>
              <w:rPr>
                <w:szCs w:val="21"/>
              </w:rPr>
              <w:t>注明内容为准）。</w:t>
            </w:r>
          </w:p>
          <w:p w14:paraId="60CA13DA">
            <w:pPr>
              <w:adjustRightInd w:val="0"/>
              <w:snapToGrid w:val="0"/>
              <w:spacing w:beforeLines="50" w:line="360" w:lineRule="auto"/>
              <w:ind w:right="-109" w:rightChars="-52"/>
              <w:rPr>
                <w:rFonts w:ascii="宋体" w:hAnsi="宋体" w:cs="宋体"/>
              </w:rPr>
            </w:pPr>
            <w:r>
              <w:rPr>
                <w:rFonts w:hint="eastAsia"/>
                <w:szCs w:val="21"/>
              </w:rPr>
              <w:t>（</w:t>
            </w:r>
            <w:r>
              <w:rPr>
                <w:szCs w:val="21"/>
              </w:rPr>
              <w:t>确定有效</w:t>
            </w:r>
            <w:r>
              <w:rPr>
                <w:rFonts w:hint="eastAsia"/>
                <w:szCs w:val="21"/>
              </w:rPr>
              <w:t>投标单位标准）提供相同品牌产品且通过资格审查、符合性审查的不同投标单位参加同一合同项下投标的，按一家投标单位计算，评审后得分最高的同品牌投标单位获得中标人推荐资格；评审得分相同的，由采购人或者采购人委托评标委员会按照招标文件规定的方式确定一个投标单位获得中标人推荐资格，招标文件未规定的采取随机抽签方式确定，其他同品牌投标单位不参加排名且不作为中标候选人。</w:t>
            </w:r>
          </w:p>
        </w:tc>
      </w:tr>
      <w:tr w14:paraId="2FBAD5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vMerge w:val="restart"/>
            <w:noWrap/>
            <w:vAlign w:val="center"/>
          </w:tcPr>
          <w:p w14:paraId="5D2C2348">
            <w:pPr>
              <w:adjustRightInd w:val="0"/>
              <w:jc w:val="center"/>
              <w:rPr>
                <w:rFonts w:ascii="宋体" w:hAnsi="宋体" w:cs="宋体"/>
                <w:szCs w:val="21"/>
              </w:rPr>
            </w:pPr>
            <w:r>
              <w:rPr>
                <w:rFonts w:hint="eastAsia" w:ascii="宋体" w:hAnsi="宋体" w:cs="宋体"/>
                <w:szCs w:val="21"/>
              </w:rPr>
              <w:t>第5.2</w:t>
            </w:r>
            <w:r>
              <w:rPr>
                <w:rFonts w:hint="eastAsia" w:ascii="宋体" w:hAnsi="宋体" w:cs="宋体"/>
                <w:kern w:val="0"/>
                <w:szCs w:val="21"/>
                <w:lang w:val="zh-CN"/>
              </w:rPr>
              <w:t>款</w:t>
            </w:r>
          </w:p>
        </w:tc>
        <w:tc>
          <w:tcPr>
            <w:tcW w:w="2856" w:type="dxa"/>
            <w:noWrap/>
            <w:vAlign w:val="center"/>
          </w:tcPr>
          <w:p w14:paraId="39DAFAD2">
            <w:pPr>
              <w:adjustRightInd w:val="0"/>
              <w:snapToGrid w:val="0"/>
              <w:spacing w:line="360" w:lineRule="auto"/>
              <w:jc w:val="center"/>
              <w:rPr>
                <w:rFonts w:ascii="宋体" w:hAnsi="宋体" w:cs="宋体"/>
              </w:rPr>
            </w:pPr>
            <w:r>
              <w:rPr>
                <w:rFonts w:hint="eastAsia" w:ascii="宋体" w:hAnsi="宋体" w:cs="宋体"/>
              </w:rPr>
              <w:t>本项目所属行业说明</w:t>
            </w:r>
          </w:p>
        </w:tc>
        <w:tc>
          <w:tcPr>
            <w:tcW w:w="5842" w:type="dxa"/>
            <w:noWrap/>
            <w:vAlign w:val="center"/>
          </w:tcPr>
          <w:p w14:paraId="15FBEF02">
            <w:pPr>
              <w:rPr>
                <w:szCs w:val="22"/>
              </w:rPr>
            </w:pPr>
            <w:r>
              <w:rPr>
                <w:rFonts w:hint="eastAsia"/>
                <w:szCs w:val="22"/>
                <w:highlight w:val="white"/>
              </w:rPr>
              <w:t>本项目中小企业划分标准所属行业</w:t>
            </w:r>
            <w:bookmarkStart w:id="84" w:name="EB6e66a2498dbb4fa09b198e05a7695250"/>
            <w:r>
              <w:rPr>
                <w:rFonts w:hint="eastAsia"/>
                <w:szCs w:val="22"/>
                <w:highlight w:val="white"/>
              </w:rPr>
              <w:t>：</w:t>
            </w:r>
            <w:r>
              <w:rPr>
                <w:rFonts w:hint="eastAsia"/>
                <w:b/>
                <w:bCs/>
                <w:szCs w:val="22"/>
                <w:highlight w:val="white"/>
                <w:u w:val="single"/>
              </w:rPr>
              <w:t>（</w:t>
            </w:r>
            <w:r>
              <w:rPr>
                <w:rFonts w:hint="eastAsia"/>
                <w:b/>
                <w:bCs/>
                <w:szCs w:val="22"/>
                <w:highlight w:val="white"/>
                <w:u w:val="single"/>
                <w:lang w:val="en-US" w:eastAsia="zh-CN"/>
              </w:rPr>
              <w:t>二</w:t>
            </w:r>
            <w:r>
              <w:rPr>
                <w:rFonts w:hint="eastAsia"/>
                <w:b/>
                <w:bCs/>
                <w:szCs w:val="22"/>
                <w:highlight w:val="white"/>
                <w:u w:val="single"/>
              </w:rPr>
              <w:t>）</w:t>
            </w:r>
            <w:r>
              <w:rPr>
                <w:rFonts w:hint="eastAsia"/>
                <w:b/>
                <w:bCs/>
                <w:szCs w:val="22"/>
                <w:highlight w:val="white"/>
                <w:u w:val="single"/>
                <w:lang w:val="en-US" w:eastAsia="zh-CN"/>
              </w:rPr>
              <w:t>工</w:t>
            </w:r>
            <w:r>
              <w:rPr>
                <w:rFonts w:hint="eastAsia"/>
                <w:b/>
                <w:bCs/>
                <w:szCs w:val="22"/>
                <w:highlight w:val="white"/>
                <w:u w:val="single"/>
              </w:rPr>
              <w:t>业</w:t>
            </w:r>
          </w:p>
          <w:bookmarkEnd w:id="84"/>
          <w:p w14:paraId="05845392">
            <w:pPr>
              <w:rPr>
                <w:szCs w:val="22"/>
              </w:rPr>
            </w:pPr>
            <w:r>
              <w:rPr>
                <w:rFonts w:hint="eastAsia"/>
                <w:szCs w:val="22"/>
                <w:highlight w:val="white"/>
              </w:rPr>
              <w:t>（一）农、林、牧、渔业</w:t>
            </w:r>
          </w:p>
          <w:p w14:paraId="63A74767">
            <w:pPr>
              <w:rPr>
                <w:szCs w:val="22"/>
              </w:rPr>
            </w:pPr>
            <w:r>
              <w:rPr>
                <w:rFonts w:hint="eastAsia"/>
                <w:szCs w:val="22"/>
                <w:highlight w:val="white"/>
              </w:rPr>
              <w:t>（二）工业</w:t>
            </w:r>
          </w:p>
          <w:p w14:paraId="7E4843AF">
            <w:pPr>
              <w:rPr>
                <w:szCs w:val="22"/>
              </w:rPr>
            </w:pPr>
            <w:r>
              <w:rPr>
                <w:rFonts w:hint="eastAsia"/>
                <w:szCs w:val="22"/>
                <w:highlight w:val="white"/>
              </w:rPr>
              <w:t>（三）建筑业</w:t>
            </w:r>
          </w:p>
          <w:p w14:paraId="722A9AF0">
            <w:pPr>
              <w:rPr>
                <w:szCs w:val="22"/>
              </w:rPr>
            </w:pPr>
            <w:r>
              <w:rPr>
                <w:rFonts w:hint="eastAsia"/>
                <w:szCs w:val="22"/>
                <w:highlight w:val="white"/>
              </w:rPr>
              <w:t>（四）批发业</w:t>
            </w:r>
          </w:p>
          <w:p w14:paraId="0F0DEF6C">
            <w:pPr>
              <w:rPr>
                <w:szCs w:val="22"/>
              </w:rPr>
            </w:pPr>
            <w:r>
              <w:rPr>
                <w:rFonts w:hint="eastAsia"/>
                <w:szCs w:val="22"/>
                <w:highlight w:val="white"/>
              </w:rPr>
              <w:t>（五）零售业</w:t>
            </w:r>
          </w:p>
          <w:p w14:paraId="1C05723B">
            <w:pPr>
              <w:rPr>
                <w:szCs w:val="22"/>
              </w:rPr>
            </w:pPr>
            <w:r>
              <w:rPr>
                <w:rFonts w:hint="eastAsia"/>
                <w:szCs w:val="22"/>
                <w:highlight w:val="white"/>
              </w:rPr>
              <w:t>（六）交通运输业</w:t>
            </w:r>
          </w:p>
          <w:p w14:paraId="1C090D42">
            <w:pPr>
              <w:tabs>
                <w:tab w:val="center" w:pos="2301"/>
              </w:tabs>
              <w:rPr>
                <w:szCs w:val="22"/>
              </w:rPr>
            </w:pPr>
            <w:r>
              <w:rPr>
                <w:rFonts w:hint="eastAsia"/>
                <w:szCs w:val="22"/>
                <w:highlight w:val="white"/>
              </w:rPr>
              <w:t>（七）仓储业</w:t>
            </w:r>
            <w:r>
              <w:rPr>
                <w:highlight w:val="white"/>
              </w:rPr>
              <w:tab/>
            </w:r>
          </w:p>
          <w:p w14:paraId="0F6CE4A7">
            <w:pPr>
              <w:rPr>
                <w:szCs w:val="22"/>
              </w:rPr>
            </w:pPr>
            <w:r>
              <w:rPr>
                <w:rFonts w:hint="eastAsia"/>
                <w:szCs w:val="22"/>
                <w:highlight w:val="white"/>
              </w:rPr>
              <w:t>（八）邮政业</w:t>
            </w:r>
          </w:p>
          <w:p w14:paraId="313B793E">
            <w:pPr>
              <w:rPr>
                <w:szCs w:val="22"/>
              </w:rPr>
            </w:pPr>
            <w:r>
              <w:rPr>
                <w:rFonts w:hint="eastAsia"/>
                <w:szCs w:val="22"/>
                <w:highlight w:val="white"/>
              </w:rPr>
              <w:t>（九）住宿业</w:t>
            </w:r>
          </w:p>
          <w:p w14:paraId="4B12117C">
            <w:pPr>
              <w:rPr>
                <w:szCs w:val="22"/>
              </w:rPr>
            </w:pPr>
            <w:r>
              <w:rPr>
                <w:rFonts w:hint="eastAsia"/>
                <w:szCs w:val="22"/>
                <w:highlight w:val="white"/>
              </w:rPr>
              <w:t>（十）餐饮业</w:t>
            </w:r>
          </w:p>
          <w:p w14:paraId="2F95D665">
            <w:pPr>
              <w:rPr>
                <w:szCs w:val="22"/>
              </w:rPr>
            </w:pPr>
            <w:r>
              <w:rPr>
                <w:rFonts w:hint="eastAsia"/>
                <w:szCs w:val="22"/>
                <w:highlight w:val="white"/>
              </w:rPr>
              <w:t>（十一）信息传输业</w:t>
            </w:r>
          </w:p>
          <w:p w14:paraId="75533EE7">
            <w:pPr>
              <w:rPr>
                <w:szCs w:val="22"/>
              </w:rPr>
            </w:pPr>
            <w:r>
              <w:rPr>
                <w:rFonts w:hint="eastAsia"/>
                <w:szCs w:val="22"/>
                <w:highlight w:val="white"/>
              </w:rPr>
              <w:t>（十二）软件和信息技术服务业</w:t>
            </w:r>
          </w:p>
          <w:p w14:paraId="6E39411A">
            <w:pPr>
              <w:rPr>
                <w:szCs w:val="22"/>
              </w:rPr>
            </w:pPr>
            <w:r>
              <w:rPr>
                <w:rFonts w:hint="eastAsia"/>
                <w:szCs w:val="22"/>
                <w:highlight w:val="white"/>
              </w:rPr>
              <w:t>（十三）房地产开发经营</w:t>
            </w:r>
          </w:p>
          <w:p w14:paraId="6ECFBE11">
            <w:pPr>
              <w:rPr>
                <w:szCs w:val="22"/>
              </w:rPr>
            </w:pPr>
            <w:r>
              <w:rPr>
                <w:rFonts w:hint="eastAsia"/>
                <w:szCs w:val="22"/>
                <w:highlight w:val="white"/>
              </w:rPr>
              <w:t>（十四）物业管理</w:t>
            </w:r>
          </w:p>
          <w:p w14:paraId="33512869">
            <w:pPr>
              <w:rPr>
                <w:szCs w:val="22"/>
              </w:rPr>
            </w:pPr>
            <w:r>
              <w:rPr>
                <w:rFonts w:hint="eastAsia"/>
                <w:szCs w:val="22"/>
                <w:highlight w:val="white"/>
              </w:rPr>
              <w:t>（十五）租赁和商务服务业</w:t>
            </w:r>
          </w:p>
          <w:p w14:paraId="7222EA3F">
            <w:pPr>
              <w:adjustRightInd w:val="0"/>
              <w:snapToGrid w:val="0"/>
              <w:spacing w:line="360" w:lineRule="auto"/>
              <w:rPr>
                <w:rFonts w:ascii="宋体" w:hAnsi="宋体" w:cs="宋体"/>
              </w:rPr>
            </w:pPr>
            <w:r>
              <w:rPr>
                <w:rFonts w:hint="eastAsia"/>
                <w:szCs w:val="22"/>
                <w:highlight w:val="white"/>
              </w:rPr>
              <w:t>（十六）其他未列明行业</w:t>
            </w:r>
          </w:p>
        </w:tc>
      </w:tr>
      <w:tr w14:paraId="511B7E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vMerge w:val="continue"/>
            <w:noWrap/>
            <w:vAlign w:val="center"/>
          </w:tcPr>
          <w:p w14:paraId="24A67577">
            <w:pPr>
              <w:adjustRightInd w:val="0"/>
              <w:jc w:val="center"/>
              <w:rPr>
                <w:rFonts w:ascii="宋体" w:hAnsi="宋体" w:cs="宋体"/>
                <w:szCs w:val="21"/>
              </w:rPr>
            </w:pPr>
          </w:p>
        </w:tc>
        <w:tc>
          <w:tcPr>
            <w:tcW w:w="2856" w:type="dxa"/>
            <w:noWrap/>
            <w:vAlign w:val="center"/>
          </w:tcPr>
          <w:p w14:paraId="2D9BB27C">
            <w:pPr>
              <w:adjustRightInd w:val="0"/>
              <w:jc w:val="center"/>
              <w:rPr>
                <w:rFonts w:ascii="宋体" w:hAnsi="宋体" w:cs="宋体"/>
                <w:szCs w:val="21"/>
              </w:rPr>
            </w:pPr>
            <w:r>
              <w:rPr>
                <w:rFonts w:hint="eastAsia" w:ascii="宋体" w:hAnsi="宋体" w:cs="宋体"/>
                <w:szCs w:val="21"/>
              </w:rPr>
              <w:t>技术、价格</w:t>
            </w:r>
            <w:r>
              <w:rPr>
                <w:rFonts w:hint="eastAsia" w:ascii="宋体" w:hAnsi="宋体" w:cs="宋体"/>
                <w:kern w:val="0"/>
                <w:szCs w:val="21"/>
              </w:rPr>
              <w:t>得分或总得分</w:t>
            </w:r>
            <w:r>
              <w:rPr>
                <w:rFonts w:hint="eastAsia" w:ascii="宋体" w:hAnsi="宋体" w:cs="宋体"/>
                <w:szCs w:val="21"/>
              </w:rPr>
              <w:t>调整</w:t>
            </w:r>
          </w:p>
        </w:tc>
        <w:tc>
          <w:tcPr>
            <w:tcW w:w="5842" w:type="dxa"/>
            <w:noWrap/>
            <w:vAlign w:val="center"/>
          </w:tcPr>
          <w:p w14:paraId="6358539F">
            <w:r>
              <w:rPr>
                <w:rFonts w:hint="eastAsia"/>
              </w:rPr>
              <w:t>1、节能产品：</w:t>
            </w:r>
          </w:p>
          <w:p w14:paraId="23D96935">
            <w:r>
              <w:rPr>
                <w:rFonts w:hint="eastAsia"/>
              </w:rPr>
              <w:t>技术加分＝技术分值×加分比例×（节能产品报价÷总报价）；</w:t>
            </w:r>
          </w:p>
          <w:p w14:paraId="3E383684">
            <w:r>
              <w:rPr>
                <w:rFonts w:hint="eastAsia"/>
              </w:rPr>
              <w:t>价格加分＝价格分值×加分比例×（节能产品报价÷总报价）。</w:t>
            </w:r>
          </w:p>
          <w:p w14:paraId="6285DDE2">
            <w:r>
              <w:rPr>
                <w:rFonts w:hint="eastAsia"/>
              </w:rPr>
              <w:t>2、环境标志产品：</w:t>
            </w:r>
          </w:p>
          <w:p w14:paraId="3599CA6A">
            <w:r>
              <w:rPr>
                <w:rFonts w:hint="eastAsia"/>
              </w:rPr>
              <w:t>技术加分＝技术分值×加分比例×（环境标志产品报价÷总报价）；</w:t>
            </w:r>
          </w:p>
          <w:p w14:paraId="1B2A242B">
            <w:pPr>
              <w:rPr>
                <w:rFonts w:ascii="宋体" w:hAnsi="宋体" w:cs="宋体"/>
                <w:szCs w:val="21"/>
              </w:rPr>
            </w:pPr>
            <w:r>
              <w:rPr>
                <w:rFonts w:hint="eastAsia"/>
              </w:rPr>
              <w:t>价格加分＝价格分值×加分比例×（环境标志产品报价÷总报价）。</w:t>
            </w:r>
          </w:p>
        </w:tc>
      </w:tr>
      <w:tr w14:paraId="50AB01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vMerge w:val="continue"/>
            <w:noWrap/>
            <w:vAlign w:val="center"/>
          </w:tcPr>
          <w:p w14:paraId="238E910F">
            <w:pPr>
              <w:adjustRightInd w:val="0"/>
              <w:snapToGrid w:val="0"/>
              <w:spacing w:line="360" w:lineRule="auto"/>
              <w:jc w:val="center"/>
              <w:rPr>
                <w:rFonts w:ascii="宋体" w:hAnsi="宋体" w:cs="宋体"/>
                <w:szCs w:val="21"/>
              </w:rPr>
            </w:pPr>
          </w:p>
        </w:tc>
        <w:tc>
          <w:tcPr>
            <w:tcW w:w="2856" w:type="dxa"/>
            <w:noWrap/>
            <w:vAlign w:val="center"/>
          </w:tcPr>
          <w:p w14:paraId="6F7A4C9C">
            <w:pPr>
              <w:adjustRightInd w:val="0"/>
              <w:snapToGrid w:val="0"/>
              <w:spacing w:line="360" w:lineRule="auto"/>
              <w:jc w:val="center"/>
              <w:rPr>
                <w:rFonts w:ascii="宋体" w:hAnsi="宋体" w:cs="宋体"/>
                <w:szCs w:val="21"/>
              </w:rPr>
            </w:pPr>
            <w:r>
              <w:rPr>
                <w:rFonts w:hint="eastAsia" w:ascii="宋体" w:hAnsi="宋体" w:cs="宋体"/>
                <w:szCs w:val="21"/>
              </w:rPr>
              <w:t>价格评审优惠</w:t>
            </w:r>
          </w:p>
        </w:tc>
        <w:tc>
          <w:tcPr>
            <w:tcW w:w="5842" w:type="dxa"/>
            <w:noWrap/>
            <w:vAlign w:val="center"/>
          </w:tcPr>
          <w:p w14:paraId="59BFA12C">
            <w:pPr>
              <w:adjustRightInd w:val="0"/>
              <w:rPr>
                <w:rFonts w:ascii="宋体" w:hAnsi="宋体" w:cs="宋体"/>
                <w:szCs w:val="21"/>
              </w:rPr>
            </w:pPr>
            <w:r>
              <w:rPr>
                <w:rFonts w:hint="eastAsia" w:ascii="宋体" w:hAnsi="宋体" w:cs="宋体"/>
                <w:szCs w:val="21"/>
              </w:rPr>
              <w:t>①给予小型、微型企业、福利企业和监狱企业产品的价格给予10%-20%的扣除，用扣除后的价格参与评审，本项目具体扣除比例为</w:t>
            </w:r>
            <w:r>
              <w:rPr>
                <w:rFonts w:hint="eastAsia" w:ascii="宋体" w:hAnsi="宋体" w:cs="宋体"/>
                <w:szCs w:val="21"/>
                <w:u w:val="single"/>
              </w:rPr>
              <w:t xml:space="preserve"> 10％</w:t>
            </w:r>
            <w:r>
              <w:rPr>
                <w:rFonts w:hint="eastAsia" w:ascii="宋体" w:hAnsi="宋体" w:cs="宋体"/>
                <w:szCs w:val="21"/>
              </w:rPr>
              <w:t>，不重复享受政策；</w:t>
            </w:r>
          </w:p>
          <w:p w14:paraId="4D68C4FD">
            <w:pPr>
              <w:adjustRightInd w:val="0"/>
            </w:pPr>
            <w:r>
              <w:rPr>
                <w:rFonts w:hint="eastAsia" w:ascii="宋体" w:hAnsi="宋体" w:cs="宋体"/>
                <w:szCs w:val="21"/>
              </w:rPr>
              <w:t>②给予联合体2%-3%的价格扣除，用扣除后的价格参与评审，本项目具体扣除比例为</w:t>
            </w:r>
            <w:r>
              <w:rPr>
                <w:rFonts w:hint="eastAsia" w:ascii="宋体" w:hAnsi="宋体" w:cs="宋体"/>
                <w:szCs w:val="21"/>
                <w:u w:val="single"/>
              </w:rPr>
              <w:t xml:space="preserve"> / </w:t>
            </w:r>
            <w:r>
              <w:rPr>
                <w:rFonts w:hint="eastAsia" w:ascii="宋体" w:hAnsi="宋体" w:cs="宋体"/>
                <w:szCs w:val="21"/>
              </w:rPr>
              <w:t>％。本文件所称联合体价格扣除是指联合协议中约定，小型、微型企业的协议合同金额占到联合体协议合同总金额30%以上的，可给予联合体价格扣除,本项目的扣除比例为</w:t>
            </w:r>
            <w:r>
              <w:rPr>
                <w:rFonts w:hint="eastAsia" w:ascii="宋体" w:hAnsi="宋体" w:cs="宋体"/>
                <w:szCs w:val="21"/>
                <w:u w:val="single"/>
              </w:rPr>
              <w:t xml:space="preserve"> / </w:t>
            </w:r>
            <w:r>
              <w:rPr>
                <w:rFonts w:hint="eastAsia" w:ascii="宋体" w:hAnsi="宋体" w:cs="宋体"/>
                <w:szCs w:val="21"/>
              </w:rPr>
              <w:t>%。</w:t>
            </w:r>
          </w:p>
        </w:tc>
      </w:tr>
      <w:tr w14:paraId="350465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487" w:type="dxa"/>
            <w:vMerge w:val="continue"/>
            <w:noWrap/>
            <w:vAlign w:val="center"/>
          </w:tcPr>
          <w:p w14:paraId="22B5EFA4">
            <w:pPr>
              <w:adjustRightInd w:val="0"/>
              <w:snapToGrid w:val="0"/>
              <w:spacing w:line="360" w:lineRule="auto"/>
              <w:jc w:val="center"/>
              <w:rPr>
                <w:rFonts w:ascii="宋体" w:hAnsi="宋体" w:cs="宋体"/>
                <w:szCs w:val="21"/>
              </w:rPr>
            </w:pPr>
          </w:p>
        </w:tc>
        <w:tc>
          <w:tcPr>
            <w:tcW w:w="2856" w:type="dxa"/>
            <w:noWrap/>
            <w:vAlign w:val="center"/>
          </w:tcPr>
          <w:p w14:paraId="6D543882">
            <w:pPr>
              <w:adjustRightInd w:val="0"/>
              <w:snapToGrid w:val="0"/>
              <w:spacing w:line="360" w:lineRule="auto"/>
              <w:jc w:val="center"/>
              <w:rPr>
                <w:rFonts w:ascii="宋体" w:hAnsi="宋体" w:cs="宋体"/>
                <w:szCs w:val="21"/>
              </w:rPr>
            </w:pPr>
            <w:r>
              <w:rPr>
                <w:rFonts w:hint="eastAsia" w:ascii="宋体" w:hAnsi="宋体" w:cs="宋体"/>
                <w:szCs w:val="21"/>
              </w:rPr>
              <w:t>优先采购</w:t>
            </w:r>
          </w:p>
        </w:tc>
        <w:tc>
          <w:tcPr>
            <w:tcW w:w="5842" w:type="dxa"/>
            <w:noWrap/>
            <w:vAlign w:val="center"/>
          </w:tcPr>
          <w:p w14:paraId="39B7BE71">
            <w:pPr>
              <w:widowControl/>
              <w:jc w:val="left"/>
              <w:rPr>
                <w:rFonts w:ascii="宋体" w:hAnsi="宋体" w:cs="宋体"/>
                <w:b w:val="0"/>
                <w:bCs w:val="0"/>
                <w:szCs w:val="21"/>
              </w:rPr>
            </w:pPr>
            <w:r>
              <w:rPr>
                <w:rFonts w:hint="eastAsia" w:ascii="宋体" w:hAnsi="宋体" w:cs="宋体"/>
                <w:b w:val="0"/>
                <w:bCs w:val="0"/>
                <w:kern w:val="0"/>
                <w:szCs w:val="21"/>
              </w:rPr>
              <w:t>①非强制采购节能产品:</w:t>
            </w:r>
            <w:r>
              <w:rPr>
                <w:rFonts w:hint="eastAsia" w:ascii="宋体" w:hAnsi="宋体" w:cs="宋体"/>
                <w:b w:val="0"/>
                <w:bCs w:val="0"/>
                <w:szCs w:val="21"/>
              </w:rPr>
              <w:t>对于技术和价格分，应分别给予</w:t>
            </w:r>
            <w:r>
              <w:rPr>
                <w:rFonts w:hint="eastAsia" w:ascii="宋体" w:hAnsi="宋体" w:cs="宋体"/>
                <w:b w:val="0"/>
                <w:bCs w:val="0"/>
                <w:kern w:val="0"/>
                <w:szCs w:val="21"/>
              </w:rPr>
              <w:t>一级评标因素权重</w:t>
            </w:r>
            <w:r>
              <w:rPr>
                <w:rFonts w:hint="eastAsia" w:ascii="宋体" w:hAnsi="宋体" w:cs="宋体"/>
                <w:b w:val="0"/>
                <w:bCs w:val="0"/>
                <w:szCs w:val="21"/>
              </w:rPr>
              <w:t>4%-8%的加分。本项目具体加分比例分别为 ：技术</w:t>
            </w:r>
            <w:r>
              <w:rPr>
                <w:rFonts w:hint="eastAsia" w:ascii="宋体" w:hAnsi="宋体"/>
                <w:b w:val="0"/>
                <w:bCs w:val="0"/>
                <w:szCs w:val="21"/>
                <w:u w:val="single"/>
              </w:rPr>
              <w:t xml:space="preserve">  </w:t>
            </w:r>
            <w:r>
              <w:rPr>
                <w:rFonts w:hint="eastAsia" w:ascii="宋体" w:hAnsi="宋体"/>
                <w:b w:val="0"/>
                <w:bCs w:val="0"/>
                <w:szCs w:val="21"/>
                <w:u w:val="single"/>
                <w:lang w:val="en-US" w:eastAsia="zh-CN"/>
              </w:rPr>
              <w:t>4</w:t>
            </w:r>
            <w:r>
              <w:rPr>
                <w:rFonts w:hint="eastAsia" w:ascii="宋体" w:hAnsi="宋体"/>
                <w:b w:val="0"/>
                <w:bCs w:val="0"/>
                <w:szCs w:val="21"/>
                <w:u w:val="single"/>
              </w:rPr>
              <w:t xml:space="preserve">  </w:t>
            </w:r>
            <w:r>
              <w:rPr>
                <w:rFonts w:hint="eastAsia" w:ascii="宋体" w:hAnsi="宋体" w:cs="宋体"/>
                <w:b w:val="0"/>
                <w:bCs w:val="0"/>
                <w:szCs w:val="21"/>
              </w:rPr>
              <w:t>%、价格</w:t>
            </w:r>
            <w:r>
              <w:rPr>
                <w:rFonts w:hint="eastAsia" w:ascii="宋体" w:hAnsi="宋体"/>
                <w:b w:val="0"/>
                <w:bCs w:val="0"/>
                <w:szCs w:val="21"/>
                <w:u w:val="single"/>
              </w:rPr>
              <w:t xml:space="preserve">  </w:t>
            </w:r>
            <w:r>
              <w:rPr>
                <w:rFonts w:hint="eastAsia" w:ascii="宋体" w:hAnsi="宋体"/>
                <w:b w:val="0"/>
                <w:bCs w:val="0"/>
                <w:szCs w:val="21"/>
                <w:u w:val="single"/>
                <w:lang w:val="en-US" w:eastAsia="zh-CN"/>
              </w:rPr>
              <w:t xml:space="preserve">4  </w:t>
            </w:r>
            <w:r>
              <w:rPr>
                <w:rFonts w:hint="eastAsia" w:ascii="宋体" w:hAnsi="宋体"/>
                <w:b w:val="0"/>
                <w:bCs w:val="0"/>
                <w:szCs w:val="21"/>
              </w:rPr>
              <w:t>%。</w:t>
            </w:r>
          </w:p>
          <w:p w14:paraId="78850B6B">
            <w:pPr>
              <w:widowControl/>
              <w:jc w:val="left"/>
              <w:rPr>
                <w:rFonts w:ascii="宋体" w:hAnsi="宋体"/>
                <w:b w:val="0"/>
                <w:bCs w:val="0"/>
                <w:szCs w:val="21"/>
              </w:rPr>
            </w:pPr>
            <w:r>
              <w:rPr>
                <w:rFonts w:hint="eastAsia" w:ascii="宋体" w:hAnsi="宋体" w:cs="宋体"/>
                <w:b w:val="0"/>
                <w:bCs w:val="0"/>
                <w:kern w:val="0"/>
                <w:szCs w:val="21"/>
              </w:rPr>
              <w:t>②环境标志产品:</w:t>
            </w:r>
            <w:r>
              <w:rPr>
                <w:rFonts w:hint="eastAsia" w:ascii="宋体" w:hAnsi="宋体" w:cs="宋体"/>
                <w:b w:val="0"/>
                <w:bCs w:val="0"/>
                <w:szCs w:val="21"/>
              </w:rPr>
              <w:t>对于技术和价格分，应分别给予</w:t>
            </w:r>
            <w:r>
              <w:rPr>
                <w:rFonts w:hint="eastAsia" w:ascii="宋体" w:hAnsi="宋体" w:cs="宋体"/>
                <w:b w:val="0"/>
                <w:bCs w:val="0"/>
                <w:kern w:val="0"/>
                <w:szCs w:val="21"/>
              </w:rPr>
              <w:t>一级评标因素权重</w:t>
            </w:r>
            <w:r>
              <w:rPr>
                <w:rFonts w:hint="eastAsia" w:ascii="宋体" w:hAnsi="宋体" w:cs="宋体"/>
                <w:b w:val="0"/>
                <w:bCs w:val="0"/>
                <w:szCs w:val="21"/>
              </w:rPr>
              <w:t>4%-8%的加分。本项目具体加分比例分别为：技术</w:t>
            </w:r>
            <w:r>
              <w:rPr>
                <w:rFonts w:hint="eastAsia" w:ascii="宋体" w:hAnsi="宋体" w:cs="宋体"/>
                <w:b w:val="0"/>
                <w:bCs w:val="0"/>
                <w:szCs w:val="21"/>
                <w:u w:val="single"/>
                <w:lang w:val="en-US" w:eastAsia="zh-CN"/>
              </w:rPr>
              <w:t xml:space="preserve">  </w:t>
            </w:r>
            <w:r>
              <w:rPr>
                <w:rFonts w:hint="eastAsia" w:ascii="宋体" w:hAnsi="宋体"/>
                <w:b w:val="0"/>
                <w:bCs w:val="0"/>
                <w:szCs w:val="21"/>
                <w:u w:val="single"/>
                <w:lang w:val="en-US" w:eastAsia="zh-CN"/>
              </w:rPr>
              <w:t>4</w:t>
            </w:r>
            <w:r>
              <w:rPr>
                <w:rFonts w:hint="eastAsia" w:ascii="宋体" w:hAnsi="宋体"/>
                <w:b w:val="0"/>
                <w:bCs w:val="0"/>
                <w:szCs w:val="21"/>
                <w:u w:val="single"/>
              </w:rPr>
              <w:t xml:space="preserve"> </w:t>
            </w:r>
            <w:r>
              <w:rPr>
                <w:rFonts w:hint="eastAsia" w:ascii="宋体" w:hAnsi="宋体"/>
                <w:b w:val="0"/>
                <w:bCs w:val="0"/>
                <w:szCs w:val="21"/>
                <w:u w:val="single"/>
                <w:lang w:val="en-US" w:eastAsia="zh-CN"/>
              </w:rPr>
              <w:t xml:space="preserve"> </w:t>
            </w:r>
            <w:r>
              <w:rPr>
                <w:rFonts w:hint="eastAsia" w:ascii="宋体" w:hAnsi="宋体"/>
                <w:b w:val="0"/>
                <w:bCs w:val="0"/>
                <w:szCs w:val="21"/>
              </w:rPr>
              <w:t>%</w:t>
            </w:r>
            <w:r>
              <w:rPr>
                <w:rFonts w:hint="eastAsia" w:ascii="宋体" w:hAnsi="宋体" w:cs="宋体"/>
                <w:b w:val="0"/>
                <w:bCs w:val="0"/>
                <w:szCs w:val="21"/>
              </w:rPr>
              <w:t>、价格</w:t>
            </w:r>
            <w:r>
              <w:rPr>
                <w:rFonts w:hint="eastAsia" w:ascii="宋体" w:hAnsi="宋体"/>
                <w:b w:val="0"/>
                <w:bCs w:val="0"/>
                <w:szCs w:val="21"/>
                <w:u w:val="single"/>
              </w:rPr>
              <w:t xml:space="preserve">  </w:t>
            </w:r>
            <w:r>
              <w:rPr>
                <w:rFonts w:hint="eastAsia" w:ascii="宋体" w:hAnsi="宋体"/>
                <w:b w:val="0"/>
                <w:bCs w:val="0"/>
                <w:szCs w:val="21"/>
                <w:u w:val="single"/>
                <w:lang w:val="en-US" w:eastAsia="zh-CN"/>
              </w:rPr>
              <w:t>4</w:t>
            </w:r>
            <w:r>
              <w:rPr>
                <w:rFonts w:hint="eastAsia" w:ascii="宋体" w:hAnsi="宋体"/>
                <w:b w:val="0"/>
                <w:bCs w:val="0"/>
                <w:szCs w:val="21"/>
                <w:u w:val="single"/>
              </w:rPr>
              <w:t xml:space="preserve">  </w:t>
            </w:r>
            <w:r>
              <w:rPr>
                <w:rFonts w:hint="eastAsia" w:ascii="宋体" w:hAnsi="宋体"/>
                <w:b w:val="0"/>
                <w:bCs w:val="0"/>
                <w:szCs w:val="21"/>
              </w:rPr>
              <w:t>%。</w:t>
            </w:r>
          </w:p>
          <w:p w14:paraId="60A96424">
            <w:pPr>
              <w:widowControl/>
              <w:jc w:val="left"/>
              <w:rPr>
                <w:rFonts w:ascii="宋体" w:hAnsi="宋体" w:cs="宋体"/>
              </w:rPr>
            </w:pPr>
            <w:r>
              <w:rPr>
                <w:rFonts w:hint="eastAsia" w:ascii="宋体" w:hAnsi="宋体" w:cs="宋体"/>
                <w:kern w:val="0"/>
                <w:szCs w:val="21"/>
              </w:rPr>
              <w:t>上述两类产品中取其中一类进行加分。</w:t>
            </w:r>
          </w:p>
        </w:tc>
      </w:tr>
    </w:tbl>
    <w:p w14:paraId="21CC435F">
      <w:pPr>
        <w:adjustRightInd w:val="0"/>
        <w:snapToGrid w:val="0"/>
        <w:spacing w:line="360" w:lineRule="auto"/>
        <w:ind w:right="26"/>
        <w:rPr>
          <w:rFonts w:ascii="宋体" w:hAnsi="宋体" w:cs="宋体"/>
          <w:szCs w:val="21"/>
        </w:rPr>
      </w:pPr>
    </w:p>
    <w:p w14:paraId="141D380C">
      <w:pPr>
        <w:adjustRightInd w:val="0"/>
        <w:snapToGrid w:val="0"/>
        <w:spacing w:line="360" w:lineRule="auto"/>
        <w:ind w:right="26"/>
        <w:jc w:val="left"/>
        <w:rPr>
          <w:rFonts w:ascii="宋体" w:hAnsi="宋体" w:cs="宋体"/>
          <w:szCs w:val="21"/>
        </w:rPr>
      </w:pPr>
      <w:r>
        <w:rPr>
          <w:rFonts w:hint="eastAsia" w:ascii="宋体" w:hAnsi="宋体" w:cs="宋体"/>
          <w:szCs w:val="21"/>
        </w:rPr>
        <w:br w:type="page"/>
      </w:r>
      <w:r>
        <w:rPr>
          <w:rFonts w:hint="eastAsia" w:ascii="宋体" w:hAnsi="宋体" w:cs="宋体"/>
          <w:szCs w:val="21"/>
        </w:rPr>
        <w:t>附页3-1</w:t>
      </w:r>
    </w:p>
    <w:p w14:paraId="78019A8D">
      <w:pPr>
        <w:jc w:val="center"/>
        <w:outlineLvl w:val="0"/>
        <w:rPr>
          <w:rFonts w:ascii="宋体" w:hAnsi="宋体" w:cs="宋体"/>
          <w:b/>
          <w:bCs/>
          <w:kern w:val="0"/>
          <w:sz w:val="28"/>
          <w:szCs w:val="28"/>
        </w:rPr>
      </w:pPr>
      <w:bookmarkStart w:id="85" w:name="_Toc13152"/>
      <w:r>
        <w:rPr>
          <w:rFonts w:hint="eastAsia" w:ascii="宋体" w:hAnsi="宋体" w:cs="宋体"/>
          <w:b/>
          <w:bCs/>
          <w:sz w:val="28"/>
          <w:szCs w:val="28"/>
        </w:rPr>
        <w:t xml:space="preserve">     </w:t>
      </w:r>
      <w:bookmarkStart w:id="86" w:name="_Toc14212"/>
      <w:r>
        <w:rPr>
          <w:rFonts w:hint="eastAsia" w:ascii="宋体" w:hAnsi="宋体" w:cs="宋体"/>
          <w:b/>
          <w:bCs/>
          <w:sz w:val="28"/>
          <w:szCs w:val="28"/>
        </w:rPr>
        <w:t>初步评审（</w:t>
      </w:r>
      <w:r>
        <w:rPr>
          <w:rFonts w:hint="eastAsia" w:ascii="宋体" w:hAnsi="宋体" w:cs="宋体"/>
          <w:b/>
          <w:bCs/>
          <w:kern w:val="0"/>
          <w:sz w:val="28"/>
          <w:szCs w:val="28"/>
        </w:rPr>
        <w:t>资格性</w:t>
      </w:r>
      <w:r>
        <w:rPr>
          <w:rFonts w:hint="eastAsia" w:ascii="宋体" w:hAnsi="宋体" w:cs="宋体"/>
          <w:b/>
          <w:bCs/>
          <w:sz w:val="28"/>
          <w:szCs w:val="28"/>
        </w:rPr>
        <w:t>检</w:t>
      </w:r>
      <w:r>
        <w:rPr>
          <w:rFonts w:hint="eastAsia" w:ascii="宋体" w:hAnsi="宋体" w:cs="宋体"/>
          <w:b/>
          <w:bCs/>
          <w:kern w:val="0"/>
          <w:sz w:val="28"/>
          <w:szCs w:val="28"/>
        </w:rPr>
        <w:t>查、符合性检查）</w:t>
      </w:r>
      <w:bookmarkEnd w:id="85"/>
      <w:bookmarkEnd w:id="86"/>
    </w:p>
    <w:p w14:paraId="45F1D34B">
      <w:pPr>
        <w:pStyle w:val="3"/>
        <w:jc w:val="center"/>
      </w:pPr>
    </w:p>
    <w:tbl>
      <w:tblPr>
        <w:tblStyle w:val="40"/>
        <w:tblW w:w="99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541"/>
        <w:gridCol w:w="6511"/>
      </w:tblGrid>
      <w:tr w14:paraId="6B31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CE5B063">
            <w:pPr>
              <w:pStyle w:val="115"/>
              <w:jc w:val="center"/>
              <w:rPr>
                <w:rFonts w:ascii="宋体" w:hAnsi="宋体" w:eastAsia="宋体" w:cs="宋体"/>
                <w:sz w:val="21"/>
              </w:rPr>
            </w:pPr>
            <w:r>
              <w:rPr>
                <w:rFonts w:hint="eastAsia" w:ascii="宋体" w:hAnsi="宋体" w:eastAsia="宋体" w:cs="宋体"/>
                <w:sz w:val="21"/>
              </w:rPr>
              <w:t>条款号</w:t>
            </w: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9CED668">
            <w:pPr>
              <w:pStyle w:val="115"/>
              <w:jc w:val="center"/>
              <w:rPr>
                <w:rFonts w:ascii="宋体" w:hAnsi="宋体" w:eastAsia="宋体" w:cs="宋体"/>
                <w:sz w:val="21"/>
              </w:rPr>
            </w:pPr>
            <w:r>
              <w:rPr>
                <w:rFonts w:hint="eastAsia" w:ascii="宋体" w:hAnsi="宋体" w:eastAsia="宋体" w:cs="宋体"/>
                <w:sz w:val="21"/>
              </w:rPr>
              <w:t>评分点名称</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AE436F4">
            <w:pPr>
              <w:pStyle w:val="115"/>
              <w:jc w:val="center"/>
              <w:rPr>
                <w:rFonts w:ascii="宋体" w:hAnsi="宋体" w:eastAsia="宋体" w:cs="宋体"/>
                <w:sz w:val="21"/>
              </w:rPr>
            </w:pPr>
            <w:r>
              <w:rPr>
                <w:rFonts w:hint="eastAsia" w:ascii="宋体" w:hAnsi="宋体" w:eastAsia="宋体" w:cs="宋体"/>
                <w:sz w:val="21"/>
              </w:rPr>
              <w:t>评审标准</w:t>
            </w:r>
          </w:p>
        </w:tc>
      </w:tr>
      <w:tr w14:paraId="30F5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5660632">
            <w:pPr>
              <w:pStyle w:val="115"/>
              <w:jc w:val="center"/>
              <w:rPr>
                <w:rFonts w:ascii="宋体" w:hAnsi="宋体" w:eastAsia="宋体" w:cs="宋体"/>
                <w:sz w:val="21"/>
              </w:rPr>
            </w:pPr>
            <w:r>
              <w:rPr>
                <w:rFonts w:hint="eastAsia" w:ascii="宋体" w:hAnsi="宋体" w:eastAsia="宋体" w:cs="宋体"/>
                <w:sz w:val="21"/>
              </w:rPr>
              <w:t>资格</w:t>
            </w:r>
          </w:p>
          <w:p w14:paraId="3E603CE9">
            <w:pPr>
              <w:pStyle w:val="115"/>
              <w:jc w:val="center"/>
              <w:rPr>
                <w:rFonts w:ascii="宋体" w:hAnsi="宋体" w:eastAsia="宋体" w:cs="宋体"/>
                <w:sz w:val="21"/>
              </w:rPr>
            </w:pPr>
            <w:r>
              <w:rPr>
                <w:rFonts w:hint="eastAsia" w:ascii="宋体" w:hAnsi="宋体" w:eastAsia="宋体" w:cs="宋体"/>
                <w:sz w:val="21"/>
              </w:rPr>
              <w:t>评审</w:t>
            </w: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382A26D">
            <w:pPr>
              <w:pStyle w:val="115"/>
              <w:jc w:val="center"/>
              <w:rPr>
                <w:rFonts w:ascii="宋体" w:hAnsi="宋体" w:eastAsia="宋体" w:cs="宋体"/>
                <w:sz w:val="21"/>
                <w:szCs w:val="21"/>
              </w:rPr>
            </w:pPr>
            <w:r>
              <w:rPr>
                <w:rFonts w:hint="eastAsia" w:ascii="宋体" w:hAnsi="宋体" w:eastAsia="宋体" w:cs="宋体"/>
                <w:sz w:val="21"/>
                <w:szCs w:val="21"/>
              </w:rPr>
              <w:t>法人营业执照</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B595129">
            <w:pPr>
              <w:pStyle w:val="115"/>
              <w:rPr>
                <w:rFonts w:ascii="宋体" w:hAnsi="宋体" w:eastAsia="宋体" w:cs="宋体"/>
                <w:sz w:val="21"/>
                <w:szCs w:val="21"/>
              </w:rPr>
            </w:pPr>
            <w:r>
              <w:rPr>
                <w:rFonts w:hint="eastAsia" w:ascii="宋体" w:hAnsi="宋体" w:eastAsia="宋体" w:cs="宋体"/>
                <w:sz w:val="21"/>
                <w:szCs w:val="21"/>
              </w:rPr>
              <w:t>法人提交企业法人营业执照副本(或者法人登记证书)以及组织机构代码证副本扫描件</w:t>
            </w:r>
          </w:p>
        </w:tc>
      </w:tr>
      <w:tr w14:paraId="2E3E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81995A3">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CE6DE79">
            <w:pPr>
              <w:pStyle w:val="115"/>
              <w:rPr>
                <w:rFonts w:ascii="宋体" w:hAnsi="宋体" w:eastAsia="宋体" w:cs="宋体"/>
                <w:sz w:val="21"/>
                <w:szCs w:val="21"/>
              </w:rPr>
            </w:pPr>
            <w:r>
              <w:rPr>
                <w:rFonts w:hint="eastAsia" w:ascii="宋体" w:hAnsi="宋体" w:eastAsia="宋体" w:cs="宋体"/>
                <w:sz w:val="21"/>
                <w:szCs w:val="21"/>
              </w:rPr>
              <w:t>法定代表人（或负责人）或法人（负责人）授权委托书原件及复印件</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5A739F7">
            <w:pPr>
              <w:pStyle w:val="115"/>
              <w:rPr>
                <w:rFonts w:ascii="宋体" w:hAnsi="宋体" w:eastAsia="宋体" w:cs="宋体"/>
                <w:sz w:val="21"/>
                <w:szCs w:val="21"/>
              </w:rPr>
            </w:pPr>
            <w:r>
              <w:rPr>
                <w:rFonts w:hint="eastAsia" w:ascii="宋体" w:hAnsi="宋体" w:eastAsia="宋体" w:cs="宋体"/>
                <w:sz w:val="21"/>
                <w:szCs w:val="21"/>
              </w:rPr>
              <w:t>法人提交法定代表人身份证明扫描件或者法定代表人授权委托书扫描件以及被授权代表人在投标单位或投标单位依法登记的分支机构近三个月内任意一个月的社保证明并附法定代表人身份证明扫描件，自然人提交身份证扫描件。</w:t>
            </w:r>
          </w:p>
        </w:tc>
      </w:tr>
      <w:tr w14:paraId="2454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071627F">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7239B44">
            <w:pPr>
              <w:pStyle w:val="115"/>
              <w:jc w:val="center"/>
              <w:rPr>
                <w:rFonts w:ascii="宋体" w:hAnsi="宋体" w:eastAsia="宋体" w:cs="宋体"/>
                <w:sz w:val="21"/>
                <w:szCs w:val="21"/>
              </w:rPr>
            </w:pPr>
            <w:r>
              <w:rPr>
                <w:rFonts w:hint="eastAsia" w:ascii="宋体" w:hAnsi="宋体" w:eastAsia="宋体" w:cs="宋体"/>
                <w:sz w:val="21"/>
                <w:szCs w:val="21"/>
              </w:rPr>
              <w:t>依法缴纳税收和社会保险费的证明材料</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333E54F">
            <w:pPr>
              <w:adjustRightInd w:val="0"/>
              <w:snapToGrid w:val="0"/>
              <w:spacing w:line="330" w:lineRule="exact"/>
              <w:rPr>
                <w:rFonts w:ascii="宋体" w:hAnsi="宋体"/>
                <w:sz w:val="21"/>
                <w:szCs w:val="21"/>
              </w:rPr>
            </w:pPr>
            <w:r>
              <w:rPr>
                <w:rFonts w:hint="eastAsia" w:ascii="宋体" w:hAnsi="宋体"/>
                <w:sz w:val="21"/>
                <w:szCs w:val="21"/>
              </w:rPr>
              <w:t>依法缴纳税收和社会保险费的证明材料,各上传下列材料之一:</w:t>
            </w:r>
          </w:p>
          <w:p w14:paraId="7810E535">
            <w:pPr>
              <w:adjustRightInd w:val="0"/>
              <w:snapToGrid w:val="0"/>
              <w:spacing w:line="330" w:lineRule="exact"/>
              <w:rPr>
                <w:rFonts w:ascii="宋体" w:hAnsi="宋体"/>
                <w:sz w:val="21"/>
                <w:szCs w:val="21"/>
              </w:rPr>
            </w:pPr>
            <w:r>
              <w:rPr>
                <w:rFonts w:hint="eastAsia" w:ascii="宋体" w:hAnsi="宋体"/>
                <w:sz w:val="21"/>
                <w:szCs w:val="21"/>
              </w:rPr>
              <w:t>①缴纳税收证明资料:近三个月内任意一个月依法缴纳税收的证明（纳税凭证扫描件），或者委托他人缴纳的委托代办协议和近三个月内任意一个月的缴纳证明（收据扫描件），或者法定征收机关出具的依法免缴税收的证明扫描件，或或湖南省政府采购供应商资格承诺函扫描件</w:t>
            </w:r>
            <w:r>
              <w:rPr>
                <w:rFonts w:hint="eastAsia" w:ascii="宋体" w:hAnsi="宋体" w:cs="宋体"/>
                <w:sz w:val="21"/>
                <w:szCs w:val="21"/>
              </w:rPr>
              <w:t>。</w:t>
            </w:r>
          </w:p>
          <w:p w14:paraId="263D3F2B">
            <w:pPr>
              <w:pStyle w:val="115"/>
              <w:rPr>
                <w:rFonts w:ascii="宋体" w:hAnsi="宋体" w:eastAsia="宋体" w:cs="宋体"/>
                <w:sz w:val="21"/>
                <w:szCs w:val="21"/>
              </w:rPr>
            </w:pPr>
            <w:r>
              <w:rPr>
                <w:rFonts w:hint="eastAsia" w:ascii="宋体" w:hAnsi="宋体"/>
                <w:sz w:val="21"/>
                <w:szCs w:val="21"/>
              </w:rPr>
              <w:t>②缴纳社会保险证明资料：近三个月内任意一个月依法缴纳社会保险的证明（缴费凭证扫描件），或者委托他人缴纳的委托代办协议和近三个月内任意一个月的缴纳证明（收据扫描件），或者法定征收机关出具的依法免缴保险费的证明扫描件，或或湖南省政府采购供应商资格承诺函扫描件。</w:t>
            </w:r>
          </w:p>
        </w:tc>
      </w:tr>
      <w:tr w14:paraId="6035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09E2CD1">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5877137">
            <w:pPr>
              <w:pStyle w:val="115"/>
              <w:jc w:val="center"/>
              <w:rPr>
                <w:rFonts w:ascii="宋体" w:hAnsi="宋体" w:eastAsia="宋体" w:cs="宋体"/>
                <w:sz w:val="21"/>
                <w:szCs w:val="21"/>
              </w:rPr>
            </w:pPr>
            <w:r>
              <w:rPr>
                <w:rFonts w:hint="eastAsia" w:ascii="宋体" w:hAnsi="宋体" w:eastAsia="宋体" w:cs="宋体"/>
                <w:sz w:val="21"/>
                <w:szCs w:val="21"/>
              </w:rPr>
              <w:t>其他说明</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EA0956F">
            <w:pPr>
              <w:pStyle w:val="115"/>
              <w:jc w:val="center"/>
              <w:rPr>
                <w:rFonts w:ascii="宋体" w:hAnsi="宋体" w:eastAsia="宋体" w:cs="宋体"/>
                <w:sz w:val="21"/>
                <w:szCs w:val="21"/>
              </w:rPr>
            </w:pPr>
            <w:r>
              <w:rPr>
                <w:rFonts w:hint="eastAsia" w:ascii="宋体" w:hAnsi="宋体" w:eastAsia="宋体" w:cs="宋体"/>
                <w:sz w:val="21"/>
                <w:szCs w:val="21"/>
              </w:rPr>
              <w:t>其他说明。(非法人组织参与投标需提供的相关证明材料)</w:t>
            </w:r>
          </w:p>
        </w:tc>
      </w:tr>
      <w:tr w14:paraId="0015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0F4AA68">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3B35455">
            <w:pPr>
              <w:pStyle w:val="115"/>
              <w:jc w:val="center"/>
              <w:rPr>
                <w:rFonts w:ascii="宋体" w:hAnsi="宋体" w:eastAsia="宋体" w:cs="宋体"/>
                <w:sz w:val="21"/>
                <w:szCs w:val="21"/>
              </w:rPr>
            </w:pPr>
            <w:r>
              <w:rPr>
                <w:rFonts w:hint="eastAsia" w:ascii="宋体" w:hAnsi="宋体" w:eastAsia="宋体" w:cs="宋体"/>
                <w:sz w:val="21"/>
                <w:szCs w:val="21"/>
              </w:rPr>
              <w:t>信用记录查询情况</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A6A967F">
            <w:pPr>
              <w:pStyle w:val="115"/>
              <w:jc w:val="center"/>
              <w:rPr>
                <w:rFonts w:ascii="宋体" w:hAnsi="宋体" w:eastAsia="宋体" w:cs="宋体"/>
                <w:sz w:val="21"/>
                <w:szCs w:val="21"/>
              </w:rPr>
            </w:pPr>
            <w:r>
              <w:rPr>
                <w:rFonts w:hint="eastAsia" w:ascii="宋体" w:hAnsi="宋体" w:eastAsia="宋体" w:cs="宋体"/>
                <w:sz w:val="21"/>
                <w:szCs w:val="21"/>
              </w:rPr>
              <w:t>被“信用中国”网站列入失信被执行人和重大税收违法案件当事人名单的、被“中国政府采购网”网站列入政府采购严重违法失信行为记录名单（处罚期限尚未届满的），不得参与本项目的政府采购活动。</w:t>
            </w:r>
          </w:p>
        </w:tc>
      </w:tr>
      <w:tr w14:paraId="678D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B62A543">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BFE40CC">
            <w:pPr>
              <w:pStyle w:val="115"/>
              <w:jc w:val="center"/>
              <w:rPr>
                <w:rFonts w:ascii="宋体" w:hAnsi="宋体" w:eastAsia="宋体" w:cs="宋体"/>
                <w:sz w:val="21"/>
                <w:szCs w:val="21"/>
              </w:rPr>
            </w:pPr>
            <w:r>
              <w:rPr>
                <w:rFonts w:hint="eastAsia" w:ascii="宋体" w:hAnsi="宋体" w:eastAsia="宋体" w:cs="宋体"/>
                <w:sz w:val="21"/>
                <w:szCs w:val="21"/>
              </w:rPr>
              <w:t>湖南省政府采购供应商资格承诺函</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080054F">
            <w:pPr>
              <w:pStyle w:val="115"/>
              <w:jc w:val="center"/>
              <w:rPr>
                <w:rFonts w:ascii="宋体" w:hAnsi="宋体" w:eastAsia="宋体" w:cs="宋体"/>
                <w:sz w:val="21"/>
                <w:szCs w:val="21"/>
              </w:rPr>
            </w:pPr>
            <w:r>
              <w:rPr>
                <w:rFonts w:hint="eastAsia" w:ascii="宋体" w:hAnsi="宋体" w:eastAsia="宋体" w:cs="宋体"/>
                <w:sz w:val="21"/>
                <w:szCs w:val="21"/>
              </w:rPr>
              <w:t>扫描件（提供承诺函的无需提供财务状况、缴纳税收和社会保障资金等资格证明材料)</w:t>
            </w:r>
          </w:p>
        </w:tc>
      </w:tr>
      <w:tr w14:paraId="757E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4A7E6A1">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7BACD67">
            <w:pPr>
              <w:pStyle w:val="115"/>
              <w:jc w:val="center"/>
              <w:rPr>
                <w:rFonts w:ascii="宋体" w:hAnsi="宋体" w:eastAsia="宋体" w:cs="宋体"/>
                <w:sz w:val="21"/>
                <w:szCs w:val="21"/>
              </w:rPr>
            </w:pPr>
            <w:r>
              <w:rPr>
                <w:rFonts w:hint="eastAsia" w:ascii="宋体" w:hAnsi="宋体" w:eastAsia="宋体" w:cs="宋体"/>
                <w:sz w:val="21"/>
                <w:szCs w:val="21"/>
              </w:rPr>
              <w:t>特定资格条件</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2A74767">
            <w:pPr>
              <w:pStyle w:val="115"/>
              <w:jc w:val="center"/>
              <w:rPr>
                <w:rFonts w:ascii="宋体" w:hAnsi="宋体" w:eastAsia="宋体" w:cs="宋体"/>
                <w:sz w:val="21"/>
                <w:szCs w:val="21"/>
              </w:rPr>
            </w:pPr>
            <w:r>
              <w:rPr>
                <w:rFonts w:hint="eastAsia" w:ascii="宋体" w:hAnsi="宋体" w:eastAsia="宋体" w:cs="宋体"/>
                <w:sz w:val="21"/>
                <w:szCs w:val="21"/>
              </w:rPr>
              <w:t>提供扫描件</w:t>
            </w:r>
          </w:p>
        </w:tc>
      </w:tr>
      <w:tr w14:paraId="6D20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C6F8286">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EEBECB2">
            <w:pPr>
              <w:pStyle w:val="115"/>
              <w:jc w:val="center"/>
              <w:rPr>
                <w:rFonts w:ascii="宋体" w:hAnsi="宋体" w:eastAsia="宋体" w:cs="宋体"/>
                <w:sz w:val="21"/>
                <w:szCs w:val="21"/>
                <w:highlight w:val="none"/>
              </w:rPr>
            </w:pPr>
            <w:r>
              <w:rPr>
                <w:rFonts w:hint="eastAsia" w:ascii="宋体" w:hAnsi="宋体" w:eastAsia="宋体" w:cs="宋体"/>
                <w:sz w:val="21"/>
                <w:szCs w:val="21"/>
                <w:highlight w:val="none"/>
              </w:rPr>
              <w:t>具有履行本项目采购合同所必须的设备和专业技术能力证明材料（根据项目具体履约需求明确）</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01CD80A">
            <w:pPr>
              <w:pStyle w:val="115"/>
              <w:jc w:val="center"/>
              <w:rPr>
                <w:rFonts w:ascii="宋体" w:hAnsi="宋体" w:eastAsia="宋体" w:cs="宋体"/>
                <w:sz w:val="21"/>
                <w:szCs w:val="21"/>
                <w:highlight w:val="none"/>
              </w:rPr>
            </w:pPr>
            <w:r>
              <w:rPr>
                <w:rFonts w:hint="eastAsia" w:ascii="宋体" w:hAnsi="宋体" w:eastAsia="宋体" w:cs="宋体"/>
                <w:sz w:val="21"/>
                <w:szCs w:val="21"/>
                <w:highlight w:val="none"/>
              </w:rPr>
              <w:t>具有履行本项目采购合同所必须的设备和专业技术能力证明材料（根据项目具体履约需求明确）</w:t>
            </w:r>
          </w:p>
        </w:tc>
      </w:tr>
      <w:tr w14:paraId="2BFD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5535A83">
            <w:pPr>
              <w:pStyle w:val="115"/>
              <w:jc w:val="center"/>
              <w:rPr>
                <w:rFonts w:ascii="宋体" w:hAnsi="宋体" w:eastAsia="宋体" w:cs="宋体"/>
                <w:sz w:val="21"/>
              </w:rPr>
            </w:pPr>
            <w:r>
              <w:rPr>
                <w:rFonts w:hint="eastAsia" w:ascii="宋体" w:hAnsi="宋体" w:eastAsia="宋体" w:cs="宋体"/>
                <w:sz w:val="21"/>
              </w:rPr>
              <w:t>条款号</w:t>
            </w: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07DC7C8">
            <w:pPr>
              <w:pStyle w:val="115"/>
              <w:jc w:val="center"/>
              <w:rPr>
                <w:rFonts w:ascii="宋体" w:hAnsi="宋体" w:eastAsia="宋体" w:cs="宋体"/>
                <w:sz w:val="21"/>
                <w:szCs w:val="21"/>
              </w:rPr>
            </w:pPr>
            <w:r>
              <w:rPr>
                <w:rFonts w:hint="eastAsia" w:ascii="宋体" w:hAnsi="宋体" w:eastAsia="宋体" w:cs="宋体"/>
                <w:sz w:val="21"/>
                <w:szCs w:val="21"/>
              </w:rPr>
              <w:t>评分点名称</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DC4B918">
            <w:pPr>
              <w:pStyle w:val="115"/>
              <w:jc w:val="center"/>
              <w:rPr>
                <w:rFonts w:ascii="宋体" w:hAnsi="宋体" w:eastAsia="宋体" w:cs="宋体"/>
                <w:sz w:val="21"/>
                <w:szCs w:val="21"/>
              </w:rPr>
            </w:pPr>
            <w:r>
              <w:rPr>
                <w:rFonts w:hint="eastAsia" w:ascii="宋体" w:hAnsi="宋体" w:eastAsia="宋体" w:cs="宋体"/>
                <w:sz w:val="21"/>
                <w:szCs w:val="21"/>
              </w:rPr>
              <w:t>评审标准</w:t>
            </w:r>
          </w:p>
        </w:tc>
      </w:tr>
      <w:tr w14:paraId="7A46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FA1BBF6">
            <w:pPr>
              <w:pStyle w:val="115"/>
              <w:jc w:val="center"/>
              <w:rPr>
                <w:rFonts w:ascii="宋体" w:hAnsi="宋体" w:eastAsia="宋体" w:cs="宋体"/>
                <w:sz w:val="21"/>
              </w:rPr>
            </w:pPr>
            <w:r>
              <w:rPr>
                <w:rFonts w:hint="eastAsia" w:ascii="宋体" w:hAnsi="宋体" w:eastAsia="宋体" w:cs="宋体"/>
                <w:sz w:val="21"/>
              </w:rPr>
              <w:t>符合性评审</w:t>
            </w: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6293105">
            <w:pPr>
              <w:pStyle w:val="115"/>
              <w:jc w:val="center"/>
              <w:rPr>
                <w:rFonts w:ascii="宋体" w:hAnsi="宋体" w:eastAsia="宋体" w:cs="宋体"/>
                <w:sz w:val="21"/>
                <w:szCs w:val="21"/>
                <w:highlight w:val="none"/>
              </w:rPr>
            </w:pPr>
            <w:r>
              <w:rPr>
                <w:rFonts w:hint="eastAsia" w:ascii="宋体" w:hAnsi="宋体" w:eastAsia="宋体" w:cs="宋体"/>
                <w:sz w:val="21"/>
                <w:szCs w:val="21"/>
                <w:highlight w:val="none"/>
              </w:rPr>
              <w:t>是否满足招标文件商务、技术等实质性要求</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8377A67">
            <w:pPr>
              <w:pStyle w:val="115"/>
              <w:jc w:val="center"/>
              <w:rPr>
                <w:rFonts w:ascii="宋体" w:hAnsi="宋体" w:eastAsia="宋体" w:cs="宋体"/>
                <w:sz w:val="21"/>
                <w:szCs w:val="21"/>
              </w:rPr>
            </w:pPr>
            <w:r>
              <w:rPr>
                <w:rFonts w:hint="eastAsia" w:ascii="宋体" w:hAnsi="宋体" w:eastAsia="宋体" w:cs="宋体"/>
                <w:sz w:val="21"/>
                <w:szCs w:val="21"/>
              </w:rPr>
              <w:t>评标委员会应当对符合资格条件的投标人的投标文件进行符合性审查，以确定其是否满足招标文件商务、技术等实质性要求</w:t>
            </w:r>
          </w:p>
        </w:tc>
      </w:tr>
      <w:tr w14:paraId="0808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6F4F7E7">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FCED896">
            <w:pPr>
              <w:pStyle w:val="115"/>
              <w:jc w:val="center"/>
              <w:rPr>
                <w:rFonts w:ascii="宋体" w:hAnsi="宋体" w:eastAsia="宋体" w:cs="宋体"/>
                <w:sz w:val="21"/>
                <w:szCs w:val="21"/>
                <w:highlight w:val="none"/>
              </w:rPr>
            </w:pPr>
            <w:r>
              <w:rPr>
                <w:rFonts w:hint="eastAsia" w:ascii="宋体" w:hAnsi="宋体" w:eastAsia="宋体" w:cs="宋体"/>
                <w:sz w:val="21"/>
                <w:szCs w:val="21"/>
                <w:highlight w:val="none"/>
              </w:rPr>
              <w:t>投标文件响应性</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596A48E">
            <w:pPr>
              <w:pStyle w:val="115"/>
              <w:jc w:val="center"/>
              <w:rPr>
                <w:rFonts w:ascii="宋体" w:hAnsi="宋体" w:eastAsia="宋体" w:cs="宋体"/>
                <w:sz w:val="21"/>
                <w:szCs w:val="21"/>
              </w:rPr>
            </w:pPr>
            <w:r>
              <w:rPr>
                <w:rFonts w:hint="eastAsia" w:ascii="宋体" w:hAnsi="宋体" w:eastAsia="宋体" w:cs="宋体"/>
                <w:sz w:val="21"/>
                <w:szCs w:val="21"/>
              </w:rPr>
              <w:t>依据招标文件的规定，从投标文件的有效性、完整性和对招标文件的响应程度进行审查，以确定是否对招标文件的实质性要求作出响应。</w:t>
            </w:r>
          </w:p>
          <w:p w14:paraId="31D12D1F">
            <w:pPr>
              <w:pStyle w:val="115"/>
              <w:jc w:val="center"/>
              <w:rPr>
                <w:rFonts w:ascii="宋体" w:hAnsi="宋体" w:eastAsia="宋体" w:cs="宋体"/>
                <w:sz w:val="21"/>
                <w:szCs w:val="21"/>
              </w:rPr>
            </w:pPr>
            <w:r>
              <w:rPr>
                <w:rFonts w:hint="eastAsia" w:ascii="宋体" w:hAnsi="宋体" w:eastAsia="宋体" w:cs="宋体"/>
                <w:sz w:val="21"/>
                <w:szCs w:val="21"/>
              </w:rPr>
              <w:t>评标委员会决定投标文件的响应性只根据投标文件真实无误的内容，而不依据外部的证据，但投标文件有不真实、不正确的内容时除外。</w:t>
            </w:r>
          </w:p>
        </w:tc>
      </w:tr>
      <w:tr w14:paraId="366B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0473138">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21A6416">
            <w:pPr>
              <w:pStyle w:val="115"/>
              <w:jc w:val="center"/>
              <w:rPr>
                <w:rFonts w:ascii="宋体" w:hAnsi="宋体" w:eastAsia="宋体" w:cs="宋体"/>
                <w:sz w:val="21"/>
                <w:szCs w:val="21"/>
              </w:rPr>
            </w:pPr>
            <w:r>
              <w:rPr>
                <w:rFonts w:hint="eastAsia" w:ascii="宋体" w:hAnsi="宋体" w:eastAsia="宋体" w:cs="宋体"/>
                <w:sz w:val="21"/>
                <w:szCs w:val="21"/>
              </w:rPr>
              <w:t>投标人不得通过修正或撤销不合要求的偏离从而使其投标成为实质上响应的投标</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571C95B">
            <w:pPr>
              <w:pStyle w:val="115"/>
              <w:jc w:val="center"/>
              <w:rPr>
                <w:rFonts w:ascii="宋体" w:hAnsi="宋体" w:eastAsia="宋体" w:cs="宋体"/>
                <w:sz w:val="21"/>
                <w:szCs w:val="21"/>
              </w:rPr>
            </w:pPr>
            <w:r>
              <w:rPr>
                <w:rFonts w:hint="eastAsia" w:ascii="宋体" w:hAnsi="宋体" w:eastAsia="宋体" w:cs="宋体"/>
                <w:sz w:val="21"/>
                <w:szCs w:val="21"/>
              </w:rPr>
              <w:t>投标人不得通过修正或撤销不合要求的偏离从而使其投标成为实质上响应的投标。</w:t>
            </w:r>
          </w:p>
        </w:tc>
      </w:tr>
      <w:tr w14:paraId="3F3A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638FD21">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4506B39">
            <w:pPr>
              <w:pStyle w:val="115"/>
              <w:jc w:val="center"/>
              <w:rPr>
                <w:rFonts w:ascii="宋体" w:hAnsi="宋体" w:eastAsia="宋体" w:cs="宋体"/>
                <w:sz w:val="21"/>
                <w:szCs w:val="21"/>
              </w:rPr>
            </w:pPr>
            <w:r>
              <w:rPr>
                <w:rFonts w:hint="eastAsia" w:ascii="宋体" w:hAnsi="宋体" w:eastAsia="宋体" w:cs="宋体"/>
                <w:sz w:val="21"/>
                <w:szCs w:val="21"/>
              </w:rPr>
              <w:t>投标文件属下列情况之一的，投标无效</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597C44E">
            <w:pPr>
              <w:pStyle w:val="115"/>
              <w:jc w:val="center"/>
              <w:rPr>
                <w:rFonts w:ascii="宋体" w:hAnsi="宋体" w:eastAsia="宋体" w:cs="宋体"/>
                <w:sz w:val="21"/>
                <w:szCs w:val="21"/>
              </w:rPr>
            </w:pPr>
            <w:r>
              <w:rPr>
                <w:rFonts w:hint="eastAsia" w:ascii="宋体" w:hAnsi="宋体" w:eastAsia="宋体" w:cs="宋体"/>
                <w:sz w:val="21"/>
                <w:szCs w:val="21"/>
              </w:rPr>
              <w:t>投标文件属下列情况之一的，投标无效：</w:t>
            </w:r>
          </w:p>
        </w:tc>
      </w:tr>
      <w:tr w14:paraId="3CF8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7A6C8F7">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1DC79DB">
            <w:pPr>
              <w:pStyle w:val="115"/>
              <w:jc w:val="center"/>
              <w:rPr>
                <w:rFonts w:ascii="宋体" w:hAnsi="宋体" w:eastAsia="宋体" w:cs="宋体"/>
                <w:sz w:val="21"/>
                <w:szCs w:val="21"/>
                <w:highlight w:val="none"/>
              </w:rPr>
            </w:pPr>
            <w:r>
              <w:rPr>
                <w:rFonts w:hint="eastAsia" w:ascii="宋体" w:hAnsi="宋体" w:eastAsia="宋体" w:cs="宋体"/>
                <w:sz w:val="21"/>
                <w:szCs w:val="21"/>
                <w:highlight w:val="none"/>
              </w:rPr>
              <w:t>未按照招标文件规定要求签署、盖章的</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B6C82E1">
            <w:pPr>
              <w:pStyle w:val="115"/>
              <w:jc w:val="center"/>
              <w:rPr>
                <w:rFonts w:ascii="宋体" w:hAnsi="宋体" w:eastAsia="宋体" w:cs="宋体"/>
                <w:sz w:val="21"/>
                <w:szCs w:val="21"/>
              </w:rPr>
            </w:pPr>
            <w:r>
              <w:rPr>
                <w:rFonts w:hint="eastAsia" w:ascii="宋体" w:hAnsi="宋体" w:eastAsia="宋体" w:cs="宋体"/>
                <w:sz w:val="21"/>
                <w:szCs w:val="21"/>
              </w:rPr>
              <w:t>投标文件中商务技术文件未按照招标文件规定要求签署、盖章的</w:t>
            </w:r>
          </w:p>
        </w:tc>
      </w:tr>
      <w:tr w14:paraId="0535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F0856F9">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D9EE435">
            <w:pPr>
              <w:pStyle w:val="115"/>
              <w:jc w:val="center"/>
              <w:rPr>
                <w:rFonts w:ascii="宋体" w:hAnsi="宋体" w:eastAsia="宋体" w:cs="宋体"/>
                <w:sz w:val="21"/>
                <w:szCs w:val="21"/>
              </w:rPr>
            </w:pPr>
            <w:r>
              <w:rPr>
                <w:rFonts w:hint="eastAsia" w:ascii="宋体" w:hAnsi="宋体" w:eastAsia="宋体" w:cs="宋体"/>
                <w:sz w:val="21"/>
                <w:szCs w:val="21"/>
              </w:rPr>
              <w:t>投标文件是否超过负最高项数</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1CA9609">
            <w:pPr>
              <w:pStyle w:val="115"/>
              <w:jc w:val="center"/>
              <w:rPr>
                <w:rFonts w:ascii="宋体" w:hAnsi="宋体" w:eastAsia="宋体" w:cs="宋体"/>
                <w:sz w:val="21"/>
                <w:szCs w:val="21"/>
              </w:rPr>
            </w:pPr>
            <w:r>
              <w:rPr>
                <w:rFonts w:hint="eastAsia" w:ascii="宋体" w:hAnsi="宋体" w:eastAsia="宋体" w:cs="宋体"/>
                <w:sz w:val="21"/>
                <w:szCs w:val="21"/>
              </w:rPr>
              <w:t>投标文件没有对招标文件的实质性要求和条件作出响应，或者对招标文件的偏差超出招标文件规定的偏差范围或最高项数；</w:t>
            </w:r>
          </w:p>
        </w:tc>
      </w:tr>
      <w:tr w14:paraId="51A0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C9707F6">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EA12EF9">
            <w:pPr>
              <w:pStyle w:val="115"/>
              <w:jc w:val="center"/>
              <w:rPr>
                <w:rFonts w:ascii="宋体" w:hAnsi="宋体" w:eastAsia="宋体" w:cs="宋体"/>
                <w:sz w:val="21"/>
                <w:szCs w:val="21"/>
              </w:rPr>
            </w:pPr>
            <w:r>
              <w:rPr>
                <w:rFonts w:hint="eastAsia" w:ascii="宋体" w:hAnsi="宋体" w:eastAsia="宋体" w:cs="宋体"/>
                <w:sz w:val="21"/>
                <w:szCs w:val="21"/>
              </w:rPr>
              <w:t>投标报价</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24E61DD">
            <w:pPr>
              <w:pStyle w:val="115"/>
              <w:jc w:val="center"/>
              <w:rPr>
                <w:rFonts w:ascii="宋体" w:hAnsi="宋体" w:eastAsia="宋体" w:cs="宋体"/>
                <w:sz w:val="21"/>
                <w:szCs w:val="21"/>
              </w:rPr>
            </w:pPr>
            <w:r>
              <w:rPr>
                <w:rFonts w:hint="eastAsia" w:ascii="宋体" w:hAnsi="宋体" w:eastAsia="宋体" w:cs="宋体"/>
                <w:sz w:val="21"/>
                <w:szCs w:val="21"/>
              </w:rPr>
              <w:t>报价超过招标文件中规定的预算金额或者最高限价的；</w:t>
            </w:r>
          </w:p>
        </w:tc>
      </w:tr>
      <w:tr w14:paraId="49A5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6A7EBE4">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25453BB">
            <w:pPr>
              <w:pStyle w:val="115"/>
              <w:jc w:val="center"/>
              <w:rPr>
                <w:rFonts w:ascii="宋体" w:hAnsi="宋体" w:eastAsia="宋体" w:cs="宋体"/>
                <w:sz w:val="21"/>
                <w:szCs w:val="21"/>
              </w:rPr>
            </w:pPr>
            <w:r>
              <w:rPr>
                <w:rFonts w:hint="eastAsia" w:ascii="宋体" w:hAnsi="宋体" w:eastAsia="宋体" w:cs="宋体"/>
                <w:sz w:val="21"/>
                <w:szCs w:val="21"/>
              </w:rPr>
              <w:t>投标有效期</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5F58B8E">
            <w:pPr>
              <w:pStyle w:val="115"/>
              <w:jc w:val="center"/>
              <w:rPr>
                <w:rFonts w:ascii="宋体" w:hAnsi="宋体" w:eastAsia="宋体" w:cs="宋体"/>
                <w:sz w:val="21"/>
                <w:szCs w:val="21"/>
              </w:rPr>
            </w:pPr>
            <w:r>
              <w:rPr>
                <w:rFonts w:hint="eastAsia" w:ascii="宋体" w:hAnsi="宋体" w:eastAsia="宋体" w:cs="宋体"/>
                <w:sz w:val="21"/>
                <w:szCs w:val="21"/>
              </w:rPr>
              <w:t>投标有效期不足的；</w:t>
            </w:r>
          </w:p>
        </w:tc>
      </w:tr>
      <w:tr w14:paraId="30F7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86FC7D7">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664811E">
            <w:pPr>
              <w:pStyle w:val="115"/>
              <w:jc w:val="center"/>
              <w:rPr>
                <w:rFonts w:ascii="宋体" w:hAnsi="宋体" w:eastAsia="宋体" w:cs="宋体"/>
                <w:sz w:val="21"/>
                <w:szCs w:val="21"/>
              </w:rPr>
            </w:pPr>
            <w:r>
              <w:rPr>
                <w:rFonts w:hint="eastAsia" w:ascii="宋体" w:hAnsi="宋体" w:eastAsia="宋体" w:cs="宋体"/>
                <w:sz w:val="21"/>
                <w:szCs w:val="21"/>
              </w:rPr>
              <w:t>投标文件含有采购人不能接受的附加条件的</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46EE16A">
            <w:pPr>
              <w:pStyle w:val="115"/>
              <w:jc w:val="center"/>
              <w:rPr>
                <w:rFonts w:ascii="宋体" w:hAnsi="宋体" w:eastAsia="宋体" w:cs="宋体"/>
                <w:sz w:val="21"/>
                <w:szCs w:val="21"/>
              </w:rPr>
            </w:pPr>
            <w:r>
              <w:rPr>
                <w:rFonts w:hint="eastAsia" w:ascii="宋体" w:hAnsi="宋体" w:eastAsia="宋体" w:cs="宋体"/>
                <w:sz w:val="21"/>
                <w:szCs w:val="21"/>
              </w:rPr>
              <w:t>投标文件含有采购人不能接受的附加条件的</w:t>
            </w:r>
          </w:p>
        </w:tc>
      </w:tr>
      <w:tr w14:paraId="2DFB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0FD38F4">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ABDA3EF">
            <w:pPr>
              <w:pStyle w:val="115"/>
              <w:jc w:val="center"/>
              <w:rPr>
                <w:rFonts w:ascii="宋体" w:hAnsi="宋体" w:eastAsia="宋体" w:cs="宋体"/>
                <w:sz w:val="21"/>
                <w:szCs w:val="21"/>
              </w:rPr>
            </w:pPr>
            <w:r>
              <w:rPr>
                <w:rFonts w:hint="eastAsia" w:ascii="宋体" w:hAnsi="宋体" w:eastAsia="宋体" w:cs="宋体"/>
                <w:sz w:val="21"/>
                <w:szCs w:val="21"/>
              </w:rPr>
              <w:t>法律、法规和招标文件规定的其他投标无效情形</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4C90B4F">
            <w:pPr>
              <w:pStyle w:val="115"/>
              <w:jc w:val="center"/>
              <w:rPr>
                <w:rFonts w:ascii="宋体" w:hAnsi="宋体" w:eastAsia="宋体" w:cs="宋体"/>
                <w:sz w:val="21"/>
                <w:szCs w:val="21"/>
              </w:rPr>
            </w:pPr>
            <w:r>
              <w:rPr>
                <w:rFonts w:hint="eastAsia" w:ascii="宋体" w:hAnsi="宋体" w:eastAsia="宋体" w:cs="宋体"/>
                <w:sz w:val="21"/>
                <w:szCs w:val="21"/>
              </w:rPr>
              <w:t>法律、法规和招标文件规定的其他投标无效情形的。</w:t>
            </w:r>
          </w:p>
        </w:tc>
      </w:tr>
      <w:tr w14:paraId="7415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9E3F93F">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397C3C3">
            <w:pPr>
              <w:pStyle w:val="115"/>
              <w:jc w:val="center"/>
              <w:rPr>
                <w:rFonts w:ascii="宋体" w:hAnsi="宋体" w:eastAsia="宋体" w:cs="宋体"/>
                <w:sz w:val="21"/>
                <w:szCs w:val="21"/>
              </w:rPr>
            </w:pPr>
            <w:r>
              <w:rPr>
                <w:rFonts w:hint="eastAsia" w:ascii="宋体" w:hAnsi="宋体" w:eastAsia="宋体" w:cs="宋体"/>
                <w:sz w:val="21"/>
                <w:szCs w:val="21"/>
              </w:rPr>
              <w:t>不符合★条款</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96D7D32">
            <w:pPr>
              <w:pStyle w:val="115"/>
              <w:jc w:val="center"/>
              <w:rPr>
                <w:rFonts w:ascii="宋体" w:hAnsi="宋体" w:eastAsia="宋体" w:cs="宋体"/>
                <w:sz w:val="21"/>
                <w:szCs w:val="21"/>
              </w:rPr>
            </w:pPr>
            <w:r>
              <w:rPr>
                <w:rFonts w:hint="eastAsia" w:ascii="宋体" w:hAnsi="宋体" w:eastAsia="宋体" w:cs="宋体"/>
                <w:sz w:val="21"/>
                <w:szCs w:val="21"/>
              </w:rPr>
              <w:t>不符合★条款</w:t>
            </w:r>
          </w:p>
        </w:tc>
      </w:tr>
      <w:tr w14:paraId="050A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5BD7350">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D68339A">
            <w:pPr>
              <w:pStyle w:val="115"/>
              <w:jc w:val="center"/>
              <w:rPr>
                <w:rFonts w:ascii="宋体" w:hAnsi="宋体" w:eastAsia="宋体" w:cs="宋体"/>
                <w:sz w:val="21"/>
                <w:szCs w:val="21"/>
              </w:rPr>
            </w:pPr>
            <w:r>
              <w:rPr>
                <w:rFonts w:hint="eastAsia" w:ascii="宋体" w:hAnsi="宋体" w:eastAsia="宋体" w:cs="宋体"/>
                <w:sz w:val="21"/>
                <w:szCs w:val="21"/>
              </w:rPr>
              <w:t>投标文件电子文档有病毒</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97D6B7F">
            <w:pPr>
              <w:pStyle w:val="115"/>
              <w:jc w:val="center"/>
              <w:rPr>
                <w:rFonts w:ascii="宋体" w:hAnsi="宋体" w:eastAsia="宋体" w:cs="宋体"/>
                <w:sz w:val="21"/>
                <w:szCs w:val="21"/>
              </w:rPr>
            </w:pPr>
            <w:r>
              <w:rPr>
                <w:rFonts w:hint="eastAsia" w:ascii="宋体" w:hAnsi="宋体" w:eastAsia="宋体" w:cs="宋体"/>
                <w:sz w:val="21"/>
                <w:szCs w:val="21"/>
              </w:rPr>
              <w:t>投标文件电子文档有病毒</w:t>
            </w:r>
          </w:p>
        </w:tc>
      </w:tr>
      <w:tr w14:paraId="42F4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EB5709F">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6FBD2B4">
            <w:pPr>
              <w:pStyle w:val="115"/>
              <w:jc w:val="center"/>
              <w:rPr>
                <w:rFonts w:ascii="宋体" w:hAnsi="宋体" w:eastAsia="宋体" w:cs="宋体"/>
                <w:sz w:val="21"/>
                <w:szCs w:val="21"/>
              </w:rPr>
            </w:pPr>
            <w:r>
              <w:rPr>
                <w:rFonts w:hint="eastAsia" w:ascii="宋体" w:hAnsi="宋体" w:eastAsia="宋体" w:cs="宋体"/>
                <w:sz w:val="21"/>
                <w:szCs w:val="21"/>
              </w:rPr>
              <w:t>投标文件用不属于本中心的电子密钥进行加密</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626FF82">
            <w:pPr>
              <w:pStyle w:val="115"/>
              <w:jc w:val="center"/>
              <w:rPr>
                <w:rFonts w:ascii="宋体" w:hAnsi="宋体" w:eastAsia="宋体" w:cs="宋体"/>
                <w:sz w:val="21"/>
                <w:szCs w:val="21"/>
              </w:rPr>
            </w:pPr>
            <w:r>
              <w:rPr>
                <w:rFonts w:hint="eastAsia" w:ascii="宋体" w:hAnsi="宋体" w:eastAsia="宋体" w:cs="宋体"/>
                <w:sz w:val="21"/>
                <w:szCs w:val="21"/>
              </w:rPr>
              <w:t>投标文件用不属于本中心的电子密钥进行加密</w:t>
            </w:r>
          </w:p>
        </w:tc>
      </w:tr>
      <w:tr w14:paraId="7B74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5447548">
            <w:pPr>
              <w:pStyle w:val="115"/>
              <w:jc w:val="center"/>
              <w:rPr>
                <w:rFonts w:ascii="宋体" w:hAnsi="宋体" w:eastAsia="宋体" w:cs="宋体"/>
                <w:sz w:val="21"/>
              </w:rPr>
            </w:pPr>
          </w:p>
        </w:tc>
        <w:tc>
          <w:tcPr>
            <w:tcW w:w="254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14299F6">
            <w:pPr>
              <w:pStyle w:val="115"/>
              <w:jc w:val="center"/>
              <w:rPr>
                <w:rFonts w:ascii="宋体" w:hAnsi="宋体" w:eastAsia="宋体" w:cs="宋体"/>
                <w:sz w:val="21"/>
                <w:szCs w:val="21"/>
              </w:rPr>
            </w:pPr>
            <w:r>
              <w:rPr>
                <w:rFonts w:hint="eastAsia" w:ascii="宋体" w:hAnsi="宋体" w:eastAsia="宋体" w:cs="宋体"/>
                <w:sz w:val="21"/>
                <w:szCs w:val="21"/>
              </w:rPr>
              <w:t>法律、法规规定的其他情形</w:t>
            </w:r>
          </w:p>
        </w:tc>
        <w:tc>
          <w:tcPr>
            <w:tcW w:w="6511"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5398B32">
            <w:pPr>
              <w:pStyle w:val="115"/>
              <w:jc w:val="center"/>
              <w:rPr>
                <w:rFonts w:ascii="宋体" w:hAnsi="宋体" w:eastAsia="宋体" w:cs="宋体"/>
                <w:sz w:val="21"/>
                <w:szCs w:val="21"/>
              </w:rPr>
            </w:pPr>
            <w:r>
              <w:rPr>
                <w:rFonts w:hint="eastAsia" w:ascii="宋体" w:hAnsi="宋体" w:eastAsia="宋体" w:cs="宋体"/>
                <w:sz w:val="21"/>
                <w:szCs w:val="21"/>
              </w:rPr>
              <w:t>法律、法规规定的其他情形</w:t>
            </w:r>
          </w:p>
        </w:tc>
      </w:tr>
    </w:tbl>
    <w:p w14:paraId="2CA71E25">
      <w:pPr>
        <w:pStyle w:val="131"/>
        <w:spacing w:before="120" w:after="120"/>
        <w:ind w:firstLine="0" w:firstLineChars="0"/>
        <w:rPr>
          <w:rFonts w:ascii="宋体" w:hAnsi="宋体" w:cs="宋体"/>
          <w:szCs w:val="21"/>
        </w:rPr>
      </w:pPr>
    </w:p>
    <w:p w14:paraId="227338A2">
      <w:pPr>
        <w:pStyle w:val="131"/>
        <w:spacing w:before="120" w:after="120"/>
        <w:ind w:firstLine="0" w:firstLineChars="0"/>
        <w:rPr>
          <w:rFonts w:ascii="宋体" w:hAnsi="宋体" w:cs="宋体"/>
          <w:szCs w:val="21"/>
        </w:rPr>
      </w:pPr>
    </w:p>
    <w:p w14:paraId="2843F546">
      <w:pPr>
        <w:pStyle w:val="131"/>
        <w:spacing w:before="120" w:after="120"/>
        <w:ind w:firstLine="0" w:firstLineChars="0"/>
        <w:rPr>
          <w:rFonts w:ascii="宋体" w:hAnsi="宋体" w:cs="宋体"/>
          <w:szCs w:val="21"/>
        </w:rPr>
      </w:pPr>
    </w:p>
    <w:p w14:paraId="08CC5799">
      <w:pPr>
        <w:pStyle w:val="131"/>
        <w:spacing w:before="120" w:after="120"/>
        <w:ind w:firstLine="0" w:firstLineChars="0"/>
        <w:rPr>
          <w:rFonts w:ascii="宋体" w:hAnsi="宋体" w:cs="宋体"/>
          <w:szCs w:val="21"/>
        </w:rPr>
      </w:pPr>
    </w:p>
    <w:p w14:paraId="2FAEC844">
      <w:pPr>
        <w:pStyle w:val="131"/>
        <w:spacing w:before="120" w:after="120"/>
        <w:ind w:firstLine="0" w:firstLineChars="0"/>
        <w:rPr>
          <w:rFonts w:ascii="宋体" w:hAnsi="宋体" w:cs="宋体"/>
          <w:szCs w:val="21"/>
        </w:rPr>
      </w:pPr>
    </w:p>
    <w:p w14:paraId="79A66CB4">
      <w:pPr>
        <w:pStyle w:val="131"/>
        <w:spacing w:before="120" w:after="120"/>
        <w:ind w:firstLine="0" w:firstLineChars="0"/>
        <w:rPr>
          <w:rFonts w:ascii="宋体" w:hAnsi="宋体" w:cs="宋体"/>
          <w:szCs w:val="21"/>
        </w:rPr>
      </w:pPr>
    </w:p>
    <w:p w14:paraId="1691075E">
      <w:pPr>
        <w:pStyle w:val="131"/>
        <w:spacing w:before="120" w:after="120"/>
        <w:ind w:firstLine="0" w:firstLineChars="0"/>
        <w:rPr>
          <w:rFonts w:ascii="宋体" w:hAnsi="宋体" w:cs="宋体"/>
        </w:rPr>
      </w:pPr>
      <w:r>
        <w:rPr>
          <w:rFonts w:hint="eastAsia" w:ascii="宋体" w:hAnsi="宋体" w:cs="宋体"/>
          <w:szCs w:val="21"/>
        </w:rPr>
        <w:t>附页3-3</w:t>
      </w:r>
    </w:p>
    <w:p w14:paraId="616D40FC">
      <w:pPr>
        <w:jc w:val="center"/>
        <w:outlineLvl w:val="0"/>
        <w:rPr>
          <w:rFonts w:hint="eastAsia" w:ascii="宋体" w:hAnsi="宋体" w:eastAsia="宋体" w:cs="宋体"/>
          <w:b/>
          <w:bCs/>
          <w:color w:val="000000"/>
          <w:sz w:val="28"/>
          <w:szCs w:val="28"/>
          <w:lang w:eastAsia="zh-CN"/>
        </w:rPr>
      </w:pPr>
      <w:bookmarkStart w:id="87" w:name="_Toc28043"/>
      <w:r>
        <w:rPr>
          <w:rFonts w:hint="eastAsia" w:ascii="宋体" w:hAnsi="宋体" w:eastAsia="宋体" w:cs="宋体"/>
          <w:b/>
          <w:bCs/>
          <w:color w:val="000000"/>
          <w:sz w:val="28"/>
          <w:szCs w:val="28"/>
        </w:rPr>
        <w:t xml:space="preserve"> 取值范围</w:t>
      </w:r>
    </w:p>
    <w:p w14:paraId="68AF5F35">
      <w:pPr>
        <w:jc w:val="center"/>
        <w:outlineLvl w:val="0"/>
        <w:rPr>
          <w:rFonts w:hint="eastAsia" w:ascii="宋体" w:hAnsi="宋体" w:eastAsia="宋体" w:cs="宋体"/>
          <w:color w:val="000000"/>
        </w:rPr>
      </w:pPr>
      <w:r>
        <w:rPr>
          <w:rFonts w:hint="eastAsia" w:ascii="宋体" w:hAnsi="宋体" w:eastAsia="宋体" w:cs="宋体"/>
          <w:color w:val="000000"/>
        </w:rPr>
        <w:t>1.2.3权值的取值范围见下表，本采购项目的权值为：</w:t>
      </w:r>
    </w:p>
    <w:tbl>
      <w:tblPr>
        <w:tblStyle w:val="40"/>
        <w:tblW w:w="106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2"/>
        <w:gridCol w:w="5669"/>
        <w:gridCol w:w="4141"/>
      </w:tblGrid>
      <w:tr w14:paraId="5C2D3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noWrap w:val="0"/>
            <w:vAlign w:val="center"/>
          </w:tcPr>
          <w:p w14:paraId="666CB4CD">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序号</w:t>
            </w:r>
          </w:p>
        </w:tc>
        <w:tc>
          <w:tcPr>
            <w:tcW w:w="5669" w:type="dxa"/>
            <w:noWrap w:val="0"/>
            <w:vAlign w:val="center"/>
          </w:tcPr>
          <w:p w14:paraId="19503135">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     目</w:t>
            </w:r>
          </w:p>
        </w:tc>
        <w:tc>
          <w:tcPr>
            <w:tcW w:w="4141" w:type="dxa"/>
            <w:noWrap w:val="0"/>
            <w:vAlign w:val="center"/>
          </w:tcPr>
          <w:p w14:paraId="539322B8">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权值的取值</w:t>
            </w:r>
          </w:p>
        </w:tc>
      </w:tr>
      <w:tr w14:paraId="3D59A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872" w:type="dxa"/>
            <w:noWrap w:val="0"/>
            <w:vAlign w:val="center"/>
          </w:tcPr>
          <w:p w14:paraId="170C4954">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669" w:type="dxa"/>
            <w:noWrap w:val="0"/>
            <w:vAlign w:val="center"/>
          </w:tcPr>
          <w:p w14:paraId="2827A667">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价格</w:t>
            </w:r>
          </w:p>
        </w:tc>
        <w:tc>
          <w:tcPr>
            <w:tcW w:w="4141" w:type="dxa"/>
            <w:noWrap w:val="0"/>
            <w:vAlign w:val="center"/>
          </w:tcPr>
          <w:p w14:paraId="7488ADE7">
            <w:pPr>
              <w:adjustRightInd w:val="0"/>
              <w:snapToGrid w:val="0"/>
              <w:spacing w:before="156" w:beforeLines="50" w:line="360" w:lineRule="auto"/>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rPr>
              <w:t>0.</w:t>
            </w:r>
            <w:r>
              <w:rPr>
                <w:rFonts w:hint="eastAsia" w:ascii="宋体" w:hAnsi="宋体" w:eastAsia="宋体" w:cs="宋体"/>
                <w:color w:val="000000"/>
                <w:sz w:val="20"/>
                <w:szCs w:val="20"/>
                <w:lang w:val="en-US" w:eastAsia="zh-CN"/>
              </w:rPr>
              <w:t>30</w:t>
            </w:r>
          </w:p>
        </w:tc>
      </w:tr>
      <w:tr w14:paraId="18A986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noWrap w:val="0"/>
            <w:vAlign w:val="center"/>
          </w:tcPr>
          <w:p w14:paraId="4E8B4023">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669" w:type="dxa"/>
            <w:noWrap w:val="0"/>
            <w:vAlign w:val="center"/>
          </w:tcPr>
          <w:p w14:paraId="4F396111">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技术</w:t>
            </w:r>
          </w:p>
        </w:tc>
        <w:tc>
          <w:tcPr>
            <w:tcW w:w="4141" w:type="dxa"/>
            <w:noWrap w:val="0"/>
            <w:vAlign w:val="center"/>
          </w:tcPr>
          <w:p w14:paraId="1C10EF19">
            <w:pPr>
              <w:adjustRightInd w:val="0"/>
              <w:snapToGrid w:val="0"/>
              <w:spacing w:before="156" w:beforeLines="50"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0.4</w:t>
            </w:r>
            <w:r>
              <w:rPr>
                <w:rFonts w:hint="eastAsia" w:ascii="宋体" w:hAnsi="宋体" w:eastAsia="宋体" w:cs="宋体"/>
                <w:color w:val="000000"/>
                <w:sz w:val="20"/>
                <w:szCs w:val="20"/>
                <w:lang w:val="en-US" w:eastAsia="zh-CN"/>
              </w:rPr>
              <w:t>0</w:t>
            </w:r>
          </w:p>
        </w:tc>
      </w:tr>
      <w:tr w14:paraId="07B38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noWrap w:val="0"/>
            <w:vAlign w:val="center"/>
          </w:tcPr>
          <w:p w14:paraId="2361E223">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5669" w:type="dxa"/>
            <w:noWrap w:val="0"/>
            <w:vAlign w:val="center"/>
          </w:tcPr>
          <w:p w14:paraId="442BBEB0">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商务</w:t>
            </w:r>
          </w:p>
        </w:tc>
        <w:tc>
          <w:tcPr>
            <w:tcW w:w="4141" w:type="dxa"/>
            <w:noWrap w:val="0"/>
            <w:vAlign w:val="center"/>
          </w:tcPr>
          <w:p w14:paraId="28497DDE">
            <w:pPr>
              <w:adjustRightInd w:val="0"/>
              <w:snapToGrid w:val="0"/>
              <w:spacing w:before="156" w:beforeLines="50" w:line="360" w:lineRule="auto"/>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rPr>
              <w:t>0.</w:t>
            </w:r>
            <w:r>
              <w:rPr>
                <w:rFonts w:hint="eastAsia" w:ascii="宋体" w:hAnsi="宋体" w:eastAsia="宋体" w:cs="宋体"/>
                <w:color w:val="000000"/>
                <w:sz w:val="20"/>
                <w:szCs w:val="20"/>
                <w:lang w:val="en-US" w:eastAsia="zh-CN"/>
              </w:rPr>
              <w:t>30</w:t>
            </w:r>
          </w:p>
        </w:tc>
      </w:tr>
      <w:tr w14:paraId="0C8B1F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noWrap w:val="0"/>
            <w:vAlign w:val="center"/>
          </w:tcPr>
          <w:p w14:paraId="245F5227">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w:t>
            </w:r>
          </w:p>
        </w:tc>
        <w:tc>
          <w:tcPr>
            <w:tcW w:w="5669" w:type="dxa"/>
            <w:noWrap w:val="0"/>
            <w:vAlign w:val="center"/>
          </w:tcPr>
          <w:p w14:paraId="0ED192C3">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其他</w:t>
            </w:r>
          </w:p>
        </w:tc>
        <w:tc>
          <w:tcPr>
            <w:tcW w:w="4141" w:type="dxa"/>
            <w:noWrap w:val="0"/>
            <w:vAlign w:val="center"/>
          </w:tcPr>
          <w:p w14:paraId="45591B6B">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0E8135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41" w:type="dxa"/>
            <w:gridSpan w:val="2"/>
            <w:noWrap w:val="0"/>
            <w:vAlign w:val="top"/>
          </w:tcPr>
          <w:p w14:paraId="5D8AC2B9">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∑(1+2+3+4)=1</w:t>
            </w:r>
          </w:p>
        </w:tc>
        <w:tc>
          <w:tcPr>
            <w:tcW w:w="4141" w:type="dxa"/>
            <w:noWrap w:val="0"/>
            <w:vAlign w:val="center"/>
          </w:tcPr>
          <w:p w14:paraId="05AFAC59">
            <w:pPr>
              <w:adjustRightInd w:val="0"/>
              <w:snapToGrid w:val="0"/>
              <w:spacing w:before="156" w:beforeLines="50"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r>
    </w:tbl>
    <w:p w14:paraId="4DB0A9D1">
      <w:pPr>
        <w:spacing w:line="440" w:lineRule="exact"/>
        <w:jc w:val="center"/>
        <w:outlineLvl w:val="1"/>
        <w:rPr>
          <w:rFonts w:hint="eastAsia" w:ascii="宋体" w:hAnsi="宋体" w:eastAsia="宋体" w:cs="Times New Roman"/>
          <w:b/>
          <w:color w:val="000000"/>
          <w:sz w:val="24"/>
        </w:rPr>
      </w:pPr>
    </w:p>
    <w:p w14:paraId="566A28B6">
      <w:pPr>
        <w:spacing w:line="440" w:lineRule="exact"/>
        <w:jc w:val="center"/>
        <w:outlineLvl w:val="1"/>
        <w:rPr>
          <w:rFonts w:hint="eastAsia" w:ascii="宋体" w:hAnsi="宋体" w:eastAsia="宋体" w:cs="Times New Roman"/>
          <w:b/>
          <w:color w:val="000000"/>
          <w:sz w:val="24"/>
        </w:rPr>
      </w:pPr>
    </w:p>
    <w:p w14:paraId="54A7AB1F">
      <w:pPr>
        <w:rPr>
          <w:rFonts w:hint="eastAsia" w:ascii="宋体" w:hAnsi="宋体" w:eastAsia="宋体" w:cs="Times New Roman"/>
          <w:b/>
          <w:color w:val="000000"/>
          <w:sz w:val="24"/>
        </w:rPr>
      </w:pPr>
      <w:r>
        <w:rPr>
          <w:rFonts w:hint="eastAsia" w:ascii="宋体" w:hAnsi="宋体" w:eastAsia="宋体" w:cs="Times New Roman"/>
          <w:b/>
          <w:color w:val="000000"/>
          <w:sz w:val="24"/>
        </w:rPr>
        <w:br w:type="page"/>
      </w:r>
    </w:p>
    <w:p w14:paraId="3F73ABEF">
      <w:pPr>
        <w:spacing w:line="440" w:lineRule="exact"/>
        <w:jc w:val="center"/>
        <w:outlineLvl w:val="1"/>
        <w:rPr>
          <w:rFonts w:hint="eastAsia" w:ascii="宋体" w:hAnsi="宋体" w:eastAsia="宋体" w:cs="Times New Roman"/>
          <w:b/>
          <w:color w:val="000000"/>
          <w:sz w:val="24"/>
        </w:rPr>
      </w:pPr>
      <w:r>
        <w:rPr>
          <w:rFonts w:hint="eastAsia" w:ascii="宋体" w:hAnsi="宋体" w:eastAsia="宋体" w:cs="Times New Roman"/>
          <w:b/>
          <w:color w:val="000000"/>
          <w:sz w:val="24"/>
        </w:rPr>
        <w:t>价格部分评审评分表（分值100分）</w:t>
      </w:r>
    </w:p>
    <w:p w14:paraId="39549D24">
      <w:pPr>
        <w:keepNext/>
        <w:keepLines/>
        <w:widowControl w:val="0"/>
        <w:spacing w:line="360" w:lineRule="auto"/>
        <w:jc w:val="both"/>
        <w:outlineLvl w:val="1"/>
        <w:rPr>
          <w:rFonts w:ascii="Arial" w:hAnsi="Arial" w:eastAsia="宋体" w:cs="Times New Roman"/>
          <w:b/>
          <w:bCs/>
          <w:color w:val="000000"/>
          <w:kern w:val="0"/>
          <w:sz w:val="24"/>
          <w:szCs w:val="32"/>
          <w:lang w:val="en-US" w:eastAsia="zh-CN" w:bidi="ar-SA"/>
        </w:rPr>
      </w:pPr>
    </w:p>
    <w:tbl>
      <w:tblPr>
        <w:tblStyle w:val="40"/>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513"/>
        <w:gridCol w:w="844"/>
        <w:gridCol w:w="7507"/>
      </w:tblGrid>
      <w:tr w14:paraId="64E2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blHeader/>
          <w:jc w:val="center"/>
        </w:trPr>
        <w:tc>
          <w:tcPr>
            <w:tcW w:w="741" w:type="dxa"/>
            <w:noWrap w:val="0"/>
            <w:vAlign w:val="center"/>
          </w:tcPr>
          <w:p w14:paraId="44C1F2D2">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序号</w:t>
            </w:r>
          </w:p>
        </w:tc>
        <w:tc>
          <w:tcPr>
            <w:tcW w:w="1513" w:type="dxa"/>
            <w:noWrap w:val="0"/>
            <w:vAlign w:val="center"/>
          </w:tcPr>
          <w:p w14:paraId="23A6F42F">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评审因素</w:t>
            </w:r>
          </w:p>
        </w:tc>
        <w:tc>
          <w:tcPr>
            <w:tcW w:w="844" w:type="dxa"/>
            <w:noWrap w:val="0"/>
            <w:vAlign w:val="center"/>
          </w:tcPr>
          <w:p w14:paraId="60E5A0D3">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分值</w:t>
            </w:r>
          </w:p>
        </w:tc>
        <w:tc>
          <w:tcPr>
            <w:tcW w:w="7507" w:type="dxa"/>
            <w:noWrap w:val="0"/>
            <w:vAlign w:val="center"/>
          </w:tcPr>
          <w:p w14:paraId="06668F04">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评分标准</w:t>
            </w:r>
          </w:p>
        </w:tc>
      </w:tr>
      <w:tr w14:paraId="2222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blHeader/>
          <w:jc w:val="center"/>
        </w:trPr>
        <w:tc>
          <w:tcPr>
            <w:tcW w:w="741" w:type="dxa"/>
            <w:noWrap w:val="0"/>
            <w:vAlign w:val="center"/>
          </w:tcPr>
          <w:p w14:paraId="1A19B106">
            <w:pPr>
              <w:autoSpaceDE w:val="0"/>
              <w:autoSpaceDN w:val="0"/>
              <w:adjustRightInd w:val="0"/>
              <w:snapToGrid w:val="0"/>
              <w:spacing w:before="156" w:beforeLines="50" w:line="360" w:lineRule="auto"/>
              <w:jc w:val="center"/>
              <w:rPr>
                <w:rFonts w:ascii="宋体" w:hAnsi="宋体" w:eastAsia="宋体" w:cs="宋体"/>
                <w:color w:val="000000"/>
                <w:szCs w:val="21"/>
              </w:rPr>
            </w:pPr>
            <w:r>
              <w:rPr>
                <w:rFonts w:ascii="宋体" w:hAnsi="宋体" w:eastAsia="宋体" w:cs="宋体"/>
                <w:color w:val="000000"/>
                <w:szCs w:val="21"/>
              </w:rPr>
              <w:t>1</w:t>
            </w:r>
          </w:p>
        </w:tc>
        <w:tc>
          <w:tcPr>
            <w:tcW w:w="1513" w:type="dxa"/>
            <w:noWrap w:val="0"/>
            <w:vAlign w:val="center"/>
          </w:tcPr>
          <w:p w14:paraId="05ED899E">
            <w:pPr>
              <w:autoSpaceDE w:val="0"/>
              <w:autoSpaceDN w:val="0"/>
              <w:adjustRightInd w:val="0"/>
              <w:snapToGrid w:val="0"/>
              <w:spacing w:before="156" w:beforeLines="50" w:line="276" w:lineRule="auto"/>
              <w:jc w:val="center"/>
              <w:rPr>
                <w:rFonts w:ascii="宋体" w:hAnsi="宋体" w:eastAsia="宋体" w:cs="宋体"/>
                <w:color w:val="000000"/>
                <w:szCs w:val="21"/>
              </w:rPr>
            </w:pPr>
            <w:r>
              <w:rPr>
                <w:rFonts w:hint="eastAsia" w:ascii="Times New Roman" w:hAnsi="宋体" w:eastAsia="宋体" w:cs="宋体"/>
                <w:color w:val="000000"/>
                <w:lang w:val="zh-CN"/>
              </w:rPr>
              <w:t>投标报价</w:t>
            </w:r>
          </w:p>
        </w:tc>
        <w:tc>
          <w:tcPr>
            <w:tcW w:w="844" w:type="dxa"/>
            <w:noWrap w:val="0"/>
            <w:vAlign w:val="center"/>
          </w:tcPr>
          <w:p w14:paraId="28DC5672">
            <w:pPr>
              <w:autoSpaceDE w:val="0"/>
              <w:autoSpaceDN w:val="0"/>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100</w:t>
            </w:r>
          </w:p>
        </w:tc>
        <w:tc>
          <w:tcPr>
            <w:tcW w:w="7507" w:type="dxa"/>
            <w:noWrap w:val="0"/>
            <w:vAlign w:val="center"/>
          </w:tcPr>
          <w:p w14:paraId="3C02867C">
            <w:pPr>
              <w:spacing w:line="276" w:lineRule="auto"/>
              <w:rPr>
                <w:rFonts w:ascii="宋体" w:hAnsi="宋体" w:eastAsia="宋体" w:cs="宋体"/>
                <w:color w:val="000000"/>
                <w:kern w:val="0"/>
                <w:szCs w:val="21"/>
              </w:rPr>
            </w:pPr>
            <w:r>
              <w:rPr>
                <w:rFonts w:hint="eastAsia" w:ascii="宋体" w:hAnsi="宋体" w:eastAsia="宋体" w:cs="宋体"/>
                <w:color w:val="000000"/>
                <w:kern w:val="0"/>
                <w:szCs w:val="21"/>
              </w:rPr>
              <w:t>满足招标文件要求且投标价格最低的投标报价为评标基准价，除低于成本价的投标报价被拒绝外，其价格分为100分。其他投标人的价格分按照下列公式计算：</w:t>
            </w:r>
          </w:p>
          <w:p w14:paraId="4FC50040">
            <w:pPr>
              <w:spacing w:line="276" w:lineRule="auto"/>
              <w:rPr>
                <w:rFonts w:ascii="宋体" w:hAnsi="宋体" w:eastAsia="宋体" w:cs="宋体"/>
                <w:color w:val="000000"/>
                <w:kern w:val="0"/>
                <w:szCs w:val="21"/>
              </w:rPr>
            </w:pPr>
            <w:r>
              <w:rPr>
                <w:rFonts w:hint="eastAsia" w:ascii="宋体" w:hAnsi="宋体" w:eastAsia="宋体" w:cs="宋体"/>
                <w:bCs/>
                <w:color w:val="000000"/>
                <w:kern w:val="0"/>
                <w:szCs w:val="21"/>
              </w:rPr>
              <w:t>投标报价计分＝（评标基准价/投标报价）×100</w:t>
            </w:r>
          </w:p>
          <w:p w14:paraId="0B7B0227">
            <w:pPr>
              <w:widowControl w:val="0"/>
              <w:spacing w:line="276" w:lineRule="auto"/>
              <w:ind w:firstLine="0" w:firstLineChars="0"/>
              <w:jc w:val="both"/>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 xml:space="preserve">低价投标的处理：政府采购评审中出现下列情形之一的，评审委员会应当启动异常低价投标（响应）审查程序（财库〔2026〕2号文）： </w:t>
            </w:r>
          </w:p>
          <w:p w14:paraId="064DC1E8">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1.投标（响应）报价低于全部通过符合性审查供应商投标（响应）报价平均值50%的，即投标（响应）报价&lt;全部通过符合性审查供应商投标（响应）报价平均值×50%； </w:t>
            </w:r>
          </w:p>
          <w:p w14:paraId="6259B0E0">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2.投标（响应）报价低于通过符合性审查的次低报价供应商投标（响应）报价50%的，即投标（响应）报价&lt;通过符合性审查的次低报价供应商投标（响应）报价×50%； </w:t>
            </w:r>
          </w:p>
          <w:p w14:paraId="73686A1C">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3.投标（响应）报价低于采购项目最高限价45%的，即投标（响应）报价&lt;采购项目最高限价×45%； </w:t>
            </w:r>
          </w:p>
          <w:p w14:paraId="7399184F">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4.评审委员会基于专业判断，认为供应商报价过低，有可能影响产品质量或者不能诚信履约的其他情形。 </w:t>
            </w:r>
          </w:p>
          <w:p w14:paraId="10ACC200">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w:t>
            </w:r>
            <w:r>
              <w:rPr>
                <w:rFonts w:hint="eastAsia" w:ascii="宋体" w:hAnsi="宋体" w:cs="宋体"/>
                <w:bCs/>
                <w:color w:val="auto"/>
                <w:kern w:val="0"/>
                <w:sz w:val="21"/>
                <w:szCs w:val="21"/>
                <w:lang w:val="en-US" w:eastAsia="zh-CN" w:bidi="ar-SA"/>
              </w:rPr>
              <w:t>5.</w:t>
            </w:r>
            <w:r>
              <w:rPr>
                <w:rFonts w:hint="eastAsia" w:ascii="宋体" w:hAnsi="宋体" w:eastAsia="宋体" w:cs="宋体"/>
                <w:bCs/>
                <w:color w:val="auto"/>
                <w:kern w:val="0"/>
                <w:sz w:val="21"/>
                <w:szCs w:val="21"/>
                <w:lang w:val="en-US" w:eastAsia="zh-CN" w:bidi="ar-SA"/>
              </w:rPr>
              <w:t xml:space="preserve">相关法律法规对供应商报价有规定的，从其规定。 </w:t>
            </w:r>
          </w:p>
          <w:p w14:paraId="6CD0A0FC">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p>
          <w:p w14:paraId="20007AD8">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37A08203">
            <w:pPr>
              <w:widowControl w:val="0"/>
              <w:spacing w:line="276" w:lineRule="auto"/>
              <w:ind w:firstLine="0" w:firstLineChars="0"/>
              <w:jc w:val="both"/>
              <w:rPr>
                <w:rFonts w:ascii="宋体" w:hAnsi="宋体" w:eastAsia="宋体" w:cs="宋体"/>
                <w:b/>
                <w:color w:val="000000"/>
                <w:kern w:val="0"/>
                <w:sz w:val="21"/>
                <w:szCs w:val="21"/>
                <w:lang w:val="en-US" w:eastAsia="zh-CN" w:bidi="ar-SA"/>
              </w:rPr>
            </w:pPr>
            <w:r>
              <w:rPr>
                <w:rFonts w:hint="eastAsia" w:ascii="宋体" w:hAnsi="宋体" w:eastAsia="宋体" w:cs="宋体"/>
                <w:bCs/>
                <w:color w:val="auto"/>
                <w:kern w:val="0"/>
                <w:sz w:val="21"/>
                <w:szCs w:val="21"/>
                <w:lang w:val="en-US" w:eastAsia="zh-CN" w:bidi="ar-SA"/>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7365A0FC">
      <w:pPr>
        <w:spacing w:line="440" w:lineRule="exact"/>
        <w:jc w:val="center"/>
        <w:outlineLvl w:val="1"/>
        <w:rPr>
          <w:rFonts w:hint="eastAsia" w:ascii="宋体" w:hAnsi="宋体" w:eastAsia="宋体" w:cs="Times New Roman"/>
          <w:b/>
          <w:color w:val="000000"/>
          <w:sz w:val="24"/>
        </w:rPr>
      </w:pPr>
    </w:p>
    <w:p w14:paraId="21E6B4C4">
      <w:pPr>
        <w:spacing w:line="440" w:lineRule="exact"/>
        <w:jc w:val="center"/>
        <w:outlineLvl w:val="1"/>
        <w:rPr>
          <w:rFonts w:hint="eastAsia" w:ascii="宋体" w:hAnsi="宋体" w:eastAsia="宋体" w:cs="Times New Roman"/>
          <w:b/>
          <w:color w:val="000000"/>
          <w:sz w:val="24"/>
        </w:rPr>
      </w:pPr>
    </w:p>
    <w:p w14:paraId="69544620">
      <w:pPr>
        <w:spacing w:line="440" w:lineRule="exact"/>
        <w:jc w:val="center"/>
        <w:outlineLvl w:val="1"/>
        <w:rPr>
          <w:rFonts w:hint="eastAsia" w:ascii="宋体" w:hAnsi="宋体" w:eastAsia="宋体" w:cs="Times New Roman"/>
          <w:b/>
          <w:color w:val="000000"/>
          <w:sz w:val="24"/>
        </w:rPr>
      </w:pPr>
    </w:p>
    <w:p w14:paraId="6A1AAEA1">
      <w:pPr>
        <w:spacing w:line="440" w:lineRule="exact"/>
        <w:jc w:val="center"/>
        <w:outlineLvl w:val="1"/>
        <w:rPr>
          <w:rFonts w:hint="eastAsia" w:ascii="宋体" w:hAnsi="宋体" w:eastAsia="宋体" w:cs="Times New Roman"/>
          <w:b/>
          <w:color w:val="000000"/>
          <w:sz w:val="24"/>
        </w:rPr>
      </w:pPr>
    </w:p>
    <w:p w14:paraId="6FBBD7EA">
      <w:pPr>
        <w:spacing w:line="440" w:lineRule="exact"/>
        <w:jc w:val="center"/>
        <w:outlineLvl w:val="1"/>
        <w:rPr>
          <w:rFonts w:hint="eastAsia" w:ascii="宋体" w:hAnsi="宋体" w:eastAsia="宋体" w:cs="Times New Roman"/>
          <w:b/>
          <w:color w:val="000000"/>
          <w:sz w:val="24"/>
        </w:rPr>
      </w:pPr>
    </w:p>
    <w:p w14:paraId="73F5E000">
      <w:pPr>
        <w:spacing w:line="440" w:lineRule="exact"/>
        <w:jc w:val="center"/>
        <w:outlineLvl w:val="1"/>
        <w:rPr>
          <w:rFonts w:hint="eastAsia" w:ascii="宋体" w:hAnsi="宋体" w:eastAsia="宋体" w:cs="Times New Roman"/>
          <w:b/>
          <w:color w:val="000000"/>
          <w:sz w:val="24"/>
        </w:rPr>
      </w:pPr>
    </w:p>
    <w:p w14:paraId="33CB01E7">
      <w:pPr>
        <w:spacing w:line="440" w:lineRule="exact"/>
        <w:jc w:val="center"/>
        <w:outlineLvl w:val="1"/>
        <w:rPr>
          <w:rFonts w:hint="eastAsia" w:ascii="宋体" w:hAnsi="宋体" w:eastAsia="宋体" w:cs="Times New Roman"/>
          <w:b/>
          <w:color w:val="000000"/>
          <w:sz w:val="24"/>
        </w:rPr>
      </w:pPr>
    </w:p>
    <w:p w14:paraId="0B924FF5">
      <w:pPr>
        <w:spacing w:line="440" w:lineRule="exact"/>
        <w:jc w:val="center"/>
        <w:outlineLvl w:val="1"/>
        <w:rPr>
          <w:rFonts w:hint="eastAsia" w:ascii="宋体" w:hAnsi="宋体" w:eastAsia="宋体" w:cs="Times New Roman"/>
          <w:b/>
          <w:color w:val="000000"/>
          <w:sz w:val="24"/>
        </w:rPr>
      </w:pPr>
      <w:r>
        <w:rPr>
          <w:rFonts w:hint="eastAsia" w:ascii="宋体" w:hAnsi="宋体" w:eastAsia="宋体" w:cs="Times New Roman"/>
          <w:b/>
          <w:color w:val="000000"/>
          <w:sz w:val="24"/>
        </w:rPr>
        <w:t>技术部分评审评分表（分值100分）</w:t>
      </w:r>
    </w:p>
    <w:p w14:paraId="54AECACA">
      <w:pPr>
        <w:keepNext/>
        <w:keepLines/>
        <w:widowControl w:val="0"/>
        <w:spacing w:line="360" w:lineRule="auto"/>
        <w:jc w:val="both"/>
        <w:outlineLvl w:val="1"/>
        <w:rPr>
          <w:rFonts w:ascii="Arial" w:hAnsi="Arial" w:eastAsia="宋体" w:cs="Times New Roman"/>
          <w:b/>
          <w:bCs/>
          <w:color w:val="000000"/>
          <w:kern w:val="0"/>
          <w:sz w:val="24"/>
          <w:szCs w:val="32"/>
          <w:lang w:val="en-US" w:eastAsia="zh-CN" w:bidi="ar-SA"/>
        </w:rPr>
      </w:pPr>
    </w:p>
    <w:tbl>
      <w:tblPr>
        <w:tblStyle w:val="40"/>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513"/>
        <w:gridCol w:w="844"/>
        <w:gridCol w:w="7507"/>
      </w:tblGrid>
      <w:tr w14:paraId="746B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blHeader/>
          <w:jc w:val="center"/>
        </w:trPr>
        <w:tc>
          <w:tcPr>
            <w:tcW w:w="741" w:type="dxa"/>
            <w:noWrap w:val="0"/>
            <w:vAlign w:val="center"/>
          </w:tcPr>
          <w:p w14:paraId="3472A0AB">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序号</w:t>
            </w:r>
          </w:p>
        </w:tc>
        <w:tc>
          <w:tcPr>
            <w:tcW w:w="1513" w:type="dxa"/>
            <w:noWrap w:val="0"/>
            <w:vAlign w:val="center"/>
          </w:tcPr>
          <w:p w14:paraId="44645182">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评审因素</w:t>
            </w:r>
          </w:p>
        </w:tc>
        <w:tc>
          <w:tcPr>
            <w:tcW w:w="844" w:type="dxa"/>
            <w:noWrap w:val="0"/>
            <w:vAlign w:val="center"/>
          </w:tcPr>
          <w:p w14:paraId="4166BD46">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分值</w:t>
            </w:r>
          </w:p>
        </w:tc>
        <w:tc>
          <w:tcPr>
            <w:tcW w:w="7507" w:type="dxa"/>
            <w:noWrap w:val="0"/>
            <w:vAlign w:val="center"/>
          </w:tcPr>
          <w:p w14:paraId="74F0F5B9">
            <w:pPr>
              <w:widowControl/>
              <w:spacing w:line="360" w:lineRule="auto"/>
              <w:jc w:val="center"/>
              <w:rPr>
                <w:rFonts w:ascii="宋体" w:hAnsi="Times New Roman" w:eastAsia="宋体" w:cs="宋体"/>
                <w:b/>
                <w:bCs/>
                <w:color w:val="000000"/>
              </w:rPr>
            </w:pPr>
            <w:r>
              <w:rPr>
                <w:rFonts w:hint="eastAsia" w:ascii="宋体" w:hAnsi="宋体" w:eastAsia="宋体" w:cs="宋体"/>
                <w:b/>
                <w:bCs/>
                <w:color w:val="000000"/>
              </w:rPr>
              <w:t>评分标准</w:t>
            </w:r>
          </w:p>
        </w:tc>
      </w:tr>
      <w:tr w14:paraId="7555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blHeader/>
          <w:jc w:val="center"/>
        </w:trPr>
        <w:tc>
          <w:tcPr>
            <w:tcW w:w="741" w:type="dxa"/>
            <w:noWrap w:val="0"/>
            <w:vAlign w:val="center"/>
          </w:tcPr>
          <w:p w14:paraId="02239BE3">
            <w:pPr>
              <w:autoSpaceDE w:val="0"/>
              <w:autoSpaceDN w:val="0"/>
              <w:adjustRightInd w:val="0"/>
              <w:snapToGrid w:val="0"/>
              <w:spacing w:before="156" w:beforeLines="50" w:line="360" w:lineRule="auto"/>
              <w:jc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1</w:t>
            </w:r>
          </w:p>
        </w:tc>
        <w:tc>
          <w:tcPr>
            <w:tcW w:w="1513" w:type="dxa"/>
            <w:noWrap w:val="0"/>
            <w:vAlign w:val="center"/>
          </w:tcPr>
          <w:p w14:paraId="0BC4BF6B">
            <w:pPr>
              <w:autoSpaceDE w:val="0"/>
              <w:autoSpaceDN w:val="0"/>
              <w:adjustRightInd w:val="0"/>
              <w:snapToGrid w:val="0"/>
              <w:spacing w:before="156" w:beforeLines="50" w:line="276" w:lineRule="auto"/>
              <w:jc w:val="center"/>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技术参数</w:t>
            </w:r>
          </w:p>
          <w:p w14:paraId="05210587">
            <w:pPr>
              <w:autoSpaceDE w:val="0"/>
              <w:autoSpaceDN w:val="0"/>
              <w:adjustRightInd w:val="0"/>
              <w:snapToGrid w:val="0"/>
              <w:spacing w:before="156" w:beforeLines="50" w:line="276" w:lineRule="auto"/>
              <w:jc w:val="center"/>
              <w:rPr>
                <w:rFonts w:ascii="宋体" w:hAnsi="宋体" w:eastAsia="宋体" w:cs="宋体"/>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响应评分</w:t>
            </w:r>
          </w:p>
        </w:tc>
        <w:tc>
          <w:tcPr>
            <w:tcW w:w="844" w:type="dxa"/>
            <w:noWrap w:val="0"/>
            <w:vAlign w:val="center"/>
          </w:tcPr>
          <w:p w14:paraId="511E536A">
            <w:pPr>
              <w:autoSpaceDE w:val="0"/>
              <w:autoSpaceDN w:val="0"/>
              <w:adjustRightInd w:val="0"/>
              <w:snapToGrid w:val="0"/>
              <w:spacing w:before="156" w:beforeLines="50"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100</w:t>
            </w:r>
          </w:p>
        </w:tc>
        <w:tc>
          <w:tcPr>
            <w:tcW w:w="7507" w:type="dxa"/>
            <w:noWrap w:val="0"/>
            <w:vAlign w:val="center"/>
          </w:tcPr>
          <w:p w14:paraId="4997E16B">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投标人应如实填写《</w:t>
            </w:r>
            <w:r>
              <w:rPr>
                <w:rFonts w:hint="eastAsia" w:ascii="Times New Roman" w:hAnsi="Times New Roman" w:eastAsia="宋体" w:cs="Times New Roman"/>
                <w:color w:val="000000" w:themeColor="text1"/>
                <w:szCs w:val="21"/>
                <w:lang w:val="en-US" w:eastAsia="zh-CN"/>
                <w14:textFill>
                  <w14:solidFill>
                    <w14:schemeClr w14:val="tx1"/>
                  </w14:solidFill>
                </w14:textFill>
              </w:rPr>
              <w:t>货物说明响应一</w:t>
            </w:r>
            <w:r>
              <w:rPr>
                <w:rFonts w:hint="eastAsia" w:ascii="Times New Roman" w:hAnsi="Times New Roman" w:eastAsia="宋体" w:cs="Times New Roman"/>
                <w:color w:val="000000" w:themeColor="text1"/>
                <w:szCs w:val="21"/>
                <w14:textFill>
                  <w14:solidFill>
                    <w14:schemeClr w14:val="tx1"/>
                  </w14:solidFill>
                </w14:textFill>
              </w:rPr>
              <w:t>览表》，评审委员会根据招标文件《第四章 技术规格、参数与要求》响应情况进行打分。投标文件没有技术条款响应/偏离表的不计分。</w:t>
            </w:r>
          </w:p>
          <w:p w14:paraId="7ECA1C63">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1、完全满足招标文件“第四章 技术规格、参数与要求”的，计100分。</w:t>
            </w:r>
          </w:p>
          <w:p w14:paraId="39615305">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2、招标文件《第四章 技术规格、参数与要求》中，标注“▲”参数为重要参数，如存在负偏离，每条负偏离扣</w:t>
            </w:r>
            <w:r>
              <w:rPr>
                <w:rFonts w:hint="eastAsia" w:ascii="Times New Roman" w:hAnsi="Times New Roman" w:eastAsia="宋体" w:cs="Times New Roman"/>
                <w:color w:val="000000" w:themeColor="text1"/>
                <w:szCs w:val="21"/>
                <w:lang w:val="en-US" w:eastAsia="zh-CN"/>
                <w14:textFill>
                  <w14:solidFill>
                    <w14:schemeClr w14:val="tx1"/>
                  </w14:solidFill>
                </w14:textFill>
              </w:rPr>
              <w:t>15</w:t>
            </w:r>
            <w:r>
              <w:rPr>
                <w:rFonts w:hint="eastAsia" w:ascii="Times New Roman" w:hAnsi="Times New Roman" w:eastAsia="宋体" w:cs="Times New Roman"/>
                <w:color w:val="000000" w:themeColor="text1"/>
                <w:szCs w:val="21"/>
                <w14:textFill>
                  <w14:solidFill>
                    <w14:schemeClr w14:val="tx1"/>
                  </w14:solidFill>
                </w14:textFill>
              </w:rPr>
              <w:t>分，扣完为止。</w:t>
            </w:r>
          </w:p>
          <w:p w14:paraId="6F0F9D33">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3、招标文件《第四章 技术规格、参数与要求》中，非“▲”参数为一般参数，如存在负偏离，每项扣</w:t>
            </w:r>
            <w:r>
              <w:rPr>
                <w:rFonts w:hint="eastAsia" w:ascii="Times New Roman" w:hAnsi="Times New Roman" w:eastAsia="宋体" w:cs="Times New Roman"/>
                <w:color w:val="000000" w:themeColor="text1"/>
                <w:szCs w:val="21"/>
                <w:lang w:val="en-US" w:eastAsia="zh-CN"/>
                <w14:textFill>
                  <w14:solidFill>
                    <w14:schemeClr w14:val="tx1"/>
                  </w14:solidFill>
                </w14:textFill>
              </w:rPr>
              <w:t>10</w:t>
            </w:r>
            <w:r>
              <w:rPr>
                <w:rFonts w:hint="eastAsia" w:ascii="Times New Roman" w:hAnsi="Times New Roman" w:eastAsia="宋体" w:cs="Times New Roman"/>
                <w:color w:val="000000" w:themeColor="text1"/>
                <w:szCs w:val="21"/>
                <w14:textFill>
                  <w14:solidFill>
                    <w14:schemeClr w14:val="tx1"/>
                  </w14:solidFill>
                </w14:textFill>
              </w:rPr>
              <w:t>分，扣完为止。</w:t>
            </w:r>
          </w:p>
          <w:p w14:paraId="458B83E7">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注：</w:t>
            </w:r>
          </w:p>
          <w:p w14:paraId="05D565ED">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1）标注“</w:t>
            </w:r>
            <w:r>
              <w:rPr>
                <w:rFonts w:hint="eastAsia" w:ascii="Times New Roman" w:hAnsi="Times New Roman" w:eastAsia="宋体" w:cs="Times New Roman"/>
                <w:color w:val="000000" w:themeColor="text1"/>
                <w:szCs w:val="21"/>
                <w:highlight w:val="none"/>
                <w14:textFill>
                  <w14:solidFill>
                    <w14:schemeClr w14:val="tx1"/>
                  </w14:solidFill>
                </w14:textFill>
              </w:rPr>
              <w:t>▲”号的</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要求</w:t>
            </w:r>
            <w:r>
              <w:rPr>
                <w:rFonts w:hint="eastAsia" w:ascii="Times New Roman" w:hAnsi="Times New Roman" w:eastAsia="宋体" w:cs="Times New Roman"/>
                <w:color w:val="000000" w:themeColor="text1"/>
                <w:szCs w:val="21"/>
                <w:highlight w:val="none"/>
                <w14:textFill>
                  <w14:solidFill>
                    <w14:schemeClr w14:val="tx1"/>
                  </w14:solidFill>
                </w14:textFill>
              </w:rPr>
              <w:t>，须提供相关证明文件，包括但不限于投标货物制造商的印刷资料或原版技术白皮书或使用说明书或检测机构出具的检测报告</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和售后维保及技术支持的授权书</w:t>
            </w:r>
            <w:r>
              <w:rPr>
                <w:rFonts w:hint="eastAsia" w:ascii="Times New Roman" w:hAnsi="Times New Roman" w:eastAsia="宋体" w:cs="Times New Roman"/>
                <w:color w:val="000000" w:themeColor="text1"/>
                <w:szCs w:val="21"/>
                <w:highlight w:val="none"/>
                <w14:textFill>
                  <w14:solidFill>
                    <w14:schemeClr w14:val="tx1"/>
                  </w14:solidFill>
                </w14:textFill>
              </w:rPr>
              <w:t>等形式；</w:t>
            </w:r>
          </w:p>
          <w:p w14:paraId="2698F368">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2）一般技术参数中如在招标文件中要求提供相关证明文件的，投标人应提供相应的技术参数的证明文件，包括但不限于投标货物制造商的印刷资料或原版技术白皮书或使用说明书或检测机构出具的检测报告等形式；</w:t>
            </w:r>
          </w:p>
          <w:p w14:paraId="290682C2">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3）如未按要求提供相关证明文件的条款，按负偏离处理；如相关证明文件技术参数不清楚或缺漏项，该项按负偏离处理；</w:t>
            </w:r>
          </w:p>
          <w:p w14:paraId="77DD7B78">
            <w:pPr>
              <w:autoSpaceDE w:val="0"/>
              <w:autoSpaceDN w:val="0"/>
              <w:adjustRightInd w:val="0"/>
              <w:snapToGrid w:val="0"/>
              <w:spacing w:before="156" w:beforeLines="50" w:line="276" w:lineRule="auto"/>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4）采购文件中要求提供投标货物制造商的印刷资料或原版技术白皮书或使用说明书或检测机构出具的检测报告的；如印刷资料或技术白皮书或使用说明书与检测报告不一致的，以检测机构出具的检测报告为准；如提供的资料不清晰或不完整或有缺漏页，导致评标委员会无法判别</w:t>
            </w:r>
            <w:r>
              <w:rPr>
                <w:rFonts w:hint="eastAsia" w:ascii="Times New Roman" w:hAnsi="Times New Roman" w:eastAsia="宋体" w:cs="Times New Roman"/>
                <w:color w:val="000000" w:themeColor="text1"/>
                <w:szCs w:val="21"/>
                <w:lang w:val="en-US" w:eastAsia="zh-CN"/>
                <w14:textFill>
                  <w14:solidFill>
                    <w14:schemeClr w14:val="tx1"/>
                  </w14:solidFill>
                </w14:textFill>
              </w:rPr>
              <w:t>响应情况的</w:t>
            </w:r>
            <w:r>
              <w:rPr>
                <w:rFonts w:hint="eastAsia" w:ascii="Times New Roman" w:hAnsi="Times New Roman" w:eastAsia="宋体" w:cs="Times New Roman"/>
                <w:color w:val="000000" w:themeColor="text1"/>
                <w:szCs w:val="21"/>
                <w14:textFill>
                  <w14:solidFill>
                    <w14:schemeClr w14:val="tx1"/>
                  </w14:solidFill>
                </w14:textFill>
              </w:rPr>
              <w:t>，一律按负偏离处理。</w:t>
            </w:r>
          </w:p>
          <w:p w14:paraId="5401D619">
            <w:pPr>
              <w:autoSpaceDE w:val="0"/>
              <w:autoSpaceDN w:val="0"/>
              <w:adjustRightInd w:val="0"/>
              <w:snapToGrid w:val="0"/>
              <w:spacing w:before="156" w:beforeLines="50" w:line="276" w:lineRule="auto"/>
              <w:rPr>
                <w:rFonts w:ascii="宋体" w:hAnsi="宋体" w:eastAsia="宋体" w:cs="宋体"/>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b/>
                <w:bCs/>
                <w:color w:val="000000" w:themeColor="text1"/>
                <w:szCs w:val="21"/>
                <w:lang w:val="en-US" w:eastAsia="zh-CN"/>
                <w14:textFill>
                  <w14:solidFill>
                    <w14:schemeClr w14:val="tx1"/>
                  </w14:solidFill>
                </w14:textFill>
              </w:rPr>
              <w:t>以上相关证明材料制造商和投标人均需加盖公章</w:t>
            </w:r>
            <w:r>
              <w:rPr>
                <w:rFonts w:hint="eastAsia" w:ascii="Times New Roman" w:hAnsi="Times New Roman" w:eastAsia="宋体" w:cs="Times New Roman"/>
                <w:color w:val="000000" w:themeColor="text1"/>
                <w:szCs w:val="21"/>
                <w:lang w:val="en-US" w:eastAsia="zh-CN"/>
                <w14:textFill>
                  <w14:solidFill>
                    <w14:schemeClr w14:val="tx1"/>
                  </w14:solidFill>
                </w14:textFill>
              </w:rPr>
              <w:t>。</w:t>
            </w:r>
          </w:p>
        </w:tc>
      </w:tr>
    </w:tbl>
    <w:p w14:paraId="63C2DE78">
      <w:pPr>
        <w:spacing w:line="440" w:lineRule="exact"/>
        <w:jc w:val="center"/>
        <w:rPr>
          <w:rFonts w:hint="eastAsia" w:ascii="宋体" w:hAnsi="宋体" w:eastAsia="宋体" w:cs="Times New Roman"/>
          <w:b/>
          <w:color w:val="000000" w:themeColor="text1"/>
          <w:sz w:val="24"/>
          <w14:textFill>
            <w14:solidFill>
              <w14:schemeClr w14:val="tx1"/>
            </w14:solidFill>
          </w14:textFill>
        </w:rPr>
      </w:pPr>
    </w:p>
    <w:p w14:paraId="2B102D22">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13D31343">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679783D2">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65BFF18E">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44834371">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0E746970">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10E99824">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0E2633FE">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75580865">
      <w:pPr>
        <w:spacing w:line="440" w:lineRule="exact"/>
        <w:jc w:val="center"/>
        <w:outlineLvl w:val="1"/>
        <w:rPr>
          <w:rFonts w:hint="eastAsia" w:ascii="宋体" w:hAnsi="宋体" w:eastAsia="宋体" w:cs="Times New Roman"/>
          <w:b/>
          <w:color w:val="000000" w:themeColor="text1"/>
          <w:sz w:val="24"/>
          <w14:textFill>
            <w14:solidFill>
              <w14:schemeClr w14:val="tx1"/>
            </w14:solidFill>
          </w14:textFill>
        </w:rPr>
      </w:pPr>
    </w:p>
    <w:p w14:paraId="7DED30EE">
      <w:pPr>
        <w:spacing w:line="440" w:lineRule="exact"/>
        <w:jc w:val="center"/>
        <w:outlineLvl w:val="1"/>
        <w:rPr>
          <w:rFonts w:ascii="宋体" w:hAnsi="Times New Roman" w:eastAsia="宋体" w:cs="Times New Roman"/>
          <w:b/>
          <w:color w:val="000000" w:themeColor="text1"/>
          <w:sz w:val="24"/>
          <w14:textFill>
            <w14:solidFill>
              <w14:schemeClr w14:val="tx1"/>
            </w14:solidFill>
          </w14:textFill>
        </w:rPr>
      </w:pPr>
      <w:r>
        <w:rPr>
          <w:rFonts w:hint="eastAsia" w:ascii="宋体" w:hAnsi="宋体" w:eastAsia="宋体" w:cs="Times New Roman"/>
          <w:b/>
          <w:color w:val="000000" w:themeColor="text1"/>
          <w:sz w:val="24"/>
          <w14:textFill>
            <w14:solidFill>
              <w14:schemeClr w14:val="tx1"/>
            </w14:solidFill>
          </w14:textFill>
        </w:rPr>
        <w:t>商务部分评审评分表（分值100分）</w:t>
      </w:r>
    </w:p>
    <w:tbl>
      <w:tblPr>
        <w:tblStyle w:val="40"/>
        <w:tblpPr w:leftFromText="180" w:rightFromText="180" w:vertAnchor="text" w:horzAnchor="page" w:tblpX="776" w:tblpY="222"/>
        <w:tblOverlap w:val="never"/>
        <w:tblW w:w="105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364"/>
        <w:gridCol w:w="744"/>
        <w:gridCol w:w="7734"/>
      </w:tblGrid>
      <w:tr w14:paraId="10878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675" w:type="dxa"/>
            <w:noWrap w:val="0"/>
            <w:vAlign w:val="center"/>
          </w:tcPr>
          <w:p w14:paraId="5A431484">
            <w:pPr>
              <w:widowControl/>
              <w:spacing w:line="360" w:lineRule="auto"/>
              <w:jc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序号</w:t>
            </w:r>
          </w:p>
        </w:tc>
        <w:tc>
          <w:tcPr>
            <w:tcW w:w="1364" w:type="dxa"/>
            <w:noWrap w:val="0"/>
            <w:vAlign w:val="center"/>
          </w:tcPr>
          <w:p w14:paraId="750969E9">
            <w:pPr>
              <w:widowControl/>
              <w:spacing w:line="360" w:lineRule="auto"/>
              <w:jc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评审因素</w:t>
            </w:r>
          </w:p>
        </w:tc>
        <w:tc>
          <w:tcPr>
            <w:tcW w:w="744" w:type="dxa"/>
            <w:noWrap w:val="0"/>
            <w:vAlign w:val="center"/>
          </w:tcPr>
          <w:p w14:paraId="189FDC1F">
            <w:pPr>
              <w:widowControl/>
              <w:spacing w:line="360" w:lineRule="auto"/>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分值</w:t>
            </w:r>
          </w:p>
        </w:tc>
        <w:tc>
          <w:tcPr>
            <w:tcW w:w="7734" w:type="dxa"/>
            <w:noWrap w:val="0"/>
            <w:vAlign w:val="center"/>
          </w:tcPr>
          <w:p w14:paraId="1C64E4BA">
            <w:pPr>
              <w:widowControl/>
              <w:spacing w:line="360" w:lineRule="auto"/>
              <w:ind w:firstLine="17" w:firstLineChars="8"/>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评分标准</w:t>
            </w:r>
          </w:p>
        </w:tc>
      </w:tr>
      <w:tr w14:paraId="001D9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trPr>
        <w:tc>
          <w:tcPr>
            <w:tcW w:w="675" w:type="dxa"/>
            <w:noWrap w:val="0"/>
            <w:vAlign w:val="center"/>
          </w:tcPr>
          <w:p w14:paraId="43F1950E">
            <w:pPr>
              <w:widowControl w:val="0"/>
              <w:spacing w:line="276" w:lineRule="auto"/>
              <w:ind w:firstLine="0" w:firstLineChars="0"/>
              <w:jc w:val="both"/>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1</w:t>
            </w:r>
          </w:p>
        </w:tc>
        <w:tc>
          <w:tcPr>
            <w:tcW w:w="1364" w:type="dxa"/>
            <w:noWrap w:val="0"/>
            <w:vAlign w:val="center"/>
          </w:tcPr>
          <w:p w14:paraId="6CBCD95F">
            <w:pPr>
              <w:widowControl w:val="0"/>
              <w:spacing w:line="276" w:lineRule="auto"/>
              <w:ind w:firstLine="0" w:firstLineChars="0"/>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有效业绩</w:t>
            </w:r>
          </w:p>
        </w:tc>
        <w:tc>
          <w:tcPr>
            <w:tcW w:w="744" w:type="dxa"/>
            <w:noWrap w:val="0"/>
            <w:vAlign w:val="center"/>
          </w:tcPr>
          <w:p w14:paraId="7AC0AFAE">
            <w:pPr>
              <w:widowControl w:val="0"/>
              <w:spacing w:line="276" w:lineRule="auto"/>
              <w:ind w:firstLine="0" w:firstLineChars="0"/>
              <w:jc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28</w:t>
            </w:r>
          </w:p>
        </w:tc>
        <w:tc>
          <w:tcPr>
            <w:tcW w:w="7734" w:type="dxa"/>
            <w:noWrap w:val="0"/>
            <w:vAlign w:val="center"/>
          </w:tcPr>
          <w:p w14:paraId="1B6DC265">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投标人或制造商</w:t>
            </w:r>
            <w:r>
              <w:rPr>
                <w:rFonts w:hint="eastAsia" w:ascii="宋体" w:hAnsi="宋体" w:eastAsia="宋体" w:cs="宋体"/>
                <w:bCs/>
                <w:color w:val="auto"/>
                <w:kern w:val="0"/>
                <w:sz w:val="21"/>
                <w:szCs w:val="21"/>
                <w:lang w:val="en-US" w:eastAsia="zh-CN" w:bidi="ar-SA"/>
              </w:rPr>
              <w:t xml:space="preserve">提供1项有效业绩的，得14分，最高不超过28分。不提供或者不能有效证明的，得0分。 </w:t>
            </w:r>
          </w:p>
          <w:p w14:paraId="377CBD3A">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有效业绩定义：同时满足以下全部要求同类业绩才属于有效业绩。</w:t>
            </w:r>
          </w:p>
          <w:p w14:paraId="3C80DA5C">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同类业绩指：合同明细须</w:t>
            </w:r>
            <w:r>
              <w:rPr>
                <w:rFonts w:hint="eastAsia" w:ascii="宋体" w:hAnsi="宋体" w:cs="宋体"/>
                <w:bCs/>
                <w:color w:val="auto"/>
                <w:kern w:val="0"/>
                <w:sz w:val="21"/>
                <w:szCs w:val="21"/>
                <w:lang w:val="en-US" w:eastAsia="zh-CN" w:bidi="ar-SA"/>
              </w:rPr>
              <w:t>包含</w:t>
            </w:r>
            <w:r>
              <w:rPr>
                <w:rFonts w:hint="eastAsia" w:ascii="宋体" w:hAnsi="宋体" w:eastAsia="宋体" w:cs="宋体"/>
                <w:bCs/>
                <w:color w:val="auto"/>
                <w:kern w:val="0"/>
                <w:sz w:val="21"/>
                <w:szCs w:val="21"/>
                <w:lang w:val="en-US" w:eastAsia="zh-CN" w:bidi="ar-SA"/>
              </w:rPr>
              <w:t>所投同类产品。</w:t>
            </w:r>
          </w:p>
          <w:p w14:paraId="271E8497">
            <w:pPr>
              <w:widowControl w:val="0"/>
              <w:spacing w:line="276" w:lineRule="auto"/>
              <w:ind w:firstLine="0" w:firstLineChars="0"/>
              <w:jc w:val="both"/>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合同签订时间为202</w:t>
            </w:r>
            <w:r>
              <w:rPr>
                <w:rFonts w:hint="eastAsia" w:ascii="宋体" w:hAnsi="宋体" w:cs="宋体"/>
                <w:bCs/>
                <w:color w:val="auto"/>
                <w:kern w:val="0"/>
                <w:sz w:val="21"/>
                <w:szCs w:val="21"/>
                <w:lang w:val="en-US" w:eastAsia="zh-CN" w:bidi="ar-SA"/>
              </w:rPr>
              <w:t>3</w:t>
            </w:r>
            <w:r>
              <w:rPr>
                <w:rFonts w:hint="eastAsia" w:ascii="宋体" w:hAnsi="宋体" w:eastAsia="宋体" w:cs="宋体"/>
                <w:bCs/>
                <w:color w:val="auto"/>
                <w:kern w:val="0"/>
                <w:sz w:val="21"/>
                <w:szCs w:val="21"/>
                <w:lang w:val="en-US" w:eastAsia="zh-CN" w:bidi="ar-SA"/>
              </w:rPr>
              <w:t>年</w:t>
            </w:r>
            <w:r>
              <w:rPr>
                <w:rFonts w:hint="eastAsia" w:ascii="宋体" w:hAnsi="宋体" w:cs="宋体"/>
                <w:bCs/>
                <w:color w:val="auto"/>
                <w:kern w:val="0"/>
                <w:sz w:val="21"/>
                <w:szCs w:val="21"/>
                <w:lang w:val="en-US" w:eastAsia="zh-CN" w:bidi="ar-SA"/>
              </w:rPr>
              <w:t>8</w:t>
            </w:r>
            <w:r>
              <w:rPr>
                <w:rFonts w:hint="eastAsia" w:ascii="宋体" w:hAnsi="宋体" w:eastAsia="宋体" w:cs="宋体"/>
                <w:bCs/>
                <w:color w:val="auto"/>
                <w:kern w:val="0"/>
                <w:sz w:val="21"/>
                <w:szCs w:val="21"/>
                <w:lang w:val="en-US" w:eastAsia="zh-CN" w:bidi="ar-SA"/>
              </w:rPr>
              <w:t>月1日至投标截止时间前；</w:t>
            </w:r>
          </w:p>
          <w:p w14:paraId="0BB336A4">
            <w:pPr>
              <w:widowControl w:val="0"/>
              <w:spacing w:line="276" w:lineRule="auto"/>
              <w:ind w:firstLine="0" w:firstLineChars="0"/>
              <w:jc w:val="both"/>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auto"/>
                <w:kern w:val="0"/>
                <w:sz w:val="21"/>
                <w:szCs w:val="21"/>
                <w:lang w:val="en-US" w:eastAsia="zh-CN" w:bidi="ar-SA"/>
              </w:rPr>
              <w:t>证明文件：必须提供合同扫描件（需含产品清单），未提供不得分。</w:t>
            </w:r>
          </w:p>
        </w:tc>
      </w:tr>
      <w:tr w14:paraId="76A3C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trPr>
        <w:tc>
          <w:tcPr>
            <w:tcW w:w="675" w:type="dxa"/>
            <w:noWrap w:val="0"/>
            <w:vAlign w:val="center"/>
          </w:tcPr>
          <w:p w14:paraId="6A6C4275">
            <w:pPr>
              <w:widowControl w:val="0"/>
              <w:spacing w:line="276" w:lineRule="auto"/>
              <w:ind w:firstLine="0" w:firstLineChars="0"/>
              <w:jc w:val="both"/>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w:t>
            </w:r>
          </w:p>
        </w:tc>
        <w:tc>
          <w:tcPr>
            <w:tcW w:w="1364" w:type="dxa"/>
            <w:noWrap w:val="0"/>
            <w:vAlign w:val="center"/>
          </w:tcPr>
          <w:p w14:paraId="543647E6">
            <w:pPr>
              <w:widowControl w:val="0"/>
              <w:spacing w:line="276" w:lineRule="auto"/>
              <w:ind w:firstLine="0" w:firstLineChars="0"/>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default" w:ascii="宋体" w:hAnsi="宋体" w:eastAsia="宋体" w:cs="宋体"/>
                <w:bCs/>
                <w:color w:val="000000" w:themeColor="text1"/>
                <w:kern w:val="0"/>
                <w:sz w:val="21"/>
                <w:szCs w:val="21"/>
                <w:lang w:val="en-US" w:eastAsia="zh-CN" w:bidi="ar-SA"/>
                <w14:textFill>
                  <w14:solidFill>
                    <w14:schemeClr w14:val="tx1"/>
                  </w14:solidFill>
                </w14:textFill>
              </w:rPr>
              <w:t>售后服务方案评价</w:t>
            </w:r>
          </w:p>
        </w:tc>
        <w:tc>
          <w:tcPr>
            <w:tcW w:w="744" w:type="dxa"/>
            <w:noWrap w:val="0"/>
            <w:vAlign w:val="center"/>
          </w:tcPr>
          <w:p w14:paraId="460653C8">
            <w:pPr>
              <w:widowControl w:val="0"/>
              <w:spacing w:line="276" w:lineRule="auto"/>
              <w:ind w:firstLine="0" w:firstLineChars="0"/>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40</w:t>
            </w:r>
          </w:p>
        </w:tc>
        <w:tc>
          <w:tcPr>
            <w:tcW w:w="7734" w:type="dxa"/>
            <w:noWrap w:val="0"/>
            <w:vAlign w:val="center"/>
          </w:tcPr>
          <w:p w14:paraId="303C3F93">
            <w:pPr>
              <w:widowControl w:val="0"/>
              <w:spacing w:line="276" w:lineRule="auto"/>
              <w:ind w:firstLine="0" w:firstLineChars="0"/>
              <w:jc w:val="both"/>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default" w:ascii="宋体" w:hAnsi="宋体" w:eastAsia="宋体" w:cs="宋体"/>
                <w:bCs/>
                <w:color w:val="000000" w:themeColor="text1"/>
                <w:kern w:val="0"/>
                <w:sz w:val="21"/>
                <w:szCs w:val="21"/>
                <w:lang w:val="en-US" w:eastAsia="zh-CN" w:bidi="ar-SA"/>
                <w14:textFill>
                  <w14:solidFill>
                    <w14:schemeClr w14:val="tx1"/>
                  </w14:solidFill>
                </w14:textFill>
              </w:rPr>
              <w:t>针对本项目有明确的售后服务方案</w:t>
            </w:r>
            <w:r>
              <w:rPr>
                <w:rFonts w:hint="eastAsia" w:ascii="宋体" w:hAnsi="宋体" w:cs="宋体"/>
                <w:bCs/>
                <w:color w:val="000000" w:themeColor="text1"/>
                <w:kern w:val="0"/>
                <w:sz w:val="21"/>
                <w:szCs w:val="21"/>
                <w:lang w:val="en-US" w:eastAsia="zh-CN" w:bidi="ar-SA"/>
                <w14:textFill>
                  <w14:solidFill>
                    <w14:schemeClr w14:val="tx1"/>
                  </w14:solidFill>
                </w14:textFill>
              </w:rPr>
              <w:t>：</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内容包括但不限于</w:t>
            </w:r>
            <w:r>
              <w:rPr>
                <w:rFonts w:hint="eastAsia" w:ascii="宋体" w:hAnsi="宋体" w:cs="宋体"/>
                <w:color w:val="000000" w:themeColor="text1"/>
                <w:kern w:val="0"/>
                <w:sz w:val="21"/>
                <w:szCs w:val="21"/>
                <w:highlight w:val="none"/>
                <w:shd w:val="clear" w:color="auto" w:fill="FFFFFF"/>
                <w:lang w:val="en-US" w:eastAsia="zh-CN"/>
                <w14:textFill>
                  <w14:solidFill>
                    <w14:schemeClr w14:val="tx1"/>
                  </w14:solidFill>
                </w14:textFill>
              </w:rPr>
              <w:t>①</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售后服务保障措施</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②</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配件保障</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 xml:space="preserve"> ③</w:t>
            </w:r>
            <w:r>
              <w:rPr>
                <w:rFonts w:hint="eastAsia" w:ascii="宋体" w:hAnsi="宋体" w:eastAsia="宋体" w:cs="宋体"/>
                <w:color w:val="000000" w:themeColor="text1"/>
                <w:sz w:val="21"/>
                <w:szCs w:val="21"/>
                <w:highlight w:val="none"/>
                <w14:textFill>
                  <w14:solidFill>
                    <w14:schemeClr w14:val="tx1"/>
                  </w14:solidFill>
                </w14:textFill>
              </w:rPr>
              <w:t>到达故障现场时间</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④</w:t>
            </w:r>
            <w:r>
              <w:rPr>
                <w:rFonts w:hint="eastAsia" w:ascii="宋体" w:hAnsi="宋体" w:eastAsia="宋体" w:cs="宋体"/>
                <w:color w:val="000000" w:themeColor="text1"/>
                <w:sz w:val="21"/>
                <w:szCs w:val="21"/>
                <w:highlight w:val="none"/>
                <w14:textFill>
                  <w14:solidFill>
                    <w14:schemeClr w14:val="tx1"/>
                  </w14:solidFill>
                </w14:textFill>
              </w:rPr>
              <w:t>故障解决方案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⑤</w:t>
            </w:r>
            <w:r>
              <w:rPr>
                <w:rFonts w:hint="eastAsia" w:ascii="宋体" w:hAnsi="宋体" w:eastAsia="宋体" w:cs="宋体"/>
                <w:color w:val="000000" w:themeColor="text1"/>
                <w:sz w:val="21"/>
                <w:szCs w:val="21"/>
                <w:highlight w:val="none"/>
                <w14:textFill>
                  <w14:solidFill>
                    <w14:schemeClr w14:val="tx1"/>
                  </w14:solidFill>
                </w14:textFill>
              </w:rPr>
              <w:t>定期维护</w:t>
            </w:r>
            <w:r>
              <w:rPr>
                <w:rFonts w:hint="eastAsia" w:ascii="宋体" w:hAnsi="宋体" w:eastAsia="宋体" w:cs="宋体"/>
                <w:color w:val="000000" w:themeColor="text1"/>
                <w:sz w:val="21"/>
                <w:szCs w:val="21"/>
                <w:highlight w:val="none"/>
                <w:lang w:val="en-US" w:eastAsia="zh-CN"/>
                <w14:textFill>
                  <w14:solidFill>
                    <w14:schemeClr w14:val="tx1"/>
                  </w14:solidFill>
                </w14:textFill>
              </w:rPr>
              <w:t>方案</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等方面</w:t>
            </w:r>
            <w:r>
              <w:rPr>
                <w:rFonts w:hint="eastAsia" w:ascii="宋体" w:hAnsi="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由评标委员会综合评定，以上</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项内容</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1175F827">
            <w:pPr>
              <w:widowControl w:val="0"/>
              <w:spacing w:line="276" w:lineRule="auto"/>
              <w:ind w:firstLine="0" w:firstLineChars="0"/>
              <w:jc w:val="both"/>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default" w:ascii="宋体" w:hAnsi="宋体" w:eastAsia="宋体" w:cs="宋体"/>
                <w:bCs/>
                <w:color w:val="000000" w:themeColor="text1"/>
                <w:kern w:val="0"/>
                <w:sz w:val="21"/>
                <w:szCs w:val="21"/>
                <w:lang w:val="en-US" w:eastAsia="zh-CN" w:bidi="ar-SA"/>
                <w14:textFill>
                  <w14:solidFill>
                    <w14:schemeClr w14:val="tx1"/>
                  </w14:solidFill>
                </w14:textFill>
              </w:rPr>
              <w:t xml:space="preserve">方案内容完全符合本采购文件采购需求的计 </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40</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分，每出现一处方案缺漏扣</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8</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分，每有一项缺陷或欠合理的，对服务质量有影响的扣</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4</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分，扣完为止。未提供售后服务方案的本项不得分。</w:t>
            </w:r>
          </w:p>
          <w:p w14:paraId="1328D5EF">
            <w:pPr>
              <w:widowControl w:val="0"/>
              <w:spacing w:line="276" w:lineRule="auto"/>
              <w:ind w:firstLine="0" w:firstLineChars="0"/>
              <w:jc w:val="both"/>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default" w:ascii="宋体" w:hAnsi="宋体" w:eastAsia="宋体" w:cs="宋体"/>
                <w:bCs/>
                <w:color w:val="000000" w:themeColor="text1"/>
                <w:kern w:val="0"/>
                <w:sz w:val="21"/>
                <w:szCs w:val="21"/>
                <w:lang w:val="en-US" w:eastAsia="zh-CN" w:bidi="ar-SA"/>
                <w14:textFill>
                  <w14:solidFill>
                    <w14:schemeClr w14:val="tx1"/>
                  </w14:solidFill>
                </w14:textFill>
              </w:rPr>
              <w:t>(缺陷是指:非专门针对本项目或不适用项目特性的情形、内容不完整或缺少关键节点、套用其他项目方案、内容前后矛盾、涉及的规范及标准错误不利于项目实施、不可能实现的情形等任意一种情形。)</w:t>
            </w:r>
          </w:p>
        </w:tc>
      </w:tr>
      <w:tr w14:paraId="03B79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 w:hRule="atLeast"/>
        </w:trPr>
        <w:tc>
          <w:tcPr>
            <w:tcW w:w="675" w:type="dxa"/>
            <w:noWrap w:val="0"/>
            <w:vAlign w:val="center"/>
          </w:tcPr>
          <w:p w14:paraId="052C75DC">
            <w:pPr>
              <w:widowControl w:val="0"/>
              <w:spacing w:line="276" w:lineRule="auto"/>
              <w:ind w:firstLine="0" w:firstLineChars="0"/>
              <w:jc w:val="both"/>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w:t>
            </w:r>
          </w:p>
        </w:tc>
        <w:tc>
          <w:tcPr>
            <w:tcW w:w="1364" w:type="dxa"/>
            <w:noWrap w:val="0"/>
            <w:vAlign w:val="center"/>
          </w:tcPr>
          <w:p w14:paraId="17D618F9">
            <w:pPr>
              <w:widowControl w:val="0"/>
              <w:spacing w:line="276" w:lineRule="auto"/>
              <w:ind w:firstLine="0" w:firstLineChars="0"/>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default" w:ascii="宋体" w:hAnsi="宋体" w:eastAsia="宋体" w:cs="宋体"/>
                <w:bCs/>
                <w:color w:val="000000" w:themeColor="text1"/>
                <w:kern w:val="0"/>
                <w:sz w:val="21"/>
                <w:szCs w:val="21"/>
                <w:lang w:val="en-US" w:eastAsia="zh-CN" w:bidi="ar-SA"/>
                <w14:textFill>
                  <w14:solidFill>
                    <w14:schemeClr w14:val="tx1"/>
                  </w14:solidFill>
                </w14:textFill>
              </w:rPr>
              <w:t>培训计划方案</w:t>
            </w:r>
          </w:p>
        </w:tc>
        <w:tc>
          <w:tcPr>
            <w:tcW w:w="744" w:type="dxa"/>
            <w:noWrap w:val="0"/>
            <w:vAlign w:val="center"/>
          </w:tcPr>
          <w:p w14:paraId="0A753345">
            <w:pPr>
              <w:widowControl w:val="0"/>
              <w:spacing w:line="276" w:lineRule="auto"/>
              <w:ind w:firstLine="0" w:firstLineChars="0"/>
              <w:jc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32</w:t>
            </w:r>
          </w:p>
        </w:tc>
        <w:tc>
          <w:tcPr>
            <w:tcW w:w="7734" w:type="dxa"/>
            <w:noWrap w:val="0"/>
            <w:vAlign w:val="center"/>
          </w:tcPr>
          <w:p w14:paraId="74AB8898">
            <w:pPr>
              <w:widowControl w:val="0"/>
              <w:spacing w:line="276" w:lineRule="auto"/>
              <w:ind w:firstLine="0" w:firstLineChars="0"/>
              <w:jc w:val="both"/>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default" w:ascii="宋体" w:hAnsi="宋体" w:eastAsia="宋体" w:cs="宋体"/>
                <w:bCs/>
                <w:color w:val="000000" w:themeColor="text1"/>
                <w:kern w:val="0"/>
                <w:sz w:val="21"/>
                <w:szCs w:val="21"/>
                <w:lang w:val="en-US" w:eastAsia="zh-CN" w:bidi="ar-SA"/>
                <w14:textFill>
                  <w14:solidFill>
                    <w14:schemeClr w14:val="tx1"/>
                  </w14:solidFill>
                </w14:textFill>
              </w:rPr>
              <w:t>针对本项目有可行的培训计划方案：内容包括但不限于 ①设备的原理和技术性能 ②操作维护方法 ③安装调试及故障排除 ④培训后达到的效果</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人员能熟练操作设备，了解设备结构、工作原理，并能排除一般故障。</w:t>
            </w:r>
          </w:p>
          <w:p w14:paraId="594C33E0">
            <w:pPr>
              <w:widowControl w:val="0"/>
              <w:spacing w:line="276" w:lineRule="auto"/>
              <w:ind w:firstLine="0" w:firstLineChars="0"/>
              <w:jc w:val="both"/>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default" w:ascii="宋体" w:hAnsi="宋体" w:eastAsia="宋体" w:cs="宋体"/>
                <w:bCs/>
                <w:color w:val="000000" w:themeColor="text1"/>
                <w:kern w:val="0"/>
                <w:sz w:val="21"/>
                <w:szCs w:val="21"/>
                <w:lang w:val="en-US" w:eastAsia="zh-CN" w:bidi="ar-SA"/>
                <w14:textFill>
                  <w14:solidFill>
                    <w14:schemeClr w14:val="tx1"/>
                  </w14:solidFill>
                </w14:textFill>
              </w:rPr>
              <w:t xml:space="preserve">方案内容完全符合本采购文件采购需求的计 </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32</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 xml:space="preserve"> 分，每出现一处方案缺漏扣</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8</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分，每有一项缺陷或欠合理的，对服务质量有影响的扣</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4</w:t>
            </w:r>
            <w:r>
              <w:rPr>
                <w:rFonts w:hint="default" w:ascii="宋体" w:hAnsi="宋体" w:eastAsia="宋体" w:cs="宋体"/>
                <w:bCs/>
                <w:color w:val="000000" w:themeColor="text1"/>
                <w:kern w:val="0"/>
                <w:sz w:val="21"/>
                <w:szCs w:val="21"/>
                <w:lang w:val="en-US" w:eastAsia="zh-CN" w:bidi="ar-SA"/>
                <w14:textFill>
                  <w14:solidFill>
                    <w14:schemeClr w14:val="tx1"/>
                  </w14:solidFill>
                </w14:textFill>
              </w:rPr>
              <w:t>分，扣完为止。未提供售后服务方案的本项不得分。</w:t>
            </w:r>
          </w:p>
          <w:p w14:paraId="6934CA79">
            <w:pPr>
              <w:widowControl w:val="0"/>
              <w:spacing w:line="276" w:lineRule="auto"/>
              <w:ind w:firstLine="0" w:firstLineChars="0"/>
              <w:jc w:val="both"/>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default" w:ascii="宋体" w:hAnsi="宋体" w:eastAsia="宋体" w:cs="宋体"/>
                <w:bCs/>
                <w:color w:val="000000" w:themeColor="text1"/>
                <w:kern w:val="0"/>
                <w:sz w:val="21"/>
                <w:szCs w:val="21"/>
                <w:lang w:val="en-US" w:eastAsia="zh-CN" w:bidi="ar-SA"/>
                <w14:textFill>
                  <w14:solidFill>
                    <w14:schemeClr w14:val="tx1"/>
                  </w14:solidFill>
                </w14:textFill>
              </w:rPr>
              <w:t>(缺陷是指:非专门针对本项目或不适用项目特性的情形、内容不完整或缺少关键节点、套用其他项目方案、内容前后矛盾、涉及的规范及标准错误不利于项目实施、不可能实现的情形等任意一种情形。)</w:t>
            </w:r>
          </w:p>
        </w:tc>
      </w:tr>
    </w:tbl>
    <w:p w14:paraId="1C8B8528">
      <w:pPr>
        <w:spacing w:line="440" w:lineRule="exact"/>
        <w:jc w:val="center"/>
        <w:outlineLvl w:val="0"/>
        <w:rPr>
          <w:rFonts w:ascii="宋体" w:hAnsi="宋体" w:cs="宋体"/>
          <w:b/>
          <w:bCs/>
          <w:sz w:val="28"/>
          <w:szCs w:val="36"/>
        </w:rPr>
        <w:sectPr>
          <w:headerReference r:id="rId7" w:type="default"/>
          <w:footerReference r:id="rId8" w:type="default"/>
          <w:pgSz w:w="11906" w:h="16838"/>
          <w:pgMar w:top="1213" w:right="1080" w:bottom="1213" w:left="1080" w:header="737" w:footer="907" w:gutter="0"/>
          <w:pgBorders>
            <w:top w:val="none" w:sz="0" w:space="0"/>
            <w:left w:val="none" w:sz="0" w:space="0"/>
            <w:bottom w:val="none" w:sz="0" w:space="0"/>
            <w:right w:val="none" w:sz="0" w:space="0"/>
          </w:pgBorders>
          <w:cols w:space="720" w:num="1"/>
          <w:docGrid w:type="lines" w:linePitch="312" w:charSpace="0"/>
        </w:sectPr>
      </w:pPr>
      <w:r>
        <w:rPr>
          <w:rFonts w:ascii="宋体" w:hAnsi="宋体" w:cs="宋体"/>
          <w:b/>
          <w:bCs/>
          <w:sz w:val="28"/>
          <w:szCs w:val="36"/>
        </w:rPr>
        <w:br w:type="page"/>
      </w:r>
      <w:bookmarkStart w:id="88" w:name="_Toc29352"/>
    </w:p>
    <w:p w14:paraId="0E2526EA">
      <w:pPr>
        <w:spacing w:line="440" w:lineRule="exact"/>
        <w:jc w:val="center"/>
        <w:outlineLvl w:val="0"/>
        <w:rPr>
          <w:rFonts w:ascii="宋体" w:hAnsi="宋体" w:cs="宋体"/>
          <w:b/>
          <w:sz w:val="28"/>
          <w:szCs w:val="28"/>
        </w:rPr>
      </w:pPr>
      <w:r>
        <w:rPr>
          <w:rFonts w:hint="eastAsia" w:ascii="宋体" w:hAnsi="宋体" w:cs="宋体"/>
          <w:b/>
          <w:sz w:val="28"/>
          <w:szCs w:val="28"/>
        </w:rPr>
        <w:t>正 文</w:t>
      </w:r>
      <w:bookmarkEnd w:id="87"/>
      <w:bookmarkEnd w:id="88"/>
    </w:p>
    <w:p w14:paraId="16B7E01B">
      <w:pPr>
        <w:adjustRightInd w:val="0"/>
        <w:snapToGrid w:val="0"/>
        <w:spacing w:line="360" w:lineRule="auto"/>
        <w:jc w:val="left"/>
        <w:outlineLvl w:val="0"/>
        <w:rPr>
          <w:rFonts w:ascii="宋体" w:hAnsi="宋体" w:cs="宋体"/>
          <w:b/>
          <w:szCs w:val="21"/>
        </w:rPr>
      </w:pPr>
      <w:bookmarkStart w:id="89" w:name="_Toc3235"/>
      <w:bookmarkStart w:id="90" w:name="_Toc13240"/>
      <w:r>
        <w:rPr>
          <w:rFonts w:hint="eastAsia" w:ascii="宋体" w:hAnsi="宋体" w:cs="宋体"/>
          <w:b/>
          <w:szCs w:val="21"/>
        </w:rPr>
        <w:t>1.评标方法</w:t>
      </w:r>
      <w:bookmarkEnd w:id="89"/>
      <w:bookmarkEnd w:id="90"/>
    </w:p>
    <w:p w14:paraId="21FC4B5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1B8D4CE9">
      <w:pPr>
        <w:adjustRightInd w:val="0"/>
        <w:snapToGrid w:val="0"/>
        <w:spacing w:line="360" w:lineRule="auto"/>
        <w:ind w:firstLine="420" w:firstLineChars="200"/>
        <w:jc w:val="left"/>
        <w:rPr>
          <w:rFonts w:ascii="宋体" w:hAnsi="宋体" w:cs="宋体"/>
          <w:szCs w:val="21"/>
        </w:rPr>
      </w:pPr>
      <w:r>
        <w:rPr>
          <w:rFonts w:hint="eastAsia" w:ascii="宋体" w:hAnsi="宋体" w:cs="宋体"/>
          <w:bCs/>
          <w:szCs w:val="21"/>
        </w:rPr>
        <w:t>1.2</w:t>
      </w:r>
      <w:r>
        <w:rPr>
          <w:rFonts w:hint="eastAsia" w:ascii="宋体" w:hAnsi="宋体" w:cs="宋体"/>
          <w:szCs w:val="21"/>
        </w:rPr>
        <w:t>评标因素：评审因素的设定应当与投标人所提供货物服务的质量相关，包括投标报价、技术或者服务水平、履约能力、售后服务等，但不包括第二章正文部分总则第3条“投标人的资格要求”。</w:t>
      </w:r>
      <w:r>
        <w:rPr>
          <w:rFonts w:hint="eastAsia" w:ascii="宋体" w:hAnsi="宋体" w:cs="宋体"/>
          <w:bCs/>
          <w:szCs w:val="21"/>
        </w:rPr>
        <w:t>本采购项目</w:t>
      </w:r>
      <w:r>
        <w:rPr>
          <w:rFonts w:hint="eastAsia" w:ascii="宋体" w:hAnsi="宋体" w:cs="宋体"/>
          <w:szCs w:val="21"/>
        </w:rPr>
        <w:t>的评标因素和标准见【</w:t>
      </w:r>
      <w:r>
        <w:rPr>
          <w:rFonts w:hint="eastAsia" w:ascii="宋体" w:hAnsi="宋体" w:cs="宋体"/>
          <w:b/>
          <w:szCs w:val="21"/>
        </w:rPr>
        <w:t>评标方法及标准前附表</w:t>
      </w:r>
      <w:r>
        <w:rPr>
          <w:rFonts w:hint="eastAsia" w:ascii="宋体" w:hAnsi="宋体" w:cs="宋体"/>
          <w:szCs w:val="21"/>
        </w:rPr>
        <w:t>】。</w:t>
      </w:r>
    </w:p>
    <w:p w14:paraId="6C9F67A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1.3采购人不接受投标人给予的赠品、回扣或者与采购无关的其他商品、服务。</w:t>
      </w:r>
    </w:p>
    <w:p w14:paraId="79D783B9">
      <w:pPr>
        <w:adjustRightInd w:val="0"/>
        <w:snapToGrid w:val="0"/>
        <w:spacing w:line="360" w:lineRule="auto"/>
        <w:jc w:val="left"/>
        <w:outlineLvl w:val="0"/>
        <w:rPr>
          <w:rFonts w:ascii="宋体" w:hAnsi="宋体" w:cs="宋体"/>
          <w:b/>
          <w:bCs/>
          <w:szCs w:val="21"/>
        </w:rPr>
      </w:pPr>
      <w:bookmarkStart w:id="91" w:name="_Toc22948"/>
      <w:bookmarkStart w:id="92" w:name="_Toc26443"/>
      <w:r>
        <w:rPr>
          <w:rFonts w:hint="eastAsia" w:ascii="宋体" w:hAnsi="宋体" w:cs="宋体"/>
          <w:b/>
          <w:bCs/>
          <w:szCs w:val="21"/>
        </w:rPr>
        <w:t>2.</w:t>
      </w:r>
      <w:r>
        <w:rPr>
          <w:rFonts w:hint="eastAsia" w:ascii="宋体" w:hAnsi="宋体" w:cs="宋体"/>
          <w:szCs w:val="21"/>
        </w:rPr>
        <w:t xml:space="preserve"> </w:t>
      </w:r>
      <w:r>
        <w:rPr>
          <w:rFonts w:hint="eastAsia" w:ascii="宋体" w:hAnsi="宋体" w:cs="宋体"/>
          <w:b/>
          <w:bCs/>
          <w:szCs w:val="21"/>
        </w:rPr>
        <w:t>评标程序</w:t>
      </w:r>
      <w:bookmarkEnd w:id="91"/>
      <w:bookmarkEnd w:id="92"/>
    </w:p>
    <w:p w14:paraId="35C58FAD">
      <w:pPr>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2.1</w:t>
      </w:r>
      <w:r>
        <w:rPr>
          <w:rFonts w:hint="eastAsia" w:ascii="宋体" w:hAnsi="宋体" w:cs="宋体"/>
          <w:szCs w:val="21"/>
        </w:rPr>
        <w:t>评标程序分为投标文件商务、技术等符合性审查、澄清有关问题、比较和评价、确定中标候选人名单。</w:t>
      </w:r>
    </w:p>
    <w:p w14:paraId="015E1A92">
      <w:pPr>
        <w:adjustRightInd w:val="0"/>
        <w:snapToGrid w:val="0"/>
        <w:spacing w:line="360" w:lineRule="auto"/>
        <w:jc w:val="left"/>
        <w:outlineLvl w:val="0"/>
        <w:rPr>
          <w:rFonts w:ascii="宋体" w:hAnsi="宋体" w:cs="宋体"/>
          <w:b/>
          <w:bCs/>
          <w:szCs w:val="21"/>
        </w:rPr>
      </w:pPr>
      <w:bookmarkStart w:id="93" w:name="_Toc32120"/>
      <w:bookmarkStart w:id="94" w:name="_Toc22456"/>
      <w:r>
        <w:rPr>
          <w:rFonts w:hint="eastAsia" w:ascii="宋体" w:hAnsi="宋体" w:cs="宋体"/>
          <w:b/>
          <w:bCs/>
          <w:szCs w:val="21"/>
        </w:rPr>
        <w:t>3. 投标文件符合性审查</w:t>
      </w:r>
      <w:bookmarkEnd w:id="93"/>
      <w:bookmarkEnd w:id="94"/>
    </w:p>
    <w:p w14:paraId="3E23AFD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3.1评标委员会应当对符合资格条件的投标人的投标文件进行符合性审查，以确定其是否满足招标文件商务、技术等实质性要求。</w:t>
      </w:r>
    </w:p>
    <w:p w14:paraId="445FDF6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7E205D4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（2）投标人不得通过修正或撤销不合要求的偏离从而使其投标成为实质上响应的投标。</w:t>
      </w:r>
    </w:p>
    <w:p w14:paraId="4691A3E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w:t>
      </w:r>
      <w:bookmarkStart w:id="95" w:name="_Hlk492810005"/>
      <w:r>
        <w:rPr>
          <w:rFonts w:hint="eastAsia" w:ascii="宋体" w:hAnsi="宋体" w:cs="宋体"/>
          <w:szCs w:val="21"/>
        </w:rPr>
        <w:t>投标文件属下列情况之一的，投标无效：</w:t>
      </w:r>
    </w:p>
    <w:p w14:paraId="7787535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（1）投标文件中商务技术文件未按照招标文件规定要求签署、盖章的；</w:t>
      </w:r>
    </w:p>
    <w:p w14:paraId="3902FC2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（2）投标文件没有对招标文件的实质性要求和条件作出响应，或者对招标文件的偏差超出招标文件规定的偏差范围或最高项数；</w:t>
      </w:r>
    </w:p>
    <w:bookmarkEnd w:id="95"/>
    <w:p w14:paraId="1873B92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（3）报价超过招标文件中规定的预算金额或者最高限价的； </w:t>
      </w:r>
    </w:p>
    <w:p w14:paraId="5643E4D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（4）投标有效期不足的；</w:t>
      </w:r>
    </w:p>
    <w:p w14:paraId="7EB5BB8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（5）投标文件含有采购人不能接受的附加条件的；</w:t>
      </w:r>
    </w:p>
    <w:p w14:paraId="55CCDCF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（6）法律、法规和招标文件规定的其他投标无效情形的。</w:t>
      </w:r>
    </w:p>
    <w:p w14:paraId="3872A84A">
      <w:pPr>
        <w:adjustRightInd w:val="0"/>
        <w:snapToGrid w:val="0"/>
        <w:spacing w:line="360" w:lineRule="auto"/>
        <w:jc w:val="left"/>
        <w:outlineLvl w:val="0"/>
        <w:rPr>
          <w:rFonts w:ascii="宋体" w:hAnsi="宋体" w:cs="宋体"/>
          <w:bCs/>
          <w:szCs w:val="21"/>
        </w:rPr>
      </w:pPr>
      <w:bookmarkStart w:id="96" w:name="_Toc5221"/>
      <w:bookmarkStart w:id="97" w:name="_Toc22193"/>
      <w:r>
        <w:rPr>
          <w:rFonts w:hint="eastAsia" w:ascii="宋体" w:hAnsi="宋体" w:cs="宋体"/>
          <w:b/>
          <w:bCs/>
          <w:szCs w:val="21"/>
        </w:rPr>
        <w:t>4. 澄清有关问题</w:t>
      </w:r>
      <w:bookmarkEnd w:id="96"/>
      <w:bookmarkEnd w:id="97"/>
    </w:p>
    <w:p w14:paraId="45CDB64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3A0E6D7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7EF769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（1）投标文件中开标一览表内容与投标文件中相应内容不一致的，以开标一览表为准；</w:t>
      </w:r>
    </w:p>
    <w:p w14:paraId="35AE744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（2）大写金额和小写金额不一致的，以大写金额为准；</w:t>
      </w:r>
    </w:p>
    <w:p w14:paraId="23F6CE0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（3）单价金额小数点或者百分比有明显错位的，以开标一览表的总价为准，并修改单价；</w:t>
      </w:r>
    </w:p>
    <w:p w14:paraId="5148762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（4）总价金额与按单价汇总金额不一致的，以单价金额计算结果为准。</w:t>
      </w:r>
    </w:p>
    <w:p w14:paraId="5D9BAC3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3DB1B7E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4.4投标人的澄清、说明或者补正可采用电子形式，并加盖电子公章，或者由法定代表人（或负责人）或其授权的代表签字，并按评标委员会的通知要求递交。投标人的澄清、说明或者补正不得超出投标文件的范围或者改变投标文件的实质性内容。评标委员会不接受投标人主动提交的澄清、说明或者补正。</w:t>
      </w:r>
    </w:p>
    <w:p w14:paraId="264F6E0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4.5有效的书面澄清材料，是投标文件的补充材料，成为投标文件的组成部分。</w:t>
      </w:r>
    </w:p>
    <w:p w14:paraId="5662024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A7488F5">
      <w:pPr>
        <w:adjustRightInd w:val="0"/>
        <w:snapToGrid w:val="0"/>
        <w:spacing w:line="360" w:lineRule="auto"/>
        <w:jc w:val="left"/>
        <w:outlineLvl w:val="0"/>
        <w:rPr>
          <w:rFonts w:ascii="宋体" w:hAnsi="宋体" w:cs="宋体"/>
          <w:b/>
          <w:bCs/>
          <w:szCs w:val="21"/>
        </w:rPr>
      </w:pPr>
      <w:bookmarkStart w:id="98" w:name="_Toc16077"/>
      <w:bookmarkStart w:id="99" w:name="_Toc13497"/>
      <w:r>
        <w:rPr>
          <w:rFonts w:hint="eastAsia" w:ascii="宋体" w:hAnsi="宋体" w:cs="宋体"/>
          <w:b/>
          <w:bCs/>
          <w:szCs w:val="21"/>
        </w:rPr>
        <w:t>5. 比较与评价</w:t>
      </w:r>
      <w:bookmarkEnd w:id="98"/>
      <w:bookmarkEnd w:id="99"/>
    </w:p>
    <w:p w14:paraId="6D6DB732">
      <w:pPr>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5.1评标委员会应按照招标文件中规定的评标方法、</w:t>
      </w:r>
      <w:r>
        <w:rPr>
          <w:rFonts w:hint="eastAsia" w:ascii="宋体" w:hAnsi="宋体" w:cs="宋体"/>
          <w:szCs w:val="21"/>
        </w:rPr>
        <w:t>标准和评标因素，</w:t>
      </w:r>
      <w:r>
        <w:rPr>
          <w:rFonts w:hint="eastAsia" w:ascii="宋体" w:hAnsi="宋体" w:cs="宋体"/>
          <w:bCs/>
          <w:szCs w:val="21"/>
        </w:rPr>
        <w:t>对</w:t>
      </w:r>
      <w:r>
        <w:rPr>
          <w:rFonts w:hint="eastAsia" w:ascii="宋体" w:hAnsi="宋体" w:cs="宋体"/>
          <w:szCs w:val="21"/>
        </w:rPr>
        <w:t>资格性检查和符合性检查</w:t>
      </w:r>
      <w:r>
        <w:rPr>
          <w:rFonts w:hint="eastAsia" w:ascii="宋体" w:hAnsi="宋体" w:cs="宋体"/>
          <w:bCs/>
          <w:szCs w:val="21"/>
        </w:rPr>
        <w:t>合格的投标文件进行评估，综合比较与评价。</w:t>
      </w:r>
    </w:p>
    <w:p w14:paraId="6013619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5.2投标报价的修正或调整：</w:t>
      </w:r>
    </w:p>
    <w:p w14:paraId="61520FE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（1）如果有算术错误，投标报价将按本章第4.2款进行算术修正及修正次序规则修正。</w:t>
      </w:r>
    </w:p>
    <w:p w14:paraId="3CB0B1D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（2）需落实政府采购政策（价格评审优惠、优先采购）的，按【</w:t>
      </w:r>
      <w:r>
        <w:rPr>
          <w:rFonts w:hint="eastAsia" w:ascii="宋体" w:hAnsi="宋体" w:cs="宋体"/>
          <w:b/>
          <w:szCs w:val="21"/>
        </w:rPr>
        <w:t>评标方法及标准前附表</w:t>
      </w:r>
      <w:r>
        <w:rPr>
          <w:rFonts w:hint="eastAsia" w:ascii="宋体" w:hAnsi="宋体" w:cs="宋体"/>
          <w:szCs w:val="21"/>
        </w:rPr>
        <w:t>】相关规定进行价格调整的，以调整后的价格计算评标基准价和投标报价。</w:t>
      </w:r>
    </w:p>
    <w:p w14:paraId="4209D42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5.3投标报价评价：价格分应当采用低价优先法计算，即满足招标文件要求且投标价格最低的投标报价为评标基准价，其价格分为满分（报价权重分）。其他投标人的价格分统一按照下列公式计算：</w:t>
      </w:r>
    </w:p>
    <w:p w14:paraId="67DA29B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投标报价得分=（评标基准价调整／投标报价调整） ×报价权重分</w:t>
      </w:r>
    </w:p>
    <w:p w14:paraId="2C4B53B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5.4技术、商务等评分项响应评价</w:t>
      </w:r>
    </w:p>
    <w:p w14:paraId="0DF9E44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（1）技术、商务等评分项响应评分。按本章第1.2款规定的评标因素和标准，对技术、商务等评分项计算得分。</w:t>
      </w:r>
    </w:p>
    <w:p w14:paraId="7CFEC3B8">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5.5评标总得分</w:t>
      </w:r>
    </w:p>
    <w:p w14:paraId="3583A36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评标总得分＝F1×A1＋F2×A2＋……＋Fn×An</w:t>
      </w:r>
    </w:p>
    <w:p w14:paraId="669A5E88">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F1、F2……Fn分别为各项评审因素的得分；</w:t>
      </w:r>
    </w:p>
    <w:p w14:paraId="49F07B9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A1、A2、……An 分别为各项评审因素所占的权重（A1＋A2＋…＋An＝1）。</w:t>
      </w:r>
    </w:p>
    <w:p w14:paraId="0F84733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评标过程中，不得去掉报价中的最高报价和最低报价。</w:t>
      </w:r>
    </w:p>
    <w:p w14:paraId="3D77C53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5.6评分分值计算保留小数点后两位，小数点后第三位“四舍五入”。</w:t>
      </w:r>
    </w:p>
    <w:p w14:paraId="6915EA5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5.7评标时，评标委员会各成员应当独立对每个投标人的投标文件进行评价、评分，然后汇总每个投标人每项评分因素的得分。</w:t>
      </w:r>
    </w:p>
    <w:p w14:paraId="62391068">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5.8提供相同品牌产品且通过资格审查、符合性审查的不同投标人参加同一合同项下投标的，按一家投标人计算，评审后得分最高的同品牌投标人获得中标人推荐资格，其他同品牌投标人不作为中标候选人。评审得分相同的，由采购人或者采购人委托评标委员会按照【</w:t>
      </w:r>
      <w:r>
        <w:rPr>
          <w:rFonts w:hint="eastAsia" w:ascii="宋体" w:hAnsi="宋体" w:cs="宋体"/>
          <w:b/>
          <w:szCs w:val="21"/>
        </w:rPr>
        <w:t>评标方法及标准前附表</w:t>
      </w:r>
      <w:r>
        <w:rPr>
          <w:rFonts w:hint="eastAsia" w:ascii="宋体" w:hAnsi="宋体" w:cs="宋体"/>
          <w:szCs w:val="21"/>
        </w:rPr>
        <w:t>】规定的方式确定一个投标人获得中标人推荐资格，招标文件未规定的采取随机抽取方式确定，其他同品牌投标人不作为中标候选人。</w:t>
      </w:r>
    </w:p>
    <w:p w14:paraId="7F91617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5.9非单一产品采购项目，采购人应当根据采购项目技术构成、产品价格比重等合理确定核心产品，并在【</w:t>
      </w:r>
      <w:r>
        <w:rPr>
          <w:rFonts w:hint="eastAsia" w:ascii="宋体" w:hAnsi="宋体" w:cs="宋体"/>
          <w:b/>
          <w:szCs w:val="21"/>
        </w:rPr>
        <w:t>评标方法及标准前附表</w:t>
      </w:r>
      <w:r>
        <w:rPr>
          <w:rFonts w:hint="eastAsia" w:ascii="宋体" w:hAnsi="宋体" w:cs="宋体"/>
          <w:szCs w:val="21"/>
        </w:rPr>
        <w:t>】中载明。多家投标人提供的核心产品品牌相同的，按前款规定处理。</w:t>
      </w:r>
    </w:p>
    <w:p w14:paraId="5EAEE918">
      <w:pPr>
        <w:adjustRightInd w:val="0"/>
        <w:snapToGrid w:val="0"/>
        <w:spacing w:line="360" w:lineRule="auto"/>
        <w:jc w:val="left"/>
        <w:outlineLvl w:val="0"/>
        <w:rPr>
          <w:rFonts w:ascii="宋体" w:hAnsi="宋体" w:cs="宋体"/>
          <w:b/>
          <w:szCs w:val="21"/>
        </w:rPr>
      </w:pPr>
      <w:bookmarkStart w:id="100" w:name="_Toc20152"/>
      <w:bookmarkStart w:id="101" w:name="_Toc26297"/>
      <w:r>
        <w:rPr>
          <w:rFonts w:hint="eastAsia" w:ascii="宋体" w:hAnsi="宋体" w:cs="宋体"/>
          <w:b/>
          <w:bCs/>
          <w:szCs w:val="21"/>
        </w:rPr>
        <w:t>6.</w:t>
      </w:r>
      <w:r>
        <w:rPr>
          <w:rFonts w:hint="eastAsia" w:ascii="宋体" w:hAnsi="宋体" w:cs="宋体"/>
          <w:b/>
          <w:szCs w:val="21"/>
        </w:rPr>
        <w:t xml:space="preserve"> 确定中标候选人名单</w:t>
      </w:r>
      <w:bookmarkEnd w:id="100"/>
      <w:bookmarkEnd w:id="101"/>
    </w:p>
    <w:p w14:paraId="43E0697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bCs/>
          <w:szCs w:val="21"/>
        </w:rPr>
      </w:pPr>
      <w:r>
        <w:rPr>
          <w:rFonts w:hint="eastAsia" w:ascii="宋体" w:hAnsi="宋体" w:cs="宋体"/>
          <w:szCs w:val="21"/>
        </w:rPr>
        <w:t>6.1评标委员会根据评标结果确定推荐的中标候选人名单，并按投标人综合得分由高到低顺序排列。中标候选人并列的，由采购人或者采购人委托评标委员会按照招标文件第二章第31.2款规定的方式确定中标人。</w:t>
      </w:r>
    </w:p>
    <w:p w14:paraId="6851A06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0"/>
        <w:rPr>
          <w:rFonts w:ascii="宋体" w:hAnsi="宋体" w:cs="宋体"/>
          <w:b/>
          <w:szCs w:val="21"/>
        </w:rPr>
      </w:pPr>
      <w:bookmarkStart w:id="102" w:name="_Toc5536"/>
      <w:bookmarkStart w:id="103" w:name="_Toc7041"/>
      <w:r>
        <w:rPr>
          <w:rFonts w:hint="eastAsia" w:ascii="宋体" w:hAnsi="宋体" w:cs="宋体"/>
          <w:b/>
          <w:bCs/>
          <w:szCs w:val="21"/>
        </w:rPr>
        <w:t>7.</w:t>
      </w:r>
      <w:r>
        <w:rPr>
          <w:rFonts w:hint="eastAsia" w:ascii="宋体" w:hAnsi="宋体" w:cs="宋体"/>
          <w:b/>
          <w:szCs w:val="21"/>
        </w:rPr>
        <w:t>编写评标报告</w:t>
      </w:r>
      <w:bookmarkEnd w:id="102"/>
      <w:bookmarkEnd w:id="103"/>
    </w:p>
    <w:p w14:paraId="32B442F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29CDB219">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bCs/>
          <w:szCs w:val="21"/>
        </w:rPr>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B00A5F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0"/>
        <w:rPr>
          <w:rFonts w:ascii="宋体" w:hAnsi="宋体" w:cs="宋体"/>
          <w:b/>
          <w:bCs/>
          <w:szCs w:val="21"/>
        </w:rPr>
      </w:pPr>
      <w:bookmarkStart w:id="104" w:name="_Toc32425"/>
      <w:bookmarkStart w:id="105" w:name="_Toc437"/>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bookmarkEnd w:id="104"/>
      <w:bookmarkEnd w:id="105"/>
    </w:p>
    <w:p w14:paraId="0422BB3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8.1汇总完成后，除下列情形外，任何人不得修改评标结果：</w:t>
      </w:r>
    </w:p>
    <w:p w14:paraId="5360772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（1）分值汇总计算错误的；</w:t>
      </w:r>
    </w:p>
    <w:p w14:paraId="36639FD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（2）分项评分超出评分标准范围的；</w:t>
      </w:r>
    </w:p>
    <w:p w14:paraId="56E403A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（3）评标委员会成员对客观评审因素评分不一致的；</w:t>
      </w:r>
    </w:p>
    <w:p w14:paraId="60589E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（4）经评标委员会认定评分畸高、畸低的。</w:t>
      </w:r>
    </w:p>
    <w:p w14:paraId="74634DE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8.1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1145C45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8.2投标人对本条第一款情形提出质疑的，采购人或者采购代理机构可以组织原评标委员会进行重新评审，重新评审改变评标结果的，应当书面报告本级财政部门。</w:t>
      </w:r>
    </w:p>
    <w:p w14:paraId="37F15D5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0"/>
        <w:rPr>
          <w:rFonts w:ascii="宋体" w:hAnsi="宋体" w:cs="宋体"/>
          <w:b/>
          <w:szCs w:val="21"/>
        </w:rPr>
      </w:pPr>
      <w:bookmarkStart w:id="106" w:name="_Toc25307"/>
      <w:bookmarkStart w:id="107" w:name="_Toc21766"/>
      <w:r>
        <w:rPr>
          <w:rFonts w:hint="eastAsia" w:ascii="宋体" w:hAnsi="宋体" w:cs="宋体"/>
          <w:b/>
          <w:szCs w:val="21"/>
        </w:rPr>
        <w:t>9.停止评标</w:t>
      </w:r>
      <w:bookmarkEnd w:id="106"/>
      <w:bookmarkEnd w:id="107"/>
    </w:p>
    <w:p w14:paraId="0A84D86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3A1021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0"/>
        <w:rPr>
          <w:rFonts w:ascii="宋体" w:hAnsi="宋体" w:cs="宋体"/>
          <w:b/>
          <w:szCs w:val="21"/>
        </w:rPr>
      </w:pPr>
      <w:bookmarkStart w:id="108" w:name="_Toc22486"/>
      <w:bookmarkStart w:id="109" w:name="_Toc1394"/>
      <w:r>
        <w:rPr>
          <w:rFonts w:hint="eastAsia" w:ascii="宋体" w:hAnsi="宋体" w:cs="宋体"/>
          <w:b/>
          <w:szCs w:val="21"/>
        </w:rPr>
        <w:t>10. 重新组建评标委员会进行评标</w:t>
      </w:r>
      <w:bookmarkEnd w:id="108"/>
      <w:bookmarkEnd w:id="109"/>
    </w:p>
    <w:p w14:paraId="70CD80E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10.1评标委员会或者其成员存在下列情形导致评标结果无效的，采购人、采购代理机构可以重新组建评标委员会进行评标，并书面报告本级财政部门，但采购合同已经履行的除外：</w:t>
      </w:r>
    </w:p>
    <w:p w14:paraId="055050F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（1）评标委员会组成不符合本办法规定的；</w:t>
      </w:r>
    </w:p>
    <w:p w14:paraId="0C763E1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（2）有《政府采购货物和服务招标投标管理办法》（财政部令第87号）第六十二条第一至五项情形的；</w:t>
      </w:r>
    </w:p>
    <w:p w14:paraId="0D18133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（3）评标委员会及其成员独立评标受到非法干预的；</w:t>
      </w:r>
    </w:p>
    <w:p w14:paraId="7FBEEB8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（4）有《政府采购法实施条例》第七十五条规定的违法行为的。</w:t>
      </w:r>
    </w:p>
    <w:p w14:paraId="43E1C9E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宋体" w:hAnsi="宋体" w:cs="宋体"/>
          <w:szCs w:val="21"/>
        </w:rPr>
      </w:pPr>
      <w:r>
        <w:rPr>
          <w:rFonts w:hint="eastAsia" w:ascii="宋体" w:hAnsi="宋体" w:cs="宋体"/>
          <w:szCs w:val="21"/>
        </w:rPr>
        <w:t>10.2有违法违规行为的原评标委员会成员不得参加重新组建的评标委员会。</w:t>
      </w:r>
    </w:p>
    <w:p w14:paraId="08C8DCF4">
      <w:pPr>
        <w:adjustRightInd w:val="0"/>
        <w:snapToGrid w:val="0"/>
        <w:spacing w:line="360" w:lineRule="auto"/>
        <w:ind w:firstLine="420" w:firstLineChars="200"/>
        <w:jc w:val="center"/>
        <w:rPr>
          <w:rFonts w:ascii="宋体" w:hAnsi="宋体" w:cs="宋体"/>
          <w:szCs w:val="21"/>
        </w:rPr>
      </w:pPr>
    </w:p>
    <w:p w14:paraId="5695EBDC">
      <w:pPr>
        <w:rPr>
          <w:rFonts w:ascii="宋体" w:hAnsi="宋体" w:cs="宋体"/>
          <w:sz w:val="32"/>
        </w:rPr>
      </w:pPr>
      <w:bookmarkStart w:id="110" w:name="_Toc29840"/>
      <w:bookmarkStart w:id="111" w:name="_Toc17744"/>
      <w:bookmarkStart w:id="112" w:name="_Toc25043"/>
      <w:r>
        <w:rPr>
          <w:rFonts w:hint="eastAsia" w:ascii="宋体" w:hAnsi="宋体" w:cs="宋体"/>
          <w:sz w:val="32"/>
        </w:rPr>
        <w:br w:type="page"/>
      </w:r>
    </w:p>
    <w:p w14:paraId="6B9CE08B">
      <w:pPr>
        <w:pStyle w:val="3"/>
        <w:jc w:val="center"/>
        <w:rPr>
          <w:rFonts w:ascii="宋体" w:hAnsi="宋体" w:cs="宋体"/>
          <w:b w:val="0"/>
          <w:sz w:val="28"/>
          <w:szCs w:val="28"/>
        </w:rPr>
      </w:pPr>
      <w:r>
        <w:rPr>
          <w:rFonts w:hint="eastAsia" w:ascii="宋体" w:hAnsi="宋体" w:cs="宋体"/>
          <w:sz w:val="32"/>
        </w:rPr>
        <w:t>第四章 技术规格、参数与要求</w:t>
      </w:r>
      <w:bookmarkEnd w:id="110"/>
      <w:bookmarkEnd w:id="111"/>
      <w:bookmarkEnd w:id="112"/>
      <w:r>
        <w:rPr>
          <w:rFonts w:hint="eastAsia" w:ascii="宋体" w:hAnsi="宋体" w:cs="宋体"/>
          <w:sz w:val="32"/>
        </w:rPr>
        <w:t>（采购需求）</w:t>
      </w:r>
    </w:p>
    <w:p w14:paraId="44CEDBAB">
      <w:pPr>
        <w:widowControl w:val="0"/>
        <w:tabs>
          <w:tab w:val="left" w:pos="1342"/>
        </w:tabs>
        <w:spacing w:before="67" w:line="288" w:lineRule="auto"/>
        <w:ind w:firstLine="0" w:firstLineChars="0"/>
        <w:jc w:val="center"/>
        <w:textAlignment w:val="baseline"/>
        <w:outlineLvl w:val="1"/>
        <w:rPr>
          <w:rFonts w:hint="eastAsia" w:ascii="宋体" w:hAnsi="宋体" w:eastAsia="宋体" w:cs="宋体"/>
          <w:b/>
          <w:bCs/>
          <w:color w:val="000000"/>
          <w:kern w:val="0"/>
          <w:sz w:val="30"/>
          <w:szCs w:val="30"/>
          <w:lang w:val="en-US" w:eastAsia="zh-CN" w:bidi="ar-SA"/>
        </w:rPr>
      </w:pPr>
      <w:bookmarkStart w:id="113" w:name="_Toc347248864"/>
      <w:bookmarkStart w:id="114" w:name="_Toc347251956"/>
      <w:bookmarkStart w:id="115" w:name="_Toc17632"/>
      <w:bookmarkStart w:id="116" w:name="_Toc8606"/>
      <w:bookmarkStart w:id="117" w:name="_Toc19964"/>
      <w:bookmarkStart w:id="118" w:name="_Toc21459"/>
      <w:r>
        <w:rPr>
          <w:rFonts w:hint="eastAsia" w:ascii="宋体" w:hAnsi="宋体" w:eastAsia="宋体" w:cs="宋体"/>
          <w:b/>
          <w:bCs/>
          <w:color w:val="000000"/>
          <w:kern w:val="0"/>
          <w:sz w:val="30"/>
          <w:szCs w:val="30"/>
          <w:lang w:val="en-US" w:eastAsia="zh-CN" w:bidi="ar-SA"/>
        </w:rPr>
        <w:t>第一节  采购清单一览表</w:t>
      </w:r>
    </w:p>
    <w:tbl>
      <w:tblPr>
        <w:tblStyle w:val="40"/>
        <w:tblW w:w="917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2"/>
        <w:gridCol w:w="2430"/>
        <w:gridCol w:w="1001"/>
        <w:gridCol w:w="1858"/>
        <w:gridCol w:w="1889"/>
        <w:gridCol w:w="1317"/>
      </w:tblGrid>
      <w:tr w14:paraId="2DD316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5" w:hRule="atLeast"/>
          <w:jc w:val="center"/>
        </w:trPr>
        <w:tc>
          <w:tcPr>
            <w:tcW w:w="682" w:type="dxa"/>
            <w:noWrap w:val="0"/>
            <w:vAlign w:val="center"/>
          </w:tcPr>
          <w:p w14:paraId="1D42E58E">
            <w:pPr>
              <w:adjustRightInd w:val="0"/>
              <w:snapToGrid w:val="0"/>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xml:space="preserve">序号 </w:t>
            </w:r>
          </w:p>
        </w:tc>
        <w:tc>
          <w:tcPr>
            <w:tcW w:w="2430" w:type="dxa"/>
            <w:noWrap w:val="0"/>
            <w:vAlign w:val="center"/>
          </w:tcPr>
          <w:p w14:paraId="4DD840A4">
            <w:pPr>
              <w:adjustRightInd w:val="0"/>
              <w:snapToGrid w:val="0"/>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分项项目名称</w:t>
            </w:r>
          </w:p>
        </w:tc>
        <w:tc>
          <w:tcPr>
            <w:tcW w:w="1001" w:type="dxa"/>
            <w:noWrap w:val="0"/>
            <w:vAlign w:val="center"/>
          </w:tcPr>
          <w:p w14:paraId="65210840">
            <w:pPr>
              <w:adjustRightInd w:val="0"/>
              <w:snapToGrid w:val="0"/>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数量</w:t>
            </w:r>
          </w:p>
          <w:p w14:paraId="393F4E78">
            <w:pPr>
              <w:adjustRightInd w:val="0"/>
              <w:snapToGrid w:val="0"/>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（单位）</w:t>
            </w:r>
          </w:p>
        </w:tc>
        <w:tc>
          <w:tcPr>
            <w:tcW w:w="1858" w:type="dxa"/>
            <w:tcBorders>
              <w:right w:val="single" w:color="auto" w:sz="4" w:space="0"/>
            </w:tcBorders>
            <w:noWrap w:val="0"/>
            <w:vAlign w:val="center"/>
          </w:tcPr>
          <w:p w14:paraId="36B22C03">
            <w:pPr>
              <w:adjustRightInd w:val="0"/>
              <w:snapToGrid w:val="0"/>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预算金额（元）</w:t>
            </w:r>
          </w:p>
        </w:tc>
        <w:tc>
          <w:tcPr>
            <w:tcW w:w="1889" w:type="dxa"/>
            <w:tcBorders>
              <w:left w:val="single" w:color="auto" w:sz="4" w:space="0"/>
              <w:right w:val="single" w:color="auto" w:sz="4" w:space="0"/>
            </w:tcBorders>
            <w:noWrap w:val="0"/>
            <w:vAlign w:val="center"/>
          </w:tcPr>
          <w:p w14:paraId="3C7797E3">
            <w:pPr>
              <w:adjustRightInd w:val="0"/>
              <w:snapToGrid w:val="0"/>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最高限价（元）</w:t>
            </w:r>
          </w:p>
        </w:tc>
        <w:tc>
          <w:tcPr>
            <w:tcW w:w="1317" w:type="dxa"/>
            <w:tcBorders>
              <w:left w:val="single" w:color="auto" w:sz="4" w:space="0"/>
            </w:tcBorders>
            <w:noWrap w:val="0"/>
            <w:vAlign w:val="center"/>
          </w:tcPr>
          <w:p w14:paraId="52233255">
            <w:pPr>
              <w:adjustRightInd w:val="0"/>
              <w:snapToGrid w:val="0"/>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说明</w:t>
            </w:r>
          </w:p>
        </w:tc>
      </w:tr>
      <w:tr w14:paraId="79E543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67" w:hRule="atLeast"/>
          <w:jc w:val="center"/>
        </w:trPr>
        <w:tc>
          <w:tcPr>
            <w:tcW w:w="682" w:type="dxa"/>
            <w:noWrap w:val="0"/>
            <w:vAlign w:val="center"/>
          </w:tcPr>
          <w:p w14:paraId="40ACF16A">
            <w:pPr>
              <w:adjustRightInd w:val="0"/>
              <w:snapToGrid w:val="0"/>
              <w:spacing w:before="156" w:beforeLines="50" w:line="360" w:lineRule="auto"/>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1</w:t>
            </w:r>
          </w:p>
        </w:tc>
        <w:tc>
          <w:tcPr>
            <w:tcW w:w="2430" w:type="dxa"/>
            <w:noWrap w:val="0"/>
            <w:vAlign w:val="center"/>
          </w:tcPr>
          <w:p w14:paraId="7171BBF6">
            <w:pPr>
              <w:adjustRightInd w:val="0"/>
              <w:snapToGrid w:val="0"/>
              <w:jc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sz w:val="21"/>
                <w:szCs w:val="21"/>
                <w:lang w:val="en-US" w:eastAsia="zh-CN"/>
              </w:rPr>
              <w:t>麻醉机</w:t>
            </w:r>
          </w:p>
        </w:tc>
        <w:tc>
          <w:tcPr>
            <w:tcW w:w="1001" w:type="dxa"/>
            <w:shd w:val="clear" w:color="auto" w:fill="auto"/>
            <w:noWrap w:val="0"/>
            <w:vAlign w:val="center"/>
          </w:tcPr>
          <w:p w14:paraId="7ED5FF7E">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4台</w:t>
            </w:r>
          </w:p>
        </w:tc>
        <w:tc>
          <w:tcPr>
            <w:tcW w:w="1858" w:type="dxa"/>
            <w:tcBorders>
              <w:right w:val="single" w:color="auto" w:sz="4" w:space="0"/>
            </w:tcBorders>
            <w:shd w:val="clear" w:color="auto" w:fill="auto"/>
            <w:noWrap w:val="0"/>
            <w:vAlign w:val="center"/>
          </w:tcPr>
          <w:p w14:paraId="651DFFE0">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1500000.00</w:t>
            </w:r>
          </w:p>
        </w:tc>
        <w:tc>
          <w:tcPr>
            <w:tcW w:w="1889" w:type="dxa"/>
            <w:tcBorders>
              <w:left w:val="single" w:color="auto" w:sz="4" w:space="0"/>
              <w:right w:val="single" w:color="auto" w:sz="4" w:space="0"/>
            </w:tcBorders>
            <w:shd w:val="clear" w:color="auto" w:fill="auto"/>
            <w:noWrap w:val="0"/>
            <w:vAlign w:val="center"/>
          </w:tcPr>
          <w:p w14:paraId="2F2C4A3F">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1500000.00</w:t>
            </w:r>
          </w:p>
        </w:tc>
        <w:tc>
          <w:tcPr>
            <w:tcW w:w="1317" w:type="dxa"/>
            <w:tcBorders>
              <w:left w:val="single" w:color="auto" w:sz="4" w:space="0"/>
            </w:tcBorders>
            <w:noWrap w:val="0"/>
            <w:vAlign w:val="center"/>
          </w:tcPr>
          <w:p w14:paraId="0FD64346">
            <w:pPr>
              <w:adjustRightInd w:val="0"/>
              <w:snapToGrid w:val="0"/>
              <w:spacing w:before="156" w:beforeLines="50" w:line="360" w:lineRule="auto"/>
              <w:jc w:val="center"/>
              <w:rPr>
                <w:rFonts w:hint="eastAsia" w:ascii="宋体" w:hAnsi="宋体" w:eastAsia="宋体" w:cs="宋体"/>
                <w:b w:val="0"/>
                <w:bCs w:val="0"/>
                <w:color w:val="000000"/>
                <w:sz w:val="21"/>
                <w:szCs w:val="21"/>
                <w:lang w:val="en-US" w:eastAsia="zh-CN"/>
              </w:rPr>
            </w:pPr>
          </w:p>
        </w:tc>
      </w:tr>
      <w:tr w14:paraId="1DF9B0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3" w:hRule="atLeast"/>
          <w:jc w:val="center"/>
        </w:trPr>
        <w:tc>
          <w:tcPr>
            <w:tcW w:w="682" w:type="dxa"/>
            <w:noWrap w:val="0"/>
            <w:vAlign w:val="center"/>
          </w:tcPr>
          <w:p w14:paraId="6B8B78D9">
            <w:pPr>
              <w:adjustRightInd w:val="0"/>
              <w:snapToGrid w:val="0"/>
              <w:spacing w:before="156" w:beforeLines="50" w:line="360" w:lineRule="auto"/>
              <w:jc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2</w:t>
            </w:r>
          </w:p>
        </w:tc>
        <w:tc>
          <w:tcPr>
            <w:tcW w:w="2430" w:type="dxa"/>
            <w:noWrap w:val="0"/>
            <w:vAlign w:val="center"/>
          </w:tcPr>
          <w:p w14:paraId="100CC2C5">
            <w:pPr>
              <w:adjustRightInd w:val="0"/>
              <w:snapToGrid w:val="0"/>
              <w:jc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多功能监护仪</w:t>
            </w:r>
          </w:p>
        </w:tc>
        <w:tc>
          <w:tcPr>
            <w:tcW w:w="1001" w:type="dxa"/>
            <w:shd w:val="clear" w:color="auto" w:fill="auto"/>
            <w:noWrap w:val="0"/>
            <w:vAlign w:val="center"/>
          </w:tcPr>
          <w:p w14:paraId="40CADA11">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7台</w:t>
            </w:r>
          </w:p>
        </w:tc>
        <w:tc>
          <w:tcPr>
            <w:tcW w:w="1858" w:type="dxa"/>
            <w:tcBorders>
              <w:right w:val="single" w:color="auto" w:sz="4" w:space="0"/>
            </w:tcBorders>
            <w:shd w:val="clear" w:color="auto" w:fill="auto"/>
            <w:noWrap w:val="0"/>
            <w:vAlign w:val="center"/>
          </w:tcPr>
          <w:p w14:paraId="0F477C83">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700000.00</w:t>
            </w:r>
          </w:p>
        </w:tc>
        <w:tc>
          <w:tcPr>
            <w:tcW w:w="1889" w:type="dxa"/>
            <w:tcBorders>
              <w:left w:val="single" w:color="auto" w:sz="4" w:space="0"/>
              <w:right w:val="single" w:color="auto" w:sz="4" w:space="0"/>
            </w:tcBorders>
            <w:shd w:val="clear" w:color="auto" w:fill="auto"/>
            <w:noWrap w:val="0"/>
            <w:vAlign w:val="center"/>
          </w:tcPr>
          <w:p w14:paraId="084CC576">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700000.00</w:t>
            </w:r>
          </w:p>
        </w:tc>
        <w:tc>
          <w:tcPr>
            <w:tcW w:w="1317" w:type="dxa"/>
            <w:tcBorders>
              <w:left w:val="single" w:color="auto" w:sz="4" w:space="0"/>
            </w:tcBorders>
            <w:noWrap w:val="0"/>
            <w:vAlign w:val="center"/>
          </w:tcPr>
          <w:p w14:paraId="27FCE777">
            <w:pPr>
              <w:adjustRightInd w:val="0"/>
              <w:snapToGrid w:val="0"/>
              <w:spacing w:before="156" w:beforeLines="50" w:line="360" w:lineRule="auto"/>
              <w:jc w:val="center"/>
              <w:rPr>
                <w:rFonts w:hint="eastAsia" w:ascii="宋体" w:hAnsi="宋体" w:eastAsia="宋体" w:cs="宋体"/>
                <w:b w:val="0"/>
                <w:bCs w:val="0"/>
                <w:color w:val="000000"/>
                <w:sz w:val="21"/>
                <w:szCs w:val="21"/>
                <w:lang w:val="en-US" w:eastAsia="zh-CN"/>
              </w:rPr>
            </w:pPr>
          </w:p>
        </w:tc>
      </w:tr>
    </w:tbl>
    <w:p w14:paraId="18F14F72">
      <w:pPr>
        <w:adjustRightInd w:val="0"/>
        <w:snapToGrid w:val="0"/>
        <w:spacing w:before="156" w:beforeLines="50" w:line="360" w:lineRule="auto"/>
        <w:rPr>
          <w:rFonts w:ascii="宋体" w:hAnsi="宋体"/>
          <w:szCs w:val="21"/>
          <w:highlight w:val="none"/>
        </w:rPr>
      </w:pPr>
      <w:r>
        <w:rPr>
          <w:rFonts w:hint="eastAsia" w:ascii="宋体" w:hAnsi="宋体"/>
          <w:szCs w:val="21"/>
          <w:highlight w:val="none"/>
        </w:rPr>
        <w:t>注：1.“包”为最小合同单位（最小投标单位）。每“包”内容应细化到具体标的。</w:t>
      </w:r>
    </w:p>
    <w:p w14:paraId="5334848C">
      <w:pPr>
        <w:adjustRightInd w:val="0"/>
        <w:snapToGrid w:val="0"/>
        <w:spacing w:before="156" w:beforeLines="50" w:line="360" w:lineRule="auto"/>
        <w:ind w:firstLine="420" w:firstLineChars="200"/>
        <w:rPr>
          <w:rFonts w:ascii="宋体" w:hAnsi="宋体"/>
          <w:szCs w:val="21"/>
          <w:highlight w:val="none"/>
        </w:rPr>
      </w:pPr>
      <w:r>
        <w:rPr>
          <w:rFonts w:hint="eastAsia" w:ascii="宋体" w:hAnsi="宋体"/>
          <w:szCs w:val="21"/>
          <w:highlight w:val="none"/>
        </w:rPr>
        <w:t>2.投标人必须对一个完整、独立的包进行投标，不得仅对一个包中的部分标的投标，否则</w:t>
      </w:r>
      <w:r>
        <w:rPr>
          <w:rFonts w:hint="eastAsia" w:ascii="宋体" w:hAnsi="宋体"/>
          <w:b/>
          <w:szCs w:val="21"/>
          <w:highlight w:val="none"/>
        </w:rPr>
        <w:t>投标无效。</w:t>
      </w:r>
    </w:p>
    <w:p w14:paraId="7CF46BD9">
      <w:pPr>
        <w:adjustRightInd w:val="0"/>
        <w:snapToGrid w:val="0"/>
        <w:spacing w:before="156" w:beforeLines="50"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3.货物的主要技术参数或规格：详见“技术要求”中的具体技术参数。</w:t>
      </w:r>
    </w:p>
    <w:p w14:paraId="24AEAEE1">
      <w:pPr>
        <w:adjustRightInd w:val="0"/>
        <w:snapToGrid w:val="0"/>
        <w:spacing w:before="156" w:beforeLines="50"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4.投标人应在投标文件《分项报价明细表》中按标的名称顺序逐项填写，且每个标的中的条目均需按招标文件规定报价。如有缺项、漏项，其</w:t>
      </w:r>
      <w:r>
        <w:rPr>
          <w:rFonts w:hint="eastAsia" w:ascii="宋体" w:hAnsi="宋体" w:eastAsia="宋体" w:cs="Times New Roman"/>
          <w:b/>
          <w:bCs/>
          <w:szCs w:val="21"/>
          <w:highlight w:val="none"/>
        </w:rPr>
        <w:t>投标无效</w:t>
      </w:r>
      <w:r>
        <w:rPr>
          <w:rFonts w:hint="eastAsia" w:ascii="宋体" w:hAnsi="宋体" w:eastAsia="宋体" w:cs="Times New Roman"/>
          <w:szCs w:val="21"/>
          <w:highlight w:val="none"/>
        </w:rPr>
        <w:t>。</w:t>
      </w:r>
    </w:p>
    <w:p w14:paraId="5A46428C">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000000"/>
          <w:kern w:val="0"/>
          <w:sz w:val="24"/>
          <w:szCs w:val="24"/>
          <w:lang w:val="en-US" w:eastAsia="zh-CN" w:bidi="ar-SA"/>
        </w:rPr>
      </w:pPr>
    </w:p>
    <w:p w14:paraId="35610599">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000000"/>
          <w:kern w:val="0"/>
          <w:sz w:val="24"/>
          <w:szCs w:val="24"/>
          <w:lang w:val="en-US" w:eastAsia="zh-CN" w:bidi="ar-SA"/>
        </w:rPr>
      </w:pPr>
    </w:p>
    <w:p w14:paraId="045FAD7E">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000000"/>
          <w:kern w:val="0"/>
          <w:sz w:val="24"/>
          <w:szCs w:val="24"/>
          <w:lang w:val="en-US" w:eastAsia="zh-CN" w:bidi="ar-SA"/>
        </w:rPr>
      </w:pPr>
    </w:p>
    <w:p w14:paraId="3842E5BF">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000000"/>
          <w:kern w:val="0"/>
          <w:sz w:val="24"/>
          <w:szCs w:val="24"/>
          <w:lang w:val="en-US" w:eastAsia="zh-CN" w:bidi="ar-SA"/>
        </w:rPr>
      </w:pPr>
    </w:p>
    <w:p w14:paraId="29A71A6E">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000000"/>
          <w:kern w:val="0"/>
          <w:sz w:val="24"/>
          <w:szCs w:val="24"/>
          <w:lang w:val="en-US" w:eastAsia="zh-CN" w:bidi="ar-SA"/>
        </w:rPr>
      </w:pPr>
    </w:p>
    <w:p w14:paraId="0829E876">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000000"/>
          <w:kern w:val="0"/>
          <w:sz w:val="24"/>
          <w:szCs w:val="24"/>
          <w:lang w:val="en-US" w:eastAsia="zh-CN" w:bidi="ar-SA"/>
        </w:rPr>
      </w:pPr>
    </w:p>
    <w:p w14:paraId="312AAF9D">
      <w:pPr>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br w:type="page"/>
      </w:r>
    </w:p>
    <w:p w14:paraId="2FC5FA43">
      <w:pPr>
        <w:widowControl w:val="0"/>
        <w:tabs>
          <w:tab w:val="left" w:pos="1342"/>
        </w:tabs>
        <w:spacing w:before="67" w:line="288" w:lineRule="auto"/>
        <w:ind w:firstLine="301" w:firstLineChars="100"/>
        <w:jc w:val="center"/>
        <w:textAlignment w:val="baseline"/>
        <w:outlineLvl w:val="1"/>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t>第二节  技术要求</w:t>
      </w:r>
    </w:p>
    <w:p w14:paraId="5A8453D2">
      <w:pPr>
        <w:keepNext w:val="0"/>
        <w:keepLines w:val="0"/>
        <w:pageBreakBefore w:val="0"/>
        <w:widowControl w:val="0"/>
        <w:tabs>
          <w:tab w:val="left" w:pos="1342"/>
        </w:tabs>
        <w:kinsoku/>
        <w:wordWrap/>
        <w:overflowPunct/>
        <w:topLinePunct w:val="0"/>
        <w:autoSpaceDE/>
        <w:autoSpaceDN/>
        <w:bidi w:val="0"/>
        <w:spacing w:line="460" w:lineRule="exact"/>
        <w:ind w:firstLine="0" w:firstLineChars="0"/>
        <w:jc w:val="left"/>
        <w:textAlignment w:val="baseline"/>
        <w:outlineLvl w:val="1"/>
        <w:rPr>
          <w:rFonts w:hint="default" w:ascii="宋体" w:hAnsi="宋体" w:eastAsia="宋体" w:cs="宋体"/>
          <w:b/>
          <w:bCs/>
          <w:color w:val="000000"/>
          <w:kern w:val="0"/>
          <w:sz w:val="30"/>
          <w:szCs w:val="30"/>
          <w:lang w:val="en-US" w:eastAsia="zh-CN" w:bidi="ar-SA"/>
        </w:rPr>
      </w:pPr>
      <w:r>
        <w:rPr>
          <w:rFonts w:hint="eastAsia" w:ascii="宋体" w:hAnsi="宋体" w:cs="宋体"/>
          <w:b/>
          <w:bCs/>
          <w:color w:val="000000"/>
          <w:kern w:val="0"/>
          <w:sz w:val="30"/>
          <w:szCs w:val="30"/>
          <w:lang w:val="en-US" w:eastAsia="zh-CN" w:bidi="ar-SA"/>
        </w:rPr>
        <w:t>包一、麻醉机技术参数需求</w:t>
      </w:r>
    </w:p>
    <w:p w14:paraId="17B09A1D">
      <w:pPr>
        <w:pStyle w:val="103"/>
        <w:numPr>
          <w:ilvl w:val="0"/>
          <w:numId w:val="2"/>
        </w:numPr>
        <w:spacing w:after="0" w:line="360" w:lineRule="auto"/>
        <w:ind w:left="360" w:leftChars="0" w:firstLine="59" w:firstLineChars="28"/>
        <w:rPr>
          <w:rFonts w:hint="eastAsia" w:ascii="宋体" w:hAnsi="宋体" w:eastAsia="宋体" w:cs="宋体"/>
          <w:color w:val="auto"/>
          <w:sz w:val="21"/>
          <w:szCs w:val="21"/>
        </w:rPr>
      </w:pPr>
      <w:r>
        <w:rPr>
          <w:rFonts w:hint="eastAsia" w:ascii="宋体" w:hAnsi="宋体" w:eastAsia="宋体" w:cs="宋体"/>
          <w:b/>
          <w:bCs/>
          <w:color w:val="auto"/>
          <w:sz w:val="21"/>
          <w:szCs w:val="21"/>
        </w:rPr>
        <w:t>货物名称：</w:t>
      </w:r>
      <w:r>
        <w:rPr>
          <w:rFonts w:hint="eastAsia" w:ascii="宋体" w:hAnsi="宋体" w:eastAsia="宋体" w:cs="宋体"/>
          <w:color w:val="auto"/>
          <w:sz w:val="21"/>
          <w:szCs w:val="21"/>
        </w:rPr>
        <w:t>高档智能麻醉系统</w:t>
      </w:r>
    </w:p>
    <w:p w14:paraId="159B8746">
      <w:pPr>
        <w:pStyle w:val="103"/>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数量 ：</w:t>
      </w:r>
      <w:r>
        <w:rPr>
          <w:rFonts w:hint="eastAsia" w:ascii="宋体" w:hAnsi="宋体" w:eastAsia="宋体" w:cs="宋体"/>
          <w:b/>
          <w:bCs/>
          <w:color w:val="auto"/>
          <w:sz w:val="21"/>
          <w:szCs w:val="21"/>
          <w:lang w:val="en-US" w:eastAsia="zh-CN"/>
        </w:rPr>
        <w:t>4</w:t>
      </w:r>
      <w:r>
        <w:rPr>
          <w:rFonts w:hint="eastAsia" w:ascii="宋体" w:hAnsi="宋体" w:eastAsia="宋体" w:cs="宋体"/>
          <w:b/>
          <w:bCs/>
          <w:color w:val="auto"/>
          <w:sz w:val="21"/>
          <w:szCs w:val="21"/>
        </w:rPr>
        <w:t>台</w:t>
      </w:r>
    </w:p>
    <w:p w14:paraId="028B0A00">
      <w:pPr>
        <w:pStyle w:val="103"/>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技术规格：</w:t>
      </w:r>
    </w:p>
    <w:p w14:paraId="2B0B5E78">
      <w:pPr>
        <w:pStyle w:val="103"/>
        <w:numPr>
          <w:ilvl w:val="0"/>
          <w:numId w:val="3"/>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工作条件</w:t>
      </w:r>
    </w:p>
    <w:p w14:paraId="6E33EB79">
      <w:pPr>
        <w:pStyle w:val="103"/>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操作环境，温度：10° 至40°C，湿度：15 至 95%，大气压：500 至 800 mmHg。</w:t>
      </w:r>
    </w:p>
    <w:p w14:paraId="58DD758B">
      <w:pPr>
        <w:pStyle w:val="103"/>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电源：120/220V-240V (±10%), 50Hz-60Hz。</w:t>
      </w:r>
    </w:p>
    <w:p w14:paraId="42F3479D">
      <w:pPr>
        <w:pStyle w:val="103"/>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w:t>
      </w:r>
      <w:r>
        <w:rPr>
          <w:rFonts w:hint="eastAsia" w:ascii="宋体" w:hAnsi="宋体" w:eastAsia="宋体" w:cs="宋体"/>
          <w:color w:val="auto"/>
          <w:sz w:val="21"/>
          <w:szCs w:val="21"/>
          <w:lang w:val="en-US" w:eastAsia="zh-CN"/>
        </w:rPr>
        <w:t>内置</w:t>
      </w:r>
      <w:r>
        <w:rPr>
          <w:rFonts w:hint="eastAsia" w:ascii="宋体" w:hAnsi="宋体" w:eastAsia="宋体" w:cs="宋体"/>
          <w:color w:val="auto"/>
          <w:sz w:val="21"/>
          <w:szCs w:val="21"/>
        </w:rPr>
        <w:t>后备铅酸电池（非锂电池），使用时间≥90分钟。</w:t>
      </w:r>
      <w:r>
        <w:rPr>
          <w:rFonts w:hint="eastAsia" w:ascii="宋体" w:hAnsi="宋体" w:eastAsia="宋体" w:cs="宋体"/>
          <w:color w:val="auto"/>
          <w:sz w:val="21"/>
          <w:szCs w:val="21"/>
          <w:lang w:eastAsia="zh-CN"/>
        </w:rPr>
        <w:t>（提供证明材料）</w:t>
      </w:r>
    </w:p>
    <w:p w14:paraId="0A0F1E04">
      <w:pPr>
        <w:pStyle w:val="103"/>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机架：带推车，三个大抽屉。</w:t>
      </w:r>
    </w:p>
    <w:p w14:paraId="00FF39FA">
      <w:pPr>
        <w:pStyle w:val="103"/>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外置可视上升式风箱，便于远距离观察，成人、小儿不用更换风箱</w:t>
      </w:r>
    </w:p>
    <w:p w14:paraId="5A5FD9FA">
      <w:pPr>
        <w:pStyle w:val="103"/>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工作台双层灯光，无极亮度可调（非档位调节），全金属台面</w:t>
      </w:r>
    </w:p>
    <w:p w14:paraId="1322A8C7">
      <w:pPr>
        <w:pStyle w:val="103"/>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显示屏（非主机）标配RS232接口， USB接口，以太网络接口，HDMI接口。</w:t>
      </w:r>
    </w:p>
    <w:p w14:paraId="33B185E7">
      <w:pPr>
        <w:pStyle w:val="103"/>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标配缆线防缠绕功能，防止在推动机器过程中脚轮被环境中线缆缠绕。</w:t>
      </w:r>
    </w:p>
    <w:p w14:paraId="6600DF07">
      <w:pPr>
        <w:pStyle w:val="103"/>
        <w:numPr>
          <w:ilvl w:val="0"/>
          <w:numId w:val="3"/>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气源</w:t>
      </w:r>
    </w:p>
    <w:p w14:paraId="2D5B7332">
      <w:pPr>
        <w:pStyle w:val="103"/>
        <w:numPr>
          <w:ilvl w:val="0"/>
          <w:numId w:val="5"/>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双气源：氧气、空气。氧气：具备安全保护装置，在供氧压低于252Kpa时报警。</w:t>
      </w:r>
    </w:p>
    <w:p w14:paraId="1F7AF9CA">
      <w:pPr>
        <w:pStyle w:val="103"/>
        <w:numPr>
          <w:ilvl w:val="0"/>
          <w:numId w:val="5"/>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气源供气通过中心供氧和中心供气实现。</w:t>
      </w:r>
    </w:p>
    <w:p w14:paraId="4BCD6F35">
      <w:pPr>
        <w:pStyle w:val="103"/>
        <w:numPr>
          <w:ilvl w:val="0"/>
          <w:numId w:val="5"/>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快速充氧范围25-75L/min。</w:t>
      </w:r>
    </w:p>
    <w:p w14:paraId="66B5E48B">
      <w:pPr>
        <w:pStyle w:val="103"/>
        <w:numPr>
          <w:ilvl w:val="0"/>
          <w:numId w:val="3"/>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流量计</w:t>
      </w:r>
    </w:p>
    <w:p w14:paraId="6B0DA7F2">
      <w:pPr>
        <w:pStyle w:val="103"/>
        <w:numPr>
          <w:ilvl w:val="0"/>
          <w:numId w:val="0"/>
        </w:numPr>
        <w:snapToGrid w:val="0"/>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3.3.1</w:t>
      </w:r>
      <w:r>
        <w:rPr>
          <w:rFonts w:hint="eastAsia" w:ascii="宋体" w:hAnsi="宋体" w:eastAsia="宋体" w:cs="宋体"/>
          <w:color w:val="auto"/>
          <w:sz w:val="21"/>
          <w:szCs w:val="21"/>
        </w:rPr>
        <w:t>电子流量计（数控流量阀技术），氧气、空气，流量通过呼吸机屏幕及数码管两种方式电子显示；流量范围0.1-15 l/min。</w:t>
      </w:r>
    </w:p>
    <w:p w14:paraId="05F0EDFF">
      <w:pPr>
        <w:pStyle w:val="103"/>
        <w:numPr>
          <w:ilvl w:val="0"/>
          <w:numId w:val="0"/>
        </w:numPr>
        <w:snapToGrid w:val="0"/>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3.3.2</w:t>
      </w:r>
      <w:r>
        <w:rPr>
          <w:rFonts w:hint="eastAsia" w:ascii="宋体" w:hAnsi="宋体" w:eastAsia="宋体" w:cs="宋体"/>
          <w:color w:val="auto"/>
          <w:sz w:val="21"/>
          <w:szCs w:val="21"/>
        </w:rPr>
        <w:t>具备备用机械流量管，流量范围1-10 l/min，保证在停电时能正常工作。</w:t>
      </w:r>
    </w:p>
    <w:p w14:paraId="06E70584">
      <w:pPr>
        <w:pStyle w:val="103"/>
        <w:numPr>
          <w:ilvl w:val="0"/>
          <w:numId w:val="3"/>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挥发罐</w:t>
      </w:r>
    </w:p>
    <w:p w14:paraId="347412A4">
      <w:pPr>
        <w:pStyle w:val="103"/>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标配2个挥发罐的使用位置，带自动互锁装置，配同品牌柒氟醚挥发罐一个。</w:t>
      </w:r>
    </w:p>
    <w:p w14:paraId="7AF2A424">
      <w:pPr>
        <w:pStyle w:val="103"/>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▲可选配同品牌同生产厂家地氟醚挥发罐，地氟醚挥发罐在未通电时无法开启，避免药物泄露风险。(</w:t>
      </w:r>
      <w:r>
        <w:rPr>
          <w:rFonts w:hint="eastAsia" w:ascii="宋体" w:hAnsi="宋体" w:eastAsia="宋体" w:cs="宋体"/>
          <w:color w:val="auto"/>
          <w:sz w:val="21"/>
          <w:szCs w:val="21"/>
          <w:lang w:eastAsia="zh-CN"/>
        </w:rPr>
        <w:t>提供证明材料</w:t>
      </w:r>
      <w:r>
        <w:rPr>
          <w:rFonts w:hint="eastAsia" w:ascii="宋体" w:hAnsi="宋体" w:eastAsia="宋体" w:cs="宋体"/>
          <w:color w:val="auto"/>
          <w:sz w:val="21"/>
          <w:szCs w:val="21"/>
        </w:rPr>
        <w:t>)</w:t>
      </w:r>
    </w:p>
    <w:p w14:paraId="3369702F">
      <w:pPr>
        <w:pStyle w:val="103"/>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▲开机自检具备挥发罐泄漏自检程序，可实现程序化挥发罐自检，并可自动识别罐位，避免长期使用橡胶圈老化带来的麻药泄露风险。(</w:t>
      </w:r>
      <w:r>
        <w:rPr>
          <w:rFonts w:hint="eastAsia" w:ascii="宋体" w:hAnsi="宋体" w:eastAsia="宋体" w:cs="宋体"/>
          <w:color w:val="auto"/>
          <w:sz w:val="21"/>
          <w:szCs w:val="21"/>
          <w:lang w:eastAsia="zh-CN"/>
        </w:rPr>
        <w:t>提供证明材料</w:t>
      </w:r>
      <w:r>
        <w:rPr>
          <w:rFonts w:hint="eastAsia" w:ascii="宋体" w:hAnsi="宋体" w:eastAsia="宋体" w:cs="宋体"/>
          <w:color w:val="auto"/>
          <w:sz w:val="21"/>
          <w:szCs w:val="21"/>
        </w:rPr>
        <w:t>)</w:t>
      </w:r>
    </w:p>
    <w:p w14:paraId="6F017FDB">
      <w:pPr>
        <w:pStyle w:val="103"/>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主机自带挥发罐专用照明灯（非移动式），灯光亮度可调，方便腔镜手术昏暗环境下精准调控挥发罐。(</w:t>
      </w:r>
      <w:r>
        <w:rPr>
          <w:rFonts w:hint="eastAsia" w:ascii="宋体" w:hAnsi="宋体" w:eastAsia="宋体" w:cs="宋体"/>
          <w:color w:val="auto"/>
          <w:sz w:val="21"/>
          <w:szCs w:val="21"/>
          <w:lang w:eastAsia="zh-CN"/>
        </w:rPr>
        <w:t>提供证明材料</w:t>
      </w:r>
      <w:r>
        <w:rPr>
          <w:rFonts w:hint="eastAsia" w:ascii="宋体" w:hAnsi="宋体" w:eastAsia="宋体" w:cs="宋体"/>
          <w:color w:val="auto"/>
          <w:sz w:val="21"/>
          <w:szCs w:val="21"/>
        </w:rPr>
        <w:t>)</w:t>
      </w:r>
    </w:p>
    <w:p w14:paraId="2792EB06">
      <w:pPr>
        <w:pStyle w:val="103"/>
        <w:numPr>
          <w:ilvl w:val="0"/>
          <w:numId w:val="3"/>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呼吸回路</w:t>
      </w:r>
    </w:p>
    <w:p w14:paraId="4A4EFF66">
      <w:pPr>
        <w:pStyle w:val="103"/>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&lt;3.2L极小的回路容积（包含回路系统、二氧化碳吸收罐、风箱），为快速调节新鲜气体流量以及输出麻药浓度提供了保障，且手动皮囊不参与机械通气。</w:t>
      </w:r>
    </w:p>
    <w:p w14:paraId="53A8CB10">
      <w:pPr>
        <w:pStyle w:val="103"/>
        <w:numPr>
          <w:ilvl w:val="0"/>
          <w:numId w:val="7"/>
        </w:numPr>
        <w:adjustRightInd w:val="0"/>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小容积模块化呼吸回路，所有传感器及连接电缆内置在回路内；所有回路模块不用任何工具可以拆卸、安装，所有模块(包含流量传感器)。</w:t>
      </w:r>
    </w:p>
    <w:p w14:paraId="0D830AF1">
      <w:pPr>
        <w:pStyle w:val="103"/>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机控下所有与患者呼出气体接触部分的呼吸回路（含标配流量传感器、风箱折叠皮囊，二氧化碳吸收罐，呼吸活瓣）可耐受134℃高温高压消毒避免院内交叉感染，流量传感器、风箱折叠皮囊、二氧化碳吸收罐上均必须具有134℃国际认证标识。</w:t>
      </w:r>
    </w:p>
    <w:p w14:paraId="77478921">
      <w:pPr>
        <w:pStyle w:val="103"/>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标配可重复使用具备干湿分离功能的双层二氧化碳吸收罐，具备水管理系统，采用冷凝方式管理回路积水。</w:t>
      </w:r>
    </w:p>
    <w:p w14:paraId="0E649F11">
      <w:pPr>
        <w:pStyle w:val="103"/>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标配内置二氧化碳旁路功能，支持术中更换可重复使用的同品牌二氧化碳吸收罐，无需关停机械通气，可方便直接更换，不会产生漏气。</w:t>
      </w:r>
    </w:p>
    <w:p w14:paraId="45370E31">
      <w:pPr>
        <w:pStyle w:val="103"/>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使用备用电池时回路仍可部分加热解决回路积水问题。</w:t>
      </w:r>
    </w:p>
    <w:p w14:paraId="5EEFA028">
      <w:pPr>
        <w:pStyle w:val="103"/>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智能回路系统，能识别和显示：正在使用回路类型、正在使用呼吸模式以及CO2吸收罐状态。</w:t>
      </w:r>
    </w:p>
    <w:p w14:paraId="29E0002A">
      <w:pPr>
        <w:pStyle w:val="103"/>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手动皮襄支架可不同角度及高度的调整，且不参与手动通气，不存在回路漏气风险，避免通气管道难以消毒彻底，减少交叉感染风险。</w:t>
      </w:r>
      <w:r>
        <w:rPr>
          <w:rFonts w:hint="eastAsia" w:ascii="宋体" w:hAnsi="宋体" w:eastAsia="宋体" w:cs="宋体"/>
          <w:color w:val="auto"/>
          <w:sz w:val="21"/>
          <w:szCs w:val="21"/>
          <w:lang w:eastAsia="zh-CN"/>
        </w:rPr>
        <w:t>（提供证明材料）</w:t>
      </w:r>
    </w:p>
    <w:p w14:paraId="117318BD">
      <w:pPr>
        <w:pStyle w:val="103"/>
        <w:numPr>
          <w:ilvl w:val="0"/>
          <w:numId w:val="3"/>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呼吸机 </w:t>
      </w:r>
    </w:p>
    <w:p w14:paraId="0788B719">
      <w:pPr>
        <w:pStyle w:val="103"/>
        <w:widowControl w:val="0"/>
        <w:numPr>
          <w:ilvl w:val="0"/>
          <w:numId w:val="8"/>
        </w:numPr>
        <w:adjustRightInd w:val="0"/>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气动电控或电动电控呼吸机，全中文操作和显示。</w:t>
      </w:r>
    </w:p>
    <w:p w14:paraId="22E4E28C">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适用范围：新生儿、儿童及成人等所有病人通气。</w:t>
      </w:r>
    </w:p>
    <w:p w14:paraId="41D3CBA2">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▲人体工程学设计临床需求≥15英寸彩色触摸显示屏，可平面旋转至少180度及可调节倾斜度（非第三方外置屏幕），方便医生全方位多角度观察和灵活操作机器，具备双分屏显示功能，当触屏失灵，手动可调。</w:t>
      </w:r>
    </w:p>
    <w:p w14:paraId="7537D739">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用户可选择的全自检或部分自检功能，既能保证安全的使用，又能保证紧急抢救时的快速启动，可无限次跳过自检。</w:t>
      </w:r>
    </w:p>
    <w:p w14:paraId="4BD31E47">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提供辅助/控制/支持通气模式，标配: VCV、PCV、手动通气、电子PEEP、PCV-VG高级通气模式。</w:t>
      </w:r>
    </w:p>
    <w:p w14:paraId="6EF3E2E2">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潮气量范围:5-1500ml。</w:t>
      </w:r>
    </w:p>
    <w:p w14:paraId="1D53F7A2">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呼吸频率：4-100 次/分钟。</w:t>
      </w:r>
    </w:p>
    <w:p w14:paraId="394FBB53">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吸呼比：2:1到1:8。</w:t>
      </w:r>
    </w:p>
    <w:p w14:paraId="42D21ED7">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最大吸气流速：120 l/min+新鲜气体流量。</w:t>
      </w:r>
    </w:p>
    <w:p w14:paraId="11F60715">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压力限制范围：12到 100 cmH2O。</w:t>
      </w:r>
    </w:p>
    <w:p w14:paraId="267A7677">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PEEP范围：关，4 到 30 cmH2O。</w:t>
      </w:r>
    </w:p>
    <w:p w14:paraId="431F71CC">
      <w:pPr>
        <w:pStyle w:val="103"/>
        <w:numPr>
          <w:ilvl w:val="0"/>
          <w:numId w:val="8"/>
        </w:numPr>
        <w:spacing w:after="0" w:line="360" w:lineRule="auto"/>
        <w:rPr>
          <w:rFonts w:hint="eastAsia" w:ascii="宋体" w:hAnsi="宋体" w:eastAsia="宋体" w:cs="宋体"/>
          <w:sz w:val="21"/>
          <w:szCs w:val="21"/>
        </w:rPr>
      </w:pPr>
      <w:r>
        <w:rPr>
          <w:rFonts w:hint="eastAsia" w:ascii="宋体" w:hAnsi="宋体" w:eastAsia="宋体" w:cs="宋体"/>
          <w:sz w:val="21"/>
          <w:szCs w:val="21"/>
        </w:rPr>
        <w:t>标配三种工作模式：通气模式、待机模式和心脏手术模式。</w:t>
      </w:r>
    </w:p>
    <w:p w14:paraId="5D4A8A2D">
      <w:pPr>
        <w:pStyle w:val="103"/>
        <w:numPr>
          <w:ilvl w:val="0"/>
          <w:numId w:val="8"/>
        </w:numPr>
        <w:spacing w:after="0"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rPr>
        <w:t>具备30分钟迷你趋势追踪，可以动态显示压力、分钟通气量、CO2等参数30min内的变化，可与术中麻醉机其他参数同屏显示。</w:t>
      </w:r>
    </w:p>
    <w:p w14:paraId="6B663FFB">
      <w:pPr>
        <w:pStyle w:val="103"/>
        <w:numPr>
          <w:ilvl w:val="0"/>
          <w:numId w:val="8"/>
        </w:numPr>
        <w:spacing w:after="0"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rPr>
        <w:t>标配内置（非外接）主动式麻醉废气排放装置(AGSS)。</w:t>
      </w:r>
    </w:p>
    <w:p w14:paraId="39550325">
      <w:pPr>
        <w:pStyle w:val="103"/>
        <w:numPr>
          <w:ilvl w:val="0"/>
          <w:numId w:val="3"/>
        </w:numPr>
        <w:spacing w:after="0" w:line="360" w:lineRule="auto"/>
        <w:ind w:left="360" w:leftChars="0" w:firstLine="59" w:firstLineChars="28"/>
        <w:rPr>
          <w:rFonts w:hint="eastAsia" w:ascii="宋体" w:hAnsi="宋体" w:eastAsia="宋体" w:cs="宋体"/>
          <w:b/>
          <w:bCs/>
          <w:sz w:val="21"/>
          <w:szCs w:val="21"/>
        </w:rPr>
      </w:pPr>
      <w:r>
        <w:rPr>
          <w:rFonts w:hint="eastAsia" w:ascii="宋体" w:hAnsi="宋体" w:eastAsia="宋体" w:cs="宋体"/>
          <w:b/>
          <w:bCs/>
          <w:sz w:val="21"/>
          <w:szCs w:val="21"/>
        </w:rPr>
        <w:t>数字和波形监测</w:t>
      </w:r>
    </w:p>
    <w:p w14:paraId="0D667E15">
      <w:pPr>
        <w:pStyle w:val="103"/>
        <w:numPr>
          <w:ilvl w:val="0"/>
          <w:numId w:val="0"/>
        </w:numPr>
        <w:spacing w:after="0" w:line="360" w:lineRule="auto"/>
        <w:ind w:left="360" w:leftChars="0" w:firstLine="480"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14:ligatures w14:val="standardContextual"/>
        </w:rPr>
        <w:t>3.7.1.</w:t>
      </w:r>
      <w:r>
        <w:rPr>
          <w:rFonts w:hint="eastAsia" w:ascii="宋体" w:hAnsi="宋体" w:eastAsia="宋体" w:cs="宋体"/>
          <w:sz w:val="21"/>
          <w:szCs w:val="21"/>
        </w:rPr>
        <w:t>监测参数：吸入氧、空气流量、潮气量、分钟通气量、气道压（峰压、平台压、平均压、PEEP）；实时压力时间、流速时间呼吸波形描记并同屏显示。</w:t>
      </w:r>
    </w:p>
    <w:p w14:paraId="7D5F36C7">
      <w:pPr>
        <w:pStyle w:val="103"/>
        <w:numPr>
          <w:ilvl w:val="0"/>
          <w:numId w:val="0"/>
        </w:numPr>
        <w:spacing w:after="0" w:line="360" w:lineRule="auto"/>
        <w:ind w:left="360" w:leftChars="0" w:firstLine="480"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14:ligatures w14:val="standardContextual"/>
        </w:rPr>
        <w:t>3.7.2.</w:t>
      </w:r>
      <w:r>
        <w:rPr>
          <w:rFonts w:hint="eastAsia" w:ascii="宋体" w:hAnsi="宋体" w:eastAsia="宋体" w:cs="宋体"/>
          <w:sz w:val="21"/>
          <w:szCs w:val="21"/>
        </w:rPr>
        <w:t>报警参数：氧浓度、气道压、潮气量、分钟通气量、窒息</w:t>
      </w:r>
    </w:p>
    <w:p w14:paraId="48C56DDF">
      <w:pPr>
        <w:pStyle w:val="103"/>
        <w:numPr>
          <w:ilvl w:val="0"/>
          <w:numId w:val="0"/>
        </w:numPr>
        <w:spacing w:after="0" w:line="360" w:lineRule="auto"/>
        <w:ind w:left="360" w:leftChars="0" w:firstLine="480"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14:ligatures w14:val="standardContextual"/>
        </w:rPr>
        <w:t>3.7.3.</w:t>
      </w:r>
      <w:r>
        <w:rPr>
          <w:rFonts w:hint="eastAsia" w:ascii="宋体" w:hAnsi="宋体" w:eastAsia="宋体" w:cs="宋体"/>
          <w:sz w:val="21"/>
          <w:szCs w:val="21"/>
        </w:rPr>
        <w:t>内置单宽度插件槽（仅用于麻醉气体模块），可支持热插拔麻醉气体模块，无需关机重启，开机状态下即可更换，麻醉气体模块与监护仪和呼吸机均可互用节约成本。</w:t>
      </w:r>
    </w:p>
    <w:p w14:paraId="5914EE55">
      <w:pPr>
        <w:pStyle w:val="103"/>
        <w:numPr>
          <w:ilvl w:val="0"/>
          <w:numId w:val="0"/>
        </w:numPr>
        <w:adjustRightInd w:val="0"/>
        <w:spacing w:after="0" w:line="360" w:lineRule="auto"/>
        <w:ind w:left="360" w:leftChars="0" w:firstLine="480"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14:ligatures w14:val="standardContextual"/>
        </w:rPr>
        <w:t>3.7.4.</w:t>
      </w:r>
      <w:r>
        <w:rPr>
          <w:rFonts w:hint="eastAsia" w:ascii="宋体" w:hAnsi="宋体" w:eastAsia="宋体" w:cs="宋体"/>
          <w:color w:val="auto"/>
          <w:sz w:val="21"/>
          <w:szCs w:val="21"/>
        </w:rPr>
        <w:t>▲</w:t>
      </w:r>
      <w:r>
        <w:rPr>
          <w:rFonts w:hint="eastAsia" w:ascii="宋体" w:hAnsi="宋体" w:eastAsia="宋体" w:cs="宋体"/>
          <w:sz w:val="21"/>
          <w:szCs w:val="21"/>
        </w:rPr>
        <w:t>配置单宽度气体模块采用旁路式气体监测：O2、N2O、CO2及五种麻醉气体吸入和呼出浓度，并描记CO2,N2O波形；MAC值计算及年龄校正； O2测量方式为顺磁氧测量技术，无耗材。</w:t>
      </w:r>
    </w:p>
    <w:p w14:paraId="3B29AEFC">
      <w:pPr>
        <w:pStyle w:val="103"/>
        <w:numPr>
          <w:ilvl w:val="0"/>
          <w:numId w:val="0"/>
        </w:numPr>
        <w:spacing w:after="0" w:line="360" w:lineRule="auto"/>
        <w:ind w:left="360" w:leftChars="0" w:firstLine="480"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14:ligatures w14:val="standardContextual"/>
        </w:rPr>
        <w:t>3.7.5.</w:t>
      </w:r>
      <w:r>
        <w:rPr>
          <w:rFonts w:hint="eastAsia" w:ascii="宋体" w:hAnsi="宋体" w:eastAsia="宋体" w:cs="宋体"/>
          <w:sz w:val="21"/>
          <w:szCs w:val="21"/>
        </w:rPr>
        <w:t>潮气量监测可提供两种监测数据来源（患者端和机器端）。</w:t>
      </w:r>
    </w:p>
    <w:p w14:paraId="04A6EF3F">
      <w:pPr>
        <w:pStyle w:val="103"/>
        <w:numPr>
          <w:ilvl w:val="0"/>
          <w:numId w:val="0"/>
        </w:numPr>
        <w:spacing w:after="0" w:line="360" w:lineRule="auto"/>
        <w:ind w:left="360" w:leftChars="0" w:firstLine="480"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14:ligatures w14:val="standardContextual"/>
        </w:rPr>
        <w:t>3.7.6.</w:t>
      </w:r>
      <w:r>
        <w:rPr>
          <w:rFonts w:hint="eastAsia" w:ascii="宋体" w:hAnsi="宋体" w:eastAsia="宋体" w:cs="宋体"/>
          <w:sz w:val="21"/>
          <w:szCs w:val="21"/>
        </w:rPr>
        <w:t>具备新鲜气体用量实时显示和统计功能，可以在手术开始、手术过程中或手术结束后随时显示新鲜气体使用量</w:t>
      </w:r>
    </w:p>
    <w:p w14:paraId="7195415E">
      <w:pPr>
        <w:pStyle w:val="103"/>
        <w:numPr>
          <w:ilvl w:val="0"/>
          <w:numId w:val="0"/>
        </w:numPr>
        <w:tabs>
          <w:tab w:val="left" w:pos="630"/>
        </w:tabs>
        <w:spacing w:after="0" w:line="360" w:lineRule="auto"/>
        <w:ind w:left="0" w:leftChars="0" w:firstLine="422"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3.8</w:t>
      </w:r>
      <w:r>
        <w:rPr>
          <w:rFonts w:hint="eastAsia" w:ascii="宋体" w:hAnsi="宋体" w:eastAsia="宋体" w:cs="宋体"/>
          <w:b/>
          <w:bCs/>
          <w:sz w:val="21"/>
          <w:szCs w:val="21"/>
        </w:rPr>
        <w:t>传感器</w:t>
      </w:r>
    </w:p>
    <w:p w14:paraId="0E4B3E57">
      <w:pPr>
        <w:pStyle w:val="103"/>
        <w:numPr>
          <w:ilvl w:val="0"/>
          <w:numId w:val="0"/>
        </w:numPr>
        <w:spacing w:after="0" w:line="360" w:lineRule="auto"/>
        <w:ind w:left="360" w:leftChars="0" w:firstLine="480"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14:ligatures w14:val="standardContextual"/>
        </w:rPr>
        <w:t>3.8.1.</w:t>
      </w:r>
      <w:r>
        <w:rPr>
          <w:rFonts w:hint="eastAsia" w:ascii="宋体" w:hAnsi="宋体" w:eastAsia="宋体" w:cs="宋体"/>
          <w:color w:val="auto"/>
          <w:sz w:val="21"/>
          <w:szCs w:val="21"/>
        </w:rPr>
        <w:t>▲</w:t>
      </w:r>
      <w:r>
        <w:rPr>
          <w:rFonts w:hint="eastAsia" w:ascii="宋体" w:hAnsi="宋体" w:eastAsia="宋体" w:cs="宋体"/>
          <w:sz w:val="21"/>
          <w:szCs w:val="21"/>
        </w:rPr>
        <w:t>金属膜片或者金属热丝式流量传感器，金属传感器更能耐受高频次流量监测，流量传感器具备自加热功能（非回路整体加热），避免水汽凝结影响流量传感器监测精准。。金属膜片或者金属热丝式流量传感器可以134℃高温高压消毒，避免交叉感染</w:t>
      </w:r>
      <w:r>
        <w:rPr>
          <w:rFonts w:hint="eastAsia" w:ascii="宋体" w:hAnsi="宋体" w:eastAsia="宋体" w:cs="宋体"/>
          <w:sz w:val="21"/>
          <w:szCs w:val="21"/>
          <w:lang w:eastAsia="zh-CN"/>
        </w:rPr>
        <w:t>（</w:t>
      </w:r>
      <w:r>
        <w:rPr>
          <w:rFonts w:hint="eastAsia" w:ascii="宋体" w:hAnsi="宋体" w:eastAsia="宋体" w:cs="宋体"/>
          <w:sz w:val="21"/>
          <w:szCs w:val="21"/>
        </w:rPr>
        <w:t>提供证明材料</w:t>
      </w:r>
      <w:r>
        <w:rPr>
          <w:rFonts w:hint="eastAsia" w:ascii="宋体" w:hAnsi="宋体" w:eastAsia="宋体" w:cs="宋体"/>
          <w:sz w:val="21"/>
          <w:szCs w:val="21"/>
          <w:lang w:eastAsia="zh-CN"/>
        </w:rPr>
        <w:t>）</w:t>
      </w:r>
      <w:r>
        <w:rPr>
          <w:rFonts w:hint="eastAsia" w:ascii="宋体" w:hAnsi="宋体" w:eastAsia="宋体" w:cs="宋体"/>
          <w:sz w:val="21"/>
          <w:szCs w:val="21"/>
        </w:rPr>
        <w:t>。</w:t>
      </w:r>
    </w:p>
    <w:p w14:paraId="77A35523">
      <w:pPr>
        <w:pStyle w:val="103"/>
        <w:numPr>
          <w:ilvl w:val="0"/>
          <w:numId w:val="0"/>
        </w:numPr>
        <w:tabs>
          <w:tab w:val="left" w:pos="630"/>
        </w:tabs>
        <w:spacing w:after="0" w:line="360" w:lineRule="auto"/>
        <w:ind w:left="0" w:leftChars="0" w:firstLine="422" w:firstLineChars="200"/>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 xml:space="preserve">4 </w:t>
      </w:r>
      <w:r>
        <w:rPr>
          <w:rFonts w:hint="eastAsia" w:ascii="宋体" w:hAnsi="宋体" w:eastAsia="宋体" w:cs="宋体"/>
          <w:b/>
          <w:bCs/>
          <w:sz w:val="21"/>
          <w:szCs w:val="21"/>
          <w:lang w:val="en-US" w:eastAsia="zh-CN"/>
        </w:rPr>
        <w:t>备件，资料及技术服务</w:t>
      </w:r>
    </w:p>
    <w:p w14:paraId="50060F22">
      <w:pPr>
        <w:pStyle w:val="103"/>
        <w:numPr>
          <w:ilvl w:val="0"/>
          <w:numId w:val="9"/>
        </w:numPr>
        <w:spacing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为保证设备正常运行，卖方应在中国境内方便的地点设置备件库，存入所有必须的备件</w:t>
      </w:r>
    </w:p>
    <w:p w14:paraId="137F6917">
      <w:pPr>
        <w:pStyle w:val="103"/>
        <w:numPr>
          <w:ilvl w:val="0"/>
          <w:numId w:val="9"/>
        </w:numPr>
        <w:spacing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卖方须向买方提供操作手册一套。</w:t>
      </w:r>
    </w:p>
    <w:p w14:paraId="19EF53C0">
      <w:pPr>
        <w:pStyle w:val="103"/>
        <w:numPr>
          <w:ilvl w:val="0"/>
          <w:numId w:val="9"/>
        </w:numPr>
        <w:spacing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卖方须向买方提供设备的运行、安装、使用环境要求</w:t>
      </w:r>
    </w:p>
    <w:p w14:paraId="0D6CAFAA">
      <w:pPr>
        <w:pStyle w:val="103"/>
        <w:numPr>
          <w:ilvl w:val="0"/>
          <w:numId w:val="9"/>
        </w:numPr>
        <w:spacing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在货物到达使用单位后，卖方应在7天内派工程技术人员到达现场，在买方技术人员在场的情况下开箱清点货物，组织安装调试，并承担因此发生的一切费用。</w:t>
      </w:r>
    </w:p>
    <w:p w14:paraId="1D9BC81A">
      <w:pPr>
        <w:pStyle w:val="103"/>
        <w:numPr>
          <w:ilvl w:val="0"/>
          <w:numId w:val="9"/>
        </w:numPr>
        <w:spacing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设备安装后，医院按国际和国家标准及厂方标准进行质量验收。</w:t>
      </w:r>
    </w:p>
    <w:p w14:paraId="7C5861E3">
      <w:pPr>
        <w:pStyle w:val="103"/>
        <w:numPr>
          <w:ilvl w:val="0"/>
          <w:numId w:val="9"/>
        </w:numPr>
        <w:spacing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在中国境内有相应的零配件保税库和维修机构。</w:t>
      </w:r>
    </w:p>
    <w:p w14:paraId="65B03680">
      <w:pPr>
        <w:pStyle w:val="103"/>
        <w:numPr>
          <w:ilvl w:val="0"/>
          <w:numId w:val="0"/>
        </w:numPr>
        <w:spacing w:after="0" w:line="360" w:lineRule="auto"/>
        <w:ind w:left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 xml:space="preserve">5 </w:t>
      </w:r>
      <w:r>
        <w:rPr>
          <w:rFonts w:hint="eastAsia" w:asciiTheme="minorEastAsia" w:hAnsiTheme="minorEastAsia" w:eastAsiaTheme="minorEastAsia" w:cstheme="minorEastAsia"/>
          <w:b/>
          <w:bCs/>
          <w:sz w:val="21"/>
          <w:szCs w:val="21"/>
        </w:rPr>
        <w:t>技术培训要求</w:t>
      </w:r>
    </w:p>
    <w:p w14:paraId="3427C237">
      <w:pPr>
        <w:pStyle w:val="103"/>
        <w:numPr>
          <w:ilvl w:val="0"/>
          <w:numId w:val="0"/>
        </w:numPr>
        <w:spacing w:after="0" w:line="360" w:lineRule="auto"/>
        <w:ind w:leftChars="0" w:firstLine="840" w:firstLineChars="4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5.1</w:t>
      </w:r>
      <w:r>
        <w:rPr>
          <w:rFonts w:hint="eastAsia" w:asciiTheme="minorEastAsia" w:hAnsiTheme="minorEastAsia" w:eastAsiaTheme="minorEastAsia" w:cstheme="minorEastAsia"/>
          <w:sz w:val="21"/>
          <w:szCs w:val="21"/>
        </w:rPr>
        <w:t>网络培训：具有专用的网址或公众号，在线提供高级临床应用直播及产品操作指导。</w:t>
      </w:r>
    </w:p>
    <w:p w14:paraId="42EEC258">
      <w:pPr>
        <w:keepNext w:val="0"/>
        <w:keepLines w:val="0"/>
        <w:pageBreakBefore w:val="0"/>
        <w:widowControl w:val="0"/>
        <w:tabs>
          <w:tab w:val="left" w:pos="1342"/>
        </w:tabs>
        <w:kinsoku/>
        <w:wordWrap/>
        <w:overflowPunct/>
        <w:topLinePunct w:val="0"/>
        <w:autoSpaceDE/>
        <w:autoSpaceDN/>
        <w:bidi w:val="0"/>
        <w:spacing w:line="460" w:lineRule="exact"/>
        <w:ind w:firstLine="0" w:firstLineChars="0"/>
        <w:jc w:val="left"/>
        <w:textAlignment w:val="baseline"/>
        <w:outlineLvl w:val="1"/>
        <w:rPr>
          <w:rFonts w:hint="eastAsia" w:ascii="宋体" w:hAnsi="宋体" w:cs="宋体"/>
          <w:b/>
          <w:bCs/>
          <w:color w:val="000000"/>
          <w:kern w:val="0"/>
          <w:sz w:val="30"/>
          <w:szCs w:val="30"/>
          <w:lang w:val="en-US" w:eastAsia="zh-CN" w:bidi="ar-SA"/>
        </w:rPr>
      </w:pPr>
    </w:p>
    <w:p w14:paraId="6653D3DD">
      <w:pPr>
        <w:keepNext w:val="0"/>
        <w:keepLines w:val="0"/>
        <w:pageBreakBefore w:val="0"/>
        <w:widowControl w:val="0"/>
        <w:tabs>
          <w:tab w:val="left" w:pos="1342"/>
        </w:tabs>
        <w:kinsoku/>
        <w:wordWrap/>
        <w:overflowPunct/>
        <w:topLinePunct w:val="0"/>
        <w:autoSpaceDE/>
        <w:autoSpaceDN/>
        <w:bidi w:val="0"/>
        <w:spacing w:line="460" w:lineRule="exact"/>
        <w:ind w:firstLine="0" w:firstLineChars="0"/>
        <w:jc w:val="left"/>
        <w:textAlignment w:val="baseline"/>
        <w:outlineLvl w:val="1"/>
        <w:rPr>
          <w:rFonts w:hint="default" w:ascii="宋体" w:hAnsi="宋体" w:eastAsia="宋体" w:cs="宋体"/>
          <w:b/>
          <w:bCs/>
          <w:color w:val="000000"/>
          <w:kern w:val="0"/>
          <w:sz w:val="30"/>
          <w:szCs w:val="30"/>
          <w:lang w:val="en-US" w:eastAsia="zh-CN" w:bidi="ar-SA"/>
        </w:rPr>
      </w:pPr>
      <w:r>
        <w:rPr>
          <w:rFonts w:hint="eastAsia" w:ascii="宋体" w:hAnsi="宋体" w:cs="宋体"/>
          <w:b/>
          <w:bCs/>
          <w:color w:val="000000"/>
          <w:kern w:val="0"/>
          <w:sz w:val="30"/>
          <w:szCs w:val="30"/>
          <w:lang w:val="en-US" w:eastAsia="zh-CN" w:bidi="ar-SA"/>
        </w:rPr>
        <w:t>包二、多功能监护仪（插件式）技术参数需求</w:t>
      </w:r>
    </w:p>
    <w:p w14:paraId="68180028">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b/>
          <w:bCs/>
        </w:rPr>
      </w:pPr>
      <w:r>
        <w:rPr>
          <w:rFonts w:hint="eastAsia" w:ascii="宋体" w:hAnsi="宋体" w:eastAsia="宋体"/>
          <w:b/>
          <w:bCs/>
        </w:rPr>
        <w:t>监护仪结构</w:t>
      </w:r>
    </w:p>
    <w:p w14:paraId="3263E9B4">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模块化插件式床边监护仪，主机、显示屏和插件槽一体化设计，主机模块插槽数≥</w:t>
      </w:r>
      <w:r>
        <w:rPr>
          <w:rFonts w:ascii="宋体" w:hAnsi="宋体" w:eastAsia="宋体"/>
        </w:rPr>
        <w:t>4个</w:t>
      </w:r>
    </w:p>
    <w:p w14:paraId="1108B73D">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w:t>
      </w:r>
      <w:r>
        <w:rPr>
          <w:rFonts w:ascii="宋体" w:hAnsi="宋体" w:eastAsia="宋体"/>
        </w:rPr>
        <w:t>15英寸彩色电容触摸屏，高分辨率≥1920×1080像素，≥10通道显示，显示屏亮度自动调节，屏幕支持手势滑动操作，支持穿戴医用防护手套操作</w:t>
      </w:r>
    </w:p>
    <w:p w14:paraId="3C6BF614">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配置</w:t>
      </w:r>
      <w:r>
        <w:rPr>
          <w:rFonts w:ascii="宋体" w:hAnsi="宋体" w:eastAsia="宋体"/>
        </w:rPr>
        <w:t>USB接口，支持遥控器等USB设备，提供说明书证明材料</w:t>
      </w:r>
    </w:p>
    <w:p w14:paraId="49F2E464">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监护仪清洁消毒维护支持的消毒剂≥35种，在厂家手册中清晰列举消毒剂的种类</w:t>
      </w:r>
    </w:p>
    <w:p w14:paraId="0A67C7D2">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监护仪支持内置NFC功能，提供说明书证明材料</w:t>
      </w:r>
    </w:p>
    <w:p w14:paraId="4432F89E">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hint="default" w:ascii="宋体" w:hAnsi="宋体" w:eastAsia="宋体"/>
          <w:lang w:val="en-US"/>
        </w:rPr>
      </w:pPr>
      <w:r>
        <w:rPr>
          <w:rFonts w:hint="eastAsia" w:ascii="Times New Roman" w:hAnsi="Times New Roman" w:eastAsia="宋体" w:cs="Times New Roman"/>
          <w:color w:val="000000"/>
          <w:szCs w:val="21"/>
          <w:highlight w:val="none"/>
        </w:rPr>
        <w:t>▲</w:t>
      </w:r>
      <w:r>
        <w:rPr>
          <w:rFonts w:hint="eastAsia" w:ascii="宋体" w:hAnsi="宋体" w:eastAsia="宋体"/>
          <w:lang w:val="en-US" w:eastAsia="zh-CN"/>
        </w:rPr>
        <w:t>支持语音智能控制，可以实现</w:t>
      </w:r>
      <w:r>
        <w:rPr>
          <w:rFonts w:hint="eastAsia" w:ascii="宋体" w:hAnsi="宋体" w:eastAsia="宋体"/>
        </w:rPr>
        <w:t>监护仪的基础操作，都可通过语音唤醒一键完成，</w:t>
      </w:r>
      <w:r>
        <w:rPr>
          <w:rFonts w:hint="eastAsia" w:ascii="宋体" w:hAnsi="宋体" w:eastAsia="宋体"/>
          <w:lang w:val="en-US" w:eastAsia="zh-CN"/>
        </w:rPr>
        <w:t>提高监测效率</w:t>
      </w:r>
    </w:p>
    <w:p w14:paraId="283BA3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lang w:val="en-US" w:eastAsia="zh-CN"/>
        </w:rPr>
      </w:pPr>
    </w:p>
    <w:p w14:paraId="1B80F2D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b/>
          <w:bCs/>
        </w:rPr>
      </w:pPr>
      <w:r>
        <w:rPr>
          <w:rFonts w:hint="eastAsia" w:ascii="宋体" w:hAnsi="宋体" w:eastAsia="宋体"/>
          <w:b/>
          <w:bCs/>
        </w:rPr>
        <w:t>监测参数：</w:t>
      </w:r>
    </w:p>
    <w:p w14:paraId="71AD2915">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基本功能模块支持心电，呼吸，心率，无创血压，血氧饱和度，脉搏，双通道体温和双通道有创血压的同时监测</w:t>
      </w:r>
    </w:p>
    <w:p w14:paraId="436A4961">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基本功能模块</w:t>
      </w:r>
      <w:r>
        <w:rPr>
          <w:rFonts w:hint="eastAsia" w:ascii="宋体" w:hAnsi="宋体" w:eastAsia="宋体"/>
          <w:lang w:val="en-US" w:eastAsia="zh-CN"/>
        </w:rPr>
        <w:t>支持</w:t>
      </w:r>
      <w:r>
        <w:rPr>
          <w:rFonts w:hint="eastAsia" w:ascii="宋体" w:hAnsi="宋体" w:eastAsia="宋体"/>
        </w:rPr>
        <w:t>与</w:t>
      </w:r>
      <w:r>
        <w:rPr>
          <w:rFonts w:ascii="宋体" w:hAnsi="宋体" w:eastAsia="宋体"/>
        </w:rPr>
        <w:t>监护仪有线或无线通讯，无线通讯时，也支持实时参数监测功能，内置锂电池供电≥4小时，通过1.5米（6个面）抗跌落测试</w:t>
      </w:r>
    </w:p>
    <w:p w14:paraId="69797B92">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Times New Roman" w:hAnsi="Times New Roman" w:eastAsia="宋体" w:cs="Times New Roman"/>
          <w:color w:val="000000"/>
          <w:szCs w:val="21"/>
          <w:highlight w:val="none"/>
        </w:rPr>
        <w:t>▲</w:t>
      </w:r>
      <w:r>
        <w:rPr>
          <w:rFonts w:hint="eastAsia" w:ascii="宋体" w:hAnsi="宋体" w:eastAsia="宋体"/>
          <w:lang w:val="en-US" w:eastAsia="zh-CN"/>
        </w:rPr>
        <w:t>标配转运监护仪</w:t>
      </w:r>
      <w:r>
        <w:rPr>
          <w:rFonts w:hint="eastAsia" w:ascii="宋体" w:hAnsi="宋体" w:eastAsia="宋体"/>
        </w:rPr>
        <w:t>，</w:t>
      </w:r>
      <w:r>
        <w:rPr>
          <w:rFonts w:hint="eastAsia" w:ascii="宋体" w:hAnsi="宋体" w:eastAsia="宋体"/>
          <w:lang w:val="en-US" w:eastAsia="zh-CN"/>
        </w:rPr>
        <w:t>可</w:t>
      </w:r>
      <w:r>
        <w:rPr>
          <w:rFonts w:hint="eastAsia" w:ascii="宋体" w:hAnsi="宋体" w:eastAsia="宋体"/>
        </w:rPr>
        <w:t>插入监护仪模块插槽</w:t>
      </w:r>
      <w:r>
        <w:rPr>
          <w:rFonts w:hint="eastAsia" w:ascii="宋体" w:hAnsi="宋体" w:eastAsia="宋体"/>
          <w:lang w:eastAsia="zh-CN"/>
        </w:rPr>
        <w:t>（</w:t>
      </w:r>
      <w:r>
        <w:rPr>
          <w:rFonts w:hint="eastAsia" w:ascii="宋体" w:hAnsi="宋体" w:eastAsia="宋体"/>
          <w:lang w:val="en-US" w:eastAsia="zh-CN"/>
        </w:rPr>
        <w:t>非指定插槽）</w:t>
      </w:r>
      <w:r>
        <w:rPr>
          <w:rFonts w:hint="eastAsia" w:ascii="宋体" w:hAnsi="宋体" w:eastAsia="宋体"/>
        </w:rPr>
        <w:t>作为主机模块，具有独立操作显示屏，屏幕尺寸≥</w:t>
      </w:r>
      <w:r>
        <w:rPr>
          <w:rFonts w:ascii="宋体" w:hAnsi="宋体" w:eastAsia="宋体"/>
        </w:rPr>
        <w:t>5.5英寸，内置锂电池供电≥4小时，无风扇设计</w:t>
      </w:r>
    </w:p>
    <w:p w14:paraId="3C1D3215">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支持房室传导阻滞心律失常分析</w:t>
      </w:r>
    </w:p>
    <w:p w14:paraId="61F9DA29">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支持HRV（心率变异性）分析，可在监护仪上查看R-R 间期(ms)、SDNN(ms)、SDANN（ms)、SDNNIndex(ms)、Triangle Index、rMSSD(ms)、pNN50(%)、TP、VLF、LF、HF、LF/HF 比值、Lfnu、HFnu 等参数信息需提供产品界面</w:t>
      </w:r>
    </w:p>
    <w:p w14:paraId="178B0D49">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Times New Roman" w:hAnsi="Times New Roman" w:eastAsia="宋体" w:cs="Times New Roman"/>
          <w:color w:val="000000"/>
          <w:szCs w:val="21"/>
          <w:highlight w:val="none"/>
        </w:rPr>
        <w:t>▲</w:t>
      </w:r>
      <w:r>
        <w:rPr>
          <w:rFonts w:hint="eastAsia" w:ascii="宋体" w:hAnsi="宋体" w:eastAsia="宋体"/>
        </w:rPr>
        <w:t>支持室上性心动过速和SVCs/min等室上性心律失常分析，提供产品说明书证明材料</w:t>
      </w:r>
    </w:p>
    <w:p w14:paraId="74800752">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NIBP支持快速测量，典型测量时间≤15秒</w:t>
      </w:r>
    </w:p>
    <w:p w14:paraId="0EBDE35F">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配置指套式血氧探头，支持浸泡清洁与消毒，防水等级IPX7</w:t>
      </w:r>
    </w:p>
    <w:p w14:paraId="0E3DD20E">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支持双通道有创压</w:t>
      </w:r>
      <w:r>
        <w:rPr>
          <w:rFonts w:ascii="宋体" w:hAnsi="宋体" w:eastAsia="宋体"/>
        </w:rPr>
        <w:t>IBP监测，支持</w:t>
      </w:r>
      <w:r>
        <w:rPr>
          <w:rFonts w:hint="eastAsia" w:ascii="宋体" w:hAnsi="宋体" w:eastAsia="宋体"/>
        </w:rPr>
        <w:t>选配</w:t>
      </w:r>
      <w:r>
        <w:rPr>
          <w:rFonts w:ascii="宋体" w:hAnsi="宋体" w:eastAsia="宋体"/>
        </w:rPr>
        <w:t>多达8通道有创压监测</w:t>
      </w:r>
    </w:p>
    <w:p w14:paraId="424F24D9">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有创压适用于成人，小儿和新生儿，有创压测量范围：</w:t>
      </w:r>
      <w:r>
        <w:rPr>
          <w:rFonts w:ascii="宋体" w:hAnsi="宋体" w:eastAsia="宋体"/>
        </w:rPr>
        <w:t>-50～370mmHg</w:t>
      </w:r>
    </w:p>
    <w:p w14:paraId="4D367EFE">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支持多达</w:t>
      </w:r>
      <w:r>
        <w:rPr>
          <w:rFonts w:ascii="宋体" w:hAnsi="宋体" w:eastAsia="宋体"/>
        </w:rPr>
        <w:t>6道IBP波形叠加显示，满足临床对比查看和节约显示空间的需求</w:t>
      </w:r>
    </w:p>
    <w:p w14:paraId="0DC632EB">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有创压支持</w:t>
      </w:r>
      <w:r>
        <w:rPr>
          <w:rFonts w:ascii="宋体" w:hAnsi="宋体" w:eastAsia="宋体"/>
        </w:rPr>
        <w:t>SPV(收缩压变异性），IAP（腹内压）, APP（腹内灌注压）监测</w:t>
      </w:r>
    </w:p>
    <w:p w14:paraId="599AC298">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lang w:val="en-US" w:eastAsia="zh-CN"/>
        </w:rPr>
        <w:t>▲</w:t>
      </w:r>
      <w:r>
        <w:rPr>
          <w:rFonts w:hint="eastAsia" w:ascii="宋体" w:hAnsi="宋体" w:eastAsia="宋体"/>
        </w:rPr>
        <w:t>配置</w:t>
      </w:r>
      <w:r>
        <w:rPr>
          <w:rFonts w:ascii="宋体" w:hAnsi="宋体" w:eastAsia="宋体"/>
        </w:rPr>
        <w:t>旁流EtCO2监测模块，旁流EtCO2监测模块支持升级顺磁氧监测技术进行氧气监测，水槽要求易用快速更换</w:t>
      </w:r>
    </w:p>
    <w:p w14:paraId="4F798D1A">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lang w:val="en-US" w:eastAsia="zh-CN"/>
        </w:rPr>
        <w:t>可升级</w:t>
      </w:r>
      <w:r>
        <w:rPr>
          <w:rFonts w:ascii="宋体" w:hAnsi="宋体" w:eastAsia="宋体"/>
          <w:szCs w:val="21"/>
        </w:rPr>
        <w:t>PiCCO监测模块</w:t>
      </w:r>
      <w:r>
        <w:rPr>
          <w:rFonts w:hint="eastAsia" w:ascii="宋体" w:hAnsi="宋体" w:eastAsia="宋体"/>
          <w:szCs w:val="21"/>
        </w:rPr>
        <w:t>非单机</w:t>
      </w:r>
      <w:r>
        <w:rPr>
          <w:rFonts w:ascii="宋体" w:hAnsi="宋体" w:eastAsia="宋体"/>
          <w:szCs w:val="21"/>
        </w:rPr>
        <w:t>，</w:t>
      </w:r>
      <w:r>
        <w:rPr>
          <w:rFonts w:hint="eastAsia" w:ascii="宋体" w:hAnsi="宋体" w:eastAsia="宋体"/>
          <w:szCs w:val="21"/>
        </w:rPr>
        <w:t>且模块可用于招标主体机型，</w:t>
      </w:r>
      <w:r>
        <w:rPr>
          <w:rFonts w:ascii="宋体" w:hAnsi="宋体" w:eastAsia="宋体"/>
          <w:szCs w:val="21"/>
        </w:rPr>
        <w:t>非无创电阻抗法，具有更好的监测准确性，实现CCO连续心排量、SVV每搏变异量等血液动力学监测参数，直观观察病人的变化情况</w:t>
      </w:r>
      <w:r>
        <w:rPr>
          <w:rFonts w:hint="eastAsia" w:ascii="宋体" w:hAnsi="宋体" w:eastAsia="宋体"/>
          <w:szCs w:val="21"/>
        </w:rPr>
        <w:t>。提供产品注册证证明</w:t>
      </w:r>
    </w:p>
    <w:p w14:paraId="22406E98">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可选配rSO2模块实现脑部血氧饱和度监测，适用于成人、小儿，最多支持四通道的 rSO2 测量</w:t>
      </w:r>
    </w:p>
    <w:p w14:paraId="25663B95">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lang w:val="en-US" w:eastAsia="zh-CN"/>
        </w:rPr>
        <w:t>支持语音控制监护仪，术中读出</w:t>
      </w:r>
    </w:p>
    <w:p w14:paraId="588E06C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rPr>
      </w:pPr>
    </w:p>
    <w:p w14:paraId="3F3D566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rPr>
      </w:pPr>
      <w:r>
        <w:rPr>
          <w:rFonts w:hint="eastAsia" w:ascii="宋体" w:hAnsi="宋体" w:eastAsia="宋体"/>
        </w:rPr>
        <w:t>系统功能：</w:t>
      </w:r>
    </w:p>
    <w:p w14:paraId="4E2A0FC0">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具有特殊报警音，当监护仪在病人发生致命性参数报警时，发出特殊的报警音进行提示病人处于危急状态</w:t>
      </w:r>
    </w:p>
    <w:p w14:paraId="41FFEB5C">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具备多融合抗干扰技术</w:t>
      </w:r>
      <w:r>
        <w:rPr>
          <w:rFonts w:ascii="宋体" w:hAnsi="宋体" w:eastAsia="宋体"/>
        </w:rPr>
        <w:t>，可根据同源的血氧和有创压信号纠正ECG分析结果，避免由于干扰引起的误报警</w:t>
      </w:r>
    </w:p>
    <w:p w14:paraId="050AE38C">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可选配具备早期恶化识别（</w:t>
      </w:r>
      <w:r>
        <w:rPr>
          <w:rFonts w:ascii="宋体" w:hAnsi="宋体" w:eastAsia="宋体"/>
        </w:rPr>
        <w:t>EIA）功能，基于连续监测的高精度数据，综合分析心率、血压、血氧、呼吸率、体温和血流动力学参数等生命体征的趋势，识别病人早期恶化的风险，并提供声光图形化提示</w:t>
      </w:r>
    </w:p>
    <w:p w14:paraId="1BBD15DD">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可</w:t>
      </w:r>
      <w:r>
        <w:rPr>
          <w:rFonts w:hint="eastAsia" w:ascii="宋体" w:hAnsi="宋体" w:eastAsia="宋体"/>
        </w:rPr>
        <w:t>升级具备</w:t>
      </w:r>
      <w:r>
        <w:rPr>
          <w:rFonts w:ascii="宋体" w:hAnsi="宋体" w:eastAsia="宋体"/>
        </w:rPr>
        <w:t>血流动力学软件工具，显示完整血流动力学参数，并以图形化界面显示病人心脏收缩力，外周血管阻力等状态，提供电子化血流动力学实验记录，重点参数蛛网图显示评估病人相关参数变化</w:t>
      </w:r>
    </w:p>
    <w:p w14:paraId="25E39B0E">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支持在监护仪上查看手持超声实时图像和历史床旁超声图像和超声测量血流动力学参数，来源于超声的血流动力学数据可与监护仪上的连续流血动力学数据同屏按时间轴对齐显示</w:t>
      </w:r>
    </w:p>
    <w:p w14:paraId="05CDEA46">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可</w:t>
      </w:r>
      <w:r>
        <w:rPr>
          <w:rFonts w:hint="eastAsia" w:ascii="宋体" w:hAnsi="宋体" w:eastAsia="宋体"/>
        </w:rPr>
        <w:t>升级具备</w:t>
      </w:r>
      <w:r>
        <w:rPr>
          <w:rFonts w:ascii="宋体" w:hAnsi="宋体" w:eastAsia="宋体"/>
        </w:rPr>
        <w:t>输注泵用药信息回顾工具，可同时间轴显示病人生命体征参数及用药信息回顾，呈现病人生命体征变化趋势与药物输注流速变化之间的关系</w:t>
      </w:r>
    </w:p>
    <w:p w14:paraId="5D6C77AF">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Times New Roman" w:hAnsi="Times New Roman" w:eastAsia="宋体" w:cs="Times New Roman"/>
          <w:color w:val="000000"/>
          <w:szCs w:val="21"/>
          <w:highlight w:val="none"/>
        </w:rPr>
        <w:t>▲</w:t>
      </w:r>
      <w:r>
        <w:rPr>
          <w:rFonts w:hint="eastAsia" w:ascii="宋体" w:hAnsi="宋体" w:eastAsia="宋体"/>
          <w:lang w:val="en-US" w:eastAsia="zh-CN"/>
        </w:rPr>
        <w:t>可与输注泵、超声、除颤仪、呼吸机、麻醉机、监护仪接入同一套中心监护系统，方便临床实时观察病人生命体征</w:t>
      </w:r>
    </w:p>
    <w:p w14:paraId="48144C0A">
      <w:pPr>
        <w:pStyle w:val="103"/>
        <w:numPr>
          <w:ilvl w:val="0"/>
          <w:numId w:val="10"/>
        </w:numPr>
        <w:ind w:firstLineChars="0"/>
        <w:rPr>
          <w:rFonts w:ascii="宋体" w:hAnsi="宋体" w:eastAsia="宋体"/>
        </w:rPr>
      </w:pPr>
      <w:r>
        <w:rPr>
          <w:rFonts w:hint="eastAsia" w:ascii="Times New Roman" w:hAnsi="Times New Roman" w:eastAsia="宋体" w:cs="Times New Roman"/>
          <w:color w:val="000000"/>
          <w:szCs w:val="21"/>
          <w:highlight w:val="none"/>
        </w:rPr>
        <w:t>▲</w:t>
      </w:r>
      <w:r>
        <w:rPr>
          <w:rFonts w:hint="eastAsia" w:ascii="宋体" w:hAnsi="宋体" w:eastAsia="宋体"/>
          <w:lang w:val="en-US" w:eastAsia="zh-CN"/>
        </w:rPr>
        <w:t>支持接入我院设备管理系统，方便设备科统一管理，提升设备使用效率</w:t>
      </w:r>
    </w:p>
    <w:p w14:paraId="30071238">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ascii="宋体" w:hAnsi="宋体" w:eastAsia="宋体"/>
        </w:rPr>
        <w:t>支持≥120小时（分辨率1分钟）ST模板存储与回顾</w:t>
      </w:r>
    </w:p>
    <w:p w14:paraId="5FE9B86D">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产品通过国家</w:t>
      </w:r>
      <w:r>
        <w:rPr>
          <w:rFonts w:ascii="宋体" w:hAnsi="宋体" w:eastAsia="宋体"/>
        </w:rPr>
        <w:t>III类注册</w:t>
      </w:r>
    </w:p>
    <w:p w14:paraId="0070D785">
      <w:pPr>
        <w:pStyle w:val="103"/>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Chars="0"/>
        <w:textAlignment w:val="auto"/>
        <w:rPr>
          <w:rFonts w:ascii="宋体" w:hAnsi="宋体" w:eastAsia="宋体"/>
        </w:rPr>
      </w:pPr>
      <w:r>
        <w:rPr>
          <w:rFonts w:hint="eastAsia" w:ascii="宋体" w:hAnsi="宋体" w:eastAsia="宋体"/>
        </w:rPr>
        <w:t>产品设计使用年限≥</w:t>
      </w:r>
      <w:r>
        <w:rPr>
          <w:rFonts w:ascii="宋体" w:hAnsi="宋体" w:eastAsia="宋体"/>
        </w:rPr>
        <w:t>10年</w:t>
      </w:r>
    </w:p>
    <w:p w14:paraId="0B7A637E">
      <w:pPr>
        <w:pStyle w:val="103"/>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ascii="宋体" w:hAnsi="宋体" w:eastAsia="宋体"/>
        </w:rPr>
      </w:pPr>
    </w:p>
    <w:p w14:paraId="224E1E31">
      <w:pPr>
        <w:keepNext w:val="0"/>
        <w:keepLines w:val="0"/>
        <w:pageBreakBefore w:val="0"/>
        <w:widowControl/>
        <w:kinsoku/>
        <w:wordWrap/>
        <w:overflowPunct/>
        <w:topLinePunct w:val="0"/>
        <w:autoSpaceDE/>
        <w:autoSpaceDN/>
        <w:bidi w:val="0"/>
        <w:spacing w:line="460" w:lineRule="exact"/>
        <w:jc w:val="left"/>
        <w:rPr>
          <w:rFonts w:ascii="宋体" w:hAnsi="宋体" w:eastAsia="宋体" w:cs="宋体"/>
          <w:b/>
          <w:bCs/>
          <w:color w:val="000000"/>
          <w:kern w:val="0"/>
          <w:sz w:val="21"/>
          <w:szCs w:val="21"/>
        </w:rPr>
      </w:pPr>
    </w:p>
    <w:p w14:paraId="6A6378CD">
      <w:pPr>
        <w:keepNext w:val="0"/>
        <w:keepLines w:val="0"/>
        <w:pageBreakBefore w:val="0"/>
        <w:widowControl/>
        <w:kinsoku/>
        <w:wordWrap/>
        <w:overflowPunct/>
        <w:topLinePunct w:val="0"/>
        <w:autoSpaceDE/>
        <w:autoSpaceDN/>
        <w:bidi w:val="0"/>
        <w:spacing w:line="460" w:lineRule="exact"/>
        <w:jc w:val="left"/>
        <w:rPr>
          <w:rFonts w:hint="eastAsia" w:ascii="宋体" w:hAnsi="宋体" w:eastAsia="宋体" w:cs="宋体"/>
          <w:b/>
          <w:bCs/>
          <w:color w:val="000000"/>
          <w:kern w:val="0"/>
          <w:sz w:val="21"/>
          <w:szCs w:val="21"/>
          <w:lang w:eastAsia="zh-CN"/>
        </w:rPr>
      </w:pPr>
      <w:r>
        <w:rPr>
          <w:rFonts w:ascii="宋体" w:hAnsi="宋体" w:eastAsia="宋体" w:cs="宋体"/>
          <w:b/>
          <w:bCs/>
          <w:color w:val="000000"/>
          <w:kern w:val="0"/>
          <w:sz w:val="21"/>
          <w:szCs w:val="21"/>
        </w:rPr>
        <w:t>备注</w:t>
      </w:r>
      <w:r>
        <w:rPr>
          <w:rFonts w:hint="eastAsia" w:ascii="宋体" w:hAnsi="宋体" w:eastAsia="宋体" w:cs="宋体"/>
          <w:b/>
          <w:bCs/>
          <w:color w:val="000000"/>
          <w:kern w:val="0"/>
          <w:sz w:val="21"/>
          <w:szCs w:val="21"/>
        </w:rPr>
        <w:t>：投标人应保障投标文件中提供的相关证明材料的真实性，如发现虚假应标，除上报财政部门进行相应处罚外，采购人有权将经查实虚假应标的有关材料上报至行政主管部门并通报给本地区其他医疗机构，并将投标人及制造商（如涉及到）列入本单位不诚信企业名单，后续其他采购活动开展时将予以着重考量。</w:t>
      </w:r>
    </w:p>
    <w:p w14:paraId="7FC8DC26">
      <w:pPr>
        <w:pStyle w:val="174"/>
        <w:widowControl/>
        <w:spacing w:line="360" w:lineRule="auto"/>
        <w:jc w:val="both"/>
        <w:rPr>
          <w:rStyle w:val="42"/>
          <w:rFonts w:hint="eastAsia" w:ascii="黑体" w:hAnsi="黑体" w:eastAsia="黑体" w:cs="黑体"/>
          <w:b/>
          <w:bCs/>
          <w:color w:val="auto"/>
          <w:spacing w:val="30"/>
          <w:kern w:val="0"/>
          <w:sz w:val="21"/>
          <w:szCs w:val="21"/>
          <w:lang w:val="en-US" w:eastAsia="zh-CN" w:bidi="ar-SA"/>
        </w:rPr>
      </w:pPr>
    </w:p>
    <w:p w14:paraId="2ECE29D3">
      <w:pPr>
        <w:pStyle w:val="174"/>
        <w:widowControl/>
        <w:jc w:val="both"/>
        <w:rPr>
          <w:rStyle w:val="42"/>
          <w:rFonts w:hint="eastAsia" w:ascii="黑体" w:hAnsi="黑体" w:eastAsia="黑体" w:cs="黑体"/>
          <w:b/>
          <w:bCs/>
          <w:color w:val="auto"/>
          <w:spacing w:val="30"/>
          <w:kern w:val="0"/>
          <w:sz w:val="28"/>
          <w:szCs w:val="28"/>
          <w:lang w:val="en-US" w:eastAsia="zh-CN" w:bidi="ar-SA"/>
        </w:rPr>
      </w:pPr>
    </w:p>
    <w:p w14:paraId="753ECA54">
      <w:pPr>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br w:type="page"/>
      </w:r>
    </w:p>
    <w:p w14:paraId="194D6EA8">
      <w:pPr>
        <w:widowControl w:val="0"/>
        <w:tabs>
          <w:tab w:val="left" w:pos="1342"/>
        </w:tabs>
        <w:spacing w:before="67" w:line="288" w:lineRule="auto"/>
        <w:ind w:left="241" w:firstLine="0" w:firstLineChars="0"/>
        <w:jc w:val="center"/>
        <w:textAlignment w:val="baseline"/>
        <w:outlineLvl w:val="1"/>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t>第三节 商务参数要求</w:t>
      </w:r>
    </w:p>
    <w:p w14:paraId="6659554B">
      <w:pPr>
        <w:keepNext w:val="0"/>
        <w:keepLines w:val="0"/>
        <w:pageBreakBefore w:val="0"/>
        <w:numPr>
          <w:ilvl w:val="0"/>
          <w:numId w:val="0"/>
        </w:numPr>
        <w:kinsoku/>
        <w:wordWrap/>
        <w:overflowPunct/>
        <w:topLinePunct w:val="0"/>
        <w:autoSpaceDE/>
        <w:autoSpaceDN/>
        <w:bidi w:val="0"/>
        <w:adjustRightInd w:val="0"/>
        <w:snapToGrid w:val="0"/>
        <w:spacing w:before="156" w:beforeLines="50" w:line="460" w:lineRule="exact"/>
        <w:ind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lang w:eastAsia="zh-CN"/>
        </w:rPr>
        <w:t>一</w:t>
      </w:r>
      <w:r>
        <w:rPr>
          <w:rFonts w:hint="eastAsia" w:ascii="宋体" w:hAnsi="宋体" w:eastAsia="宋体" w:cs="宋体"/>
          <w:b/>
          <w:sz w:val="21"/>
          <w:szCs w:val="21"/>
        </w:rPr>
        <w:t>、验收标准和方法</w:t>
      </w:r>
    </w:p>
    <w:p w14:paraId="1EEFB1F9">
      <w:pPr>
        <w:keepNext w:val="0"/>
        <w:keepLines w:val="0"/>
        <w:pageBreakBefore w:val="0"/>
        <w:numPr>
          <w:ilvl w:val="0"/>
          <w:numId w:val="11"/>
        </w:numPr>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项目验收国家有强制性规定的，按国家规定执行，验收报告做为申请付款的凭证之一。</w:t>
      </w:r>
    </w:p>
    <w:p w14:paraId="29DF570C">
      <w:pPr>
        <w:keepNext w:val="0"/>
        <w:keepLines w:val="0"/>
        <w:pageBreakBefore w:val="0"/>
        <w:numPr>
          <w:ilvl w:val="0"/>
          <w:numId w:val="11"/>
        </w:numPr>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项目验收不合格，由</w:t>
      </w:r>
      <w:r>
        <w:rPr>
          <w:rFonts w:hint="eastAsia" w:ascii="宋体" w:hAnsi="宋体" w:eastAsia="宋体" w:cs="宋体"/>
          <w:bCs/>
          <w:color w:val="000000"/>
          <w:sz w:val="21"/>
          <w:szCs w:val="21"/>
        </w:rPr>
        <w:t>中标供应商</w:t>
      </w:r>
      <w:r>
        <w:rPr>
          <w:rFonts w:hint="eastAsia" w:ascii="宋体" w:hAnsi="宋体" w:eastAsia="宋体" w:cs="宋体"/>
          <w:bCs/>
          <w:sz w:val="21"/>
          <w:szCs w:val="21"/>
          <w:lang w:val="en-US" w:eastAsia="zh-CN"/>
        </w:rPr>
        <w:t>更换合格产品</w:t>
      </w:r>
      <w:r>
        <w:rPr>
          <w:rFonts w:hint="eastAsia" w:ascii="宋体" w:hAnsi="宋体" w:eastAsia="宋体" w:cs="宋体"/>
          <w:bCs/>
          <w:sz w:val="21"/>
          <w:szCs w:val="21"/>
        </w:rPr>
        <w:t>，再行验收以及给采购人造成的损失等费用由</w:t>
      </w:r>
      <w:r>
        <w:rPr>
          <w:rFonts w:hint="eastAsia" w:ascii="宋体" w:hAnsi="宋体" w:eastAsia="宋体" w:cs="宋体"/>
          <w:bCs/>
          <w:color w:val="000000"/>
          <w:sz w:val="21"/>
          <w:szCs w:val="21"/>
        </w:rPr>
        <w:t>中标供应商</w:t>
      </w:r>
      <w:r>
        <w:rPr>
          <w:rFonts w:hint="eastAsia" w:ascii="宋体" w:hAnsi="宋体" w:eastAsia="宋体" w:cs="宋体"/>
          <w:bCs/>
          <w:sz w:val="21"/>
          <w:szCs w:val="21"/>
        </w:rPr>
        <w:t>承担。连续两次项目验收不合格的，采购人可终止合同，另行按规定选择其他供应商采购，由此带来的一切损失由成交人承担。</w:t>
      </w:r>
    </w:p>
    <w:p w14:paraId="4DFF673F">
      <w:pPr>
        <w:keepNext w:val="0"/>
        <w:keepLines w:val="0"/>
        <w:pageBreakBefore w:val="0"/>
        <w:numPr>
          <w:ilvl w:val="0"/>
          <w:numId w:val="11"/>
        </w:numPr>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color w:val="000000"/>
          <w:sz w:val="21"/>
          <w:szCs w:val="21"/>
        </w:rPr>
        <w:t>采购人与中标供应商双方签署采购货物验收单</w:t>
      </w:r>
      <w:r>
        <w:rPr>
          <w:rFonts w:hint="eastAsia" w:ascii="宋体" w:hAnsi="宋体" w:eastAsia="宋体" w:cs="宋体"/>
          <w:bCs/>
          <w:color w:val="000000"/>
          <w:sz w:val="21"/>
          <w:szCs w:val="21"/>
          <w:highlight w:val="none"/>
          <w:lang w:val="en-US" w:eastAsia="zh-CN"/>
        </w:rPr>
        <w:t>并装机完成后运行十五个工作日才开始验收</w:t>
      </w:r>
      <w:r>
        <w:rPr>
          <w:rFonts w:hint="eastAsia" w:ascii="宋体" w:hAnsi="宋体" w:eastAsia="宋体" w:cs="宋体"/>
          <w:bCs/>
          <w:color w:val="000000"/>
          <w:sz w:val="21"/>
          <w:szCs w:val="21"/>
          <w:highlight w:val="none"/>
        </w:rPr>
        <w:t>，验收合格</w:t>
      </w:r>
      <w:r>
        <w:rPr>
          <w:rFonts w:hint="eastAsia" w:ascii="宋体" w:hAnsi="宋体" w:eastAsia="宋体" w:cs="宋体"/>
          <w:bCs/>
          <w:color w:val="000000"/>
          <w:sz w:val="21"/>
          <w:szCs w:val="21"/>
          <w:highlight w:val="none"/>
          <w:lang w:val="en-US" w:eastAsia="zh-CN"/>
        </w:rPr>
        <w:t>后</w:t>
      </w:r>
      <w:r>
        <w:rPr>
          <w:rFonts w:hint="eastAsia" w:ascii="宋体" w:hAnsi="宋体" w:eastAsia="宋体" w:cs="宋体"/>
          <w:bCs/>
          <w:color w:val="000000"/>
          <w:sz w:val="21"/>
          <w:szCs w:val="21"/>
          <w:highlight w:val="none"/>
        </w:rPr>
        <w:t>开始计算质量保证期。</w:t>
      </w:r>
    </w:p>
    <w:p w14:paraId="0943F35F">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lang w:eastAsia="zh-CN"/>
        </w:rPr>
        <w:t>二</w:t>
      </w:r>
      <w:r>
        <w:rPr>
          <w:rFonts w:hint="eastAsia" w:ascii="宋体" w:hAnsi="宋体" w:eastAsia="宋体" w:cs="宋体"/>
          <w:b/>
          <w:color w:val="000000"/>
          <w:sz w:val="21"/>
          <w:szCs w:val="21"/>
          <w:highlight w:val="none"/>
        </w:rPr>
        <w:t>、售后服务</w:t>
      </w:r>
    </w:p>
    <w:p w14:paraId="745A1314">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bCs/>
          <w:color w:val="000000"/>
          <w:sz w:val="21"/>
          <w:szCs w:val="21"/>
          <w:highlight w:val="none"/>
        </w:rPr>
        <w:t>技术支持：</w:t>
      </w:r>
      <w:r>
        <w:rPr>
          <w:rFonts w:hint="eastAsia" w:ascii="宋体" w:hAnsi="宋体" w:eastAsia="宋体" w:cs="宋体"/>
          <w:iCs/>
          <w:color w:val="000000"/>
          <w:kern w:val="0"/>
          <w:sz w:val="21"/>
          <w:szCs w:val="21"/>
          <w:highlight w:val="none"/>
          <w:lang w:val="en-US" w:eastAsia="zh-CN"/>
        </w:rPr>
        <w:t>提供7*24小时电话、E-mail技术支持</w:t>
      </w:r>
      <w:r>
        <w:rPr>
          <w:rFonts w:hint="eastAsia" w:ascii="宋体" w:hAnsi="宋体" w:eastAsia="宋体" w:cs="宋体"/>
          <w:bCs/>
          <w:color w:val="000000"/>
          <w:sz w:val="21"/>
          <w:szCs w:val="21"/>
          <w:highlight w:val="none"/>
        </w:rPr>
        <w:t>。</w:t>
      </w:r>
    </w:p>
    <w:p w14:paraId="02A2252B">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bCs/>
          <w:color w:val="000000"/>
          <w:sz w:val="21"/>
          <w:szCs w:val="21"/>
          <w:highlight w:val="none"/>
        </w:rPr>
        <w:t>故障响应：</w:t>
      </w:r>
      <w:r>
        <w:rPr>
          <w:rFonts w:hint="eastAsia" w:ascii="宋体" w:hAnsi="宋体" w:eastAsia="宋体" w:cs="宋体"/>
          <w:iCs/>
          <w:color w:val="000000"/>
          <w:kern w:val="0"/>
          <w:sz w:val="21"/>
          <w:szCs w:val="21"/>
          <w:highlight w:val="none"/>
          <w:lang w:val="en-US" w:eastAsia="zh-CN"/>
        </w:rPr>
        <w:t>一般性故障需在2小时内解决，重大故障需在12小时内解决，特别重大故障需在24小时内解决</w:t>
      </w:r>
      <w:r>
        <w:rPr>
          <w:rFonts w:hint="eastAsia" w:ascii="宋体" w:hAnsi="宋体" w:eastAsia="宋体" w:cs="宋体"/>
          <w:bCs/>
          <w:color w:val="000000"/>
          <w:sz w:val="21"/>
          <w:szCs w:val="21"/>
          <w:highlight w:val="none"/>
        </w:rPr>
        <w:t>。</w:t>
      </w:r>
    </w:p>
    <w:p w14:paraId="67027A95">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iCs/>
          <w:color w:val="000000" w:themeColor="text1"/>
          <w:kern w:val="0"/>
          <w:sz w:val="21"/>
          <w:szCs w:val="21"/>
          <w:highlight w:val="none"/>
          <w:lang w:val="en-US" w:eastAsia="zh-CN"/>
          <w14:textFill>
            <w14:solidFill>
              <w14:schemeClr w14:val="tx1"/>
            </w14:solidFill>
          </w14:textFill>
        </w:rPr>
        <w:t>质保期内，中标人对产品质量实行三包，负责维修或更换（含在投标总价中，采购人不再另行支付费用、人为因素或不可抗力造成事故除外）</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质保期满后，采购人有权选择自行维修保养或委托中标人继续维修保养，不管采取何种形式，</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中标人必须保证能及时、优惠地为采购人提供所需的零配件，并在售后服务方案中进行承诺</w:t>
      </w:r>
      <w:r>
        <w:rPr>
          <w:rFonts w:hint="eastAsia" w:ascii="宋体" w:hAnsi="宋体" w:eastAsia="宋体" w:cs="宋体"/>
          <w:color w:val="000000" w:themeColor="text1"/>
          <w:sz w:val="21"/>
          <w:szCs w:val="21"/>
          <w:highlight w:val="none"/>
          <w14:textFill>
            <w14:solidFill>
              <w14:schemeClr w14:val="tx1"/>
            </w14:solidFill>
          </w14:textFill>
        </w:rPr>
        <w:t>。</w:t>
      </w:r>
    </w:p>
    <w:p w14:paraId="483B3D6D">
      <w:pPr>
        <w:keepNext w:val="0"/>
        <w:keepLines w:val="0"/>
        <w:pageBreakBefore w:val="0"/>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4、备品备件：投标人应在投标文件中提供按出厂标准供应的备品备件清单（包括易损件）。</w:t>
      </w:r>
    </w:p>
    <w:p w14:paraId="00D929B0">
      <w:pPr>
        <w:keepNext w:val="0"/>
        <w:keepLines w:val="0"/>
        <w:pageBreakBefore w:val="0"/>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5、特殊工具：投标人应向采购人提供安装、维修所需的特殊专用工具及清单，其费用应包括在投标价格内。</w:t>
      </w:r>
    </w:p>
    <w:p w14:paraId="419AECF1">
      <w:pPr>
        <w:keepNext w:val="0"/>
        <w:keepLines w:val="0"/>
        <w:pageBreakBefore w:val="0"/>
        <w:widowControl w:val="0"/>
        <w:kinsoku/>
        <w:wordWrap/>
        <w:overflowPunct/>
        <w:topLinePunct w:val="0"/>
        <w:autoSpaceDE/>
        <w:autoSpaceDN/>
        <w:bidi w:val="0"/>
        <w:adjustRightInd w:val="0"/>
        <w:snapToGrid w:val="0"/>
        <w:spacing w:before="156" w:beforeLines="50" w:line="460" w:lineRule="exact"/>
        <w:ind w:left="0" w:leftChars="0" w:firstLine="420" w:firstLineChars="200"/>
        <w:jc w:val="both"/>
        <w:textAlignment w:val="auto"/>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6、提供详细配置清单、易耗品清单及单价，提供所投产品厂方技术参数、图片。</w:t>
      </w:r>
    </w:p>
    <w:p w14:paraId="63D65218">
      <w:pPr>
        <w:keepNext w:val="0"/>
        <w:keepLines w:val="0"/>
        <w:pageBreakBefore w:val="0"/>
        <w:widowControl w:val="0"/>
        <w:kinsoku/>
        <w:wordWrap/>
        <w:overflowPunct/>
        <w:topLinePunct w:val="0"/>
        <w:autoSpaceDE/>
        <w:autoSpaceDN/>
        <w:bidi w:val="0"/>
        <w:adjustRightInd w:val="0"/>
        <w:snapToGrid w:val="0"/>
        <w:spacing w:before="156" w:beforeLines="50" w:line="460" w:lineRule="exact"/>
        <w:ind w:left="0" w:leftChars="0" w:firstLine="420" w:firstLineChars="20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7</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备件，资料及技术服务</w:t>
      </w:r>
    </w:p>
    <w:p w14:paraId="33CDAE5F">
      <w:pPr>
        <w:pStyle w:val="10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7.1</w:t>
      </w:r>
      <w:r>
        <w:rPr>
          <w:rFonts w:hint="eastAsia" w:asciiTheme="minorEastAsia" w:hAnsiTheme="minorEastAsia" w:eastAsiaTheme="minorEastAsia" w:cstheme="minorEastAsia"/>
          <w:color w:val="auto"/>
          <w:sz w:val="21"/>
          <w:szCs w:val="21"/>
        </w:rPr>
        <w:t>为保证设备正常运行，卖方应在中国境内方便的地点设置备件库，存入所有必须的备件</w:t>
      </w:r>
    </w:p>
    <w:p w14:paraId="0EB610BF">
      <w:pPr>
        <w:pStyle w:val="10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7.2</w:t>
      </w:r>
      <w:r>
        <w:rPr>
          <w:rFonts w:hint="eastAsia" w:asciiTheme="minorEastAsia" w:hAnsiTheme="minorEastAsia" w:eastAsiaTheme="minorEastAsia" w:cstheme="minorEastAsia"/>
          <w:color w:val="auto"/>
          <w:sz w:val="21"/>
          <w:szCs w:val="21"/>
        </w:rPr>
        <w:t>卖方须向买方提供操作手册一套。</w:t>
      </w:r>
    </w:p>
    <w:p w14:paraId="3CFFEA4E">
      <w:pPr>
        <w:pStyle w:val="10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7.3</w:t>
      </w:r>
      <w:r>
        <w:rPr>
          <w:rFonts w:hint="eastAsia" w:asciiTheme="minorEastAsia" w:hAnsiTheme="minorEastAsia" w:eastAsiaTheme="minorEastAsia" w:cstheme="minorEastAsia"/>
          <w:color w:val="auto"/>
          <w:sz w:val="21"/>
          <w:szCs w:val="21"/>
        </w:rPr>
        <w:t>卖方须向买方提供设备的运行、安装、使用环境要求</w:t>
      </w:r>
    </w:p>
    <w:p w14:paraId="0C1B1816">
      <w:pPr>
        <w:pStyle w:val="10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7.4</w:t>
      </w:r>
      <w:r>
        <w:rPr>
          <w:rFonts w:hint="eastAsia" w:asciiTheme="minorEastAsia" w:hAnsiTheme="minorEastAsia" w:eastAsiaTheme="minorEastAsia" w:cstheme="minorEastAsia"/>
          <w:color w:val="auto"/>
          <w:sz w:val="21"/>
          <w:szCs w:val="21"/>
        </w:rPr>
        <w:t>在货物到达使用单位后，卖方应在7天内派工程技术人员到达现场，在买方技术人员在场的情况下开箱清点货物，组织安装调试，并承担因此发生的一切费用。</w:t>
      </w:r>
    </w:p>
    <w:p w14:paraId="246A9059">
      <w:pPr>
        <w:pStyle w:val="10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7.5</w:t>
      </w:r>
      <w:r>
        <w:rPr>
          <w:rFonts w:hint="eastAsia" w:asciiTheme="minorEastAsia" w:hAnsiTheme="minorEastAsia" w:eastAsiaTheme="minorEastAsia" w:cstheme="minorEastAsia"/>
          <w:color w:val="auto"/>
          <w:sz w:val="21"/>
          <w:szCs w:val="21"/>
        </w:rPr>
        <w:t>设备安装后，医院按国家标准及厂方标准进行质量验收。</w:t>
      </w:r>
    </w:p>
    <w:p w14:paraId="60B47927">
      <w:pPr>
        <w:pStyle w:val="10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7.6</w:t>
      </w:r>
      <w:r>
        <w:rPr>
          <w:rFonts w:hint="eastAsia" w:asciiTheme="minorEastAsia" w:hAnsiTheme="minorEastAsia" w:eastAsiaTheme="minorEastAsia" w:cstheme="minorEastAsia"/>
          <w:color w:val="auto"/>
          <w:sz w:val="21"/>
          <w:szCs w:val="21"/>
        </w:rPr>
        <w:t>在中国境内有相应的零配件保税库和维修机构。</w:t>
      </w:r>
    </w:p>
    <w:p w14:paraId="31D67429">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firstLine="420" w:firstLineChars="200"/>
        <w:contextualSpacing/>
        <w:textAlignment w:val="auto"/>
        <w:rPr>
          <w:rFonts w:hint="eastAsia" w:asciiTheme="minorEastAsia" w:hAnsiTheme="minorEastAsia" w:eastAsiaTheme="minorEastAsia" w:cstheme="minorEastAsia"/>
          <w:color w:val="auto"/>
          <w:kern w:val="2"/>
          <w:sz w:val="21"/>
          <w:szCs w:val="21"/>
          <w:lang w:val="en-US" w:eastAsia="zh-CN" w:bidi="ar-SA"/>
          <w14:ligatures w14:val="standardContextual"/>
        </w:rPr>
      </w:pP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技术培训</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要求网络培训：具有专用的网址或公众号，在线提供高级临床应用直播及产品操作指导。</w:t>
      </w:r>
    </w:p>
    <w:p w14:paraId="46F0B10D">
      <w:pPr>
        <w:keepNext w:val="0"/>
        <w:keepLines w:val="0"/>
        <w:pageBreakBefore w:val="0"/>
        <w:widowControl w:val="0"/>
        <w:kinsoku/>
        <w:wordWrap/>
        <w:overflowPunct/>
        <w:topLinePunct w:val="0"/>
        <w:autoSpaceDE/>
        <w:autoSpaceDN/>
        <w:bidi w:val="0"/>
        <w:adjustRightInd w:val="0"/>
        <w:snapToGrid w:val="0"/>
        <w:spacing w:before="156" w:beforeLines="50" w:line="460" w:lineRule="exact"/>
        <w:ind w:left="0" w:leftChars="0" w:firstLine="420" w:firstLineChars="200"/>
        <w:jc w:val="both"/>
        <w:textAlignment w:val="auto"/>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pPr>
    </w:p>
    <w:p w14:paraId="7F2C5574">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三</w:t>
      </w: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b/>
          <w:bCs/>
          <w:iCs/>
          <w:color w:val="000000" w:themeColor="text1"/>
          <w:kern w:val="0"/>
          <w:sz w:val="21"/>
          <w:szCs w:val="21"/>
          <w:highlight w:val="none"/>
          <w14:textFill>
            <w14:solidFill>
              <w14:schemeClr w14:val="tx1"/>
            </w14:solidFill>
          </w14:textFill>
        </w:rPr>
        <w:t>质量保证和质保期（技术参数有规定的以参数内容为准）</w:t>
      </w:r>
    </w:p>
    <w:p w14:paraId="3702196C">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1、中标人提供的产品应是原装正品，符合国家质量检测标准，具有出厂合格证</w:t>
      </w:r>
      <w:r>
        <w:rPr>
          <w:rFonts w:hint="eastAsia" w:ascii="宋体" w:hAnsi="宋体" w:eastAsia="宋体" w:cs="宋体"/>
          <w:bCs/>
          <w:color w:val="auto"/>
          <w:sz w:val="21"/>
          <w:szCs w:val="21"/>
          <w:highlight w:val="none"/>
        </w:rPr>
        <w:t>或国家鉴定合格证</w:t>
      </w:r>
      <w:r>
        <w:rPr>
          <w:rFonts w:hint="eastAsia" w:ascii="宋体" w:hAnsi="宋体" w:eastAsia="宋体" w:cs="宋体"/>
          <w:bCs/>
          <w:color w:val="000000" w:themeColor="text1"/>
          <w:sz w:val="21"/>
          <w:szCs w:val="21"/>
          <w:highlight w:val="none"/>
          <w14:textFill>
            <w14:solidFill>
              <w14:schemeClr w14:val="tx1"/>
            </w14:solidFill>
          </w14:textFill>
        </w:rPr>
        <w:t>；</w:t>
      </w:r>
    </w:p>
    <w:p w14:paraId="6E1E6503">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lang w:eastAsia="zh-CN"/>
          <w14:textFill>
            <w14:solidFill>
              <w14:schemeClr w14:val="tx1"/>
            </w14:solidFill>
          </w14:textFill>
        </w:rPr>
        <w:t>中标供应商所提供的设备及相关配套设备装置在送达采购人之时</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其</w:t>
      </w:r>
      <w:r>
        <w:rPr>
          <w:rFonts w:hint="eastAsia" w:ascii="宋体" w:hAnsi="宋体" w:eastAsia="宋体" w:cs="宋体"/>
          <w:bCs/>
          <w:color w:val="000000" w:themeColor="text1"/>
          <w:sz w:val="21"/>
          <w:szCs w:val="21"/>
          <w:highlight w:val="none"/>
          <w:lang w:eastAsia="zh-CN"/>
          <w14:textFill>
            <w14:solidFill>
              <w14:schemeClr w14:val="tx1"/>
            </w14:solidFill>
          </w14:textFill>
        </w:rPr>
        <w:t>国产产品生产日期不得超过</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lang w:eastAsia="zh-CN"/>
          <w14:textFill>
            <w14:solidFill>
              <w14:schemeClr w14:val="tx1"/>
            </w14:solidFill>
          </w14:textFill>
        </w:rPr>
        <w:t>个月，否则采购人有权要求中标供应商换货，若中标供应商不能提供国产产品生产日期在</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lang w:eastAsia="zh-CN"/>
          <w14:textFill>
            <w14:solidFill>
              <w14:schemeClr w14:val="tx1"/>
            </w14:solidFill>
          </w14:textFill>
        </w:rPr>
        <w:t>个月内的设备，采购人有权取消其中标资格。</w:t>
      </w:r>
    </w:p>
    <w:p w14:paraId="0A31CA31">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3、需制造商提供原厂售后维保及技术支持的授权书（授权书格式自拟）。</w:t>
      </w:r>
    </w:p>
    <w:p w14:paraId="012EF160">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、整机质保期</w:t>
      </w:r>
      <w:r>
        <w:rPr>
          <w:rFonts w:hint="eastAsia" w:ascii="宋体" w:hAnsi="宋体" w:eastAsia="宋体" w:cs="宋体"/>
          <w:bCs/>
          <w:color w:val="auto"/>
          <w:sz w:val="21"/>
          <w:szCs w:val="21"/>
          <w:highlight w:val="none"/>
          <w:lang w:val="en-US" w:eastAsia="zh-CN"/>
        </w:rPr>
        <w:t>为</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年。</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生产厂家或中标人质保期优于招标文件规定的，按生产厂家或中标人的质保承诺提供质保服务</w:t>
      </w:r>
      <w:r>
        <w:rPr>
          <w:rFonts w:hint="eastAsia" w:ascii="宋体" w:hAnsi="宋体" w:eastAsia="宋体" w:cs="宋体"/>
          <w:bCs/>
          <w:color w:val="000000" w:themeColor="text1"/>
          <w:sz w:val="21"/>
          <w:szCs w:val="21"/>
          <w:highlight w:val="none"/>
          <w14:textFill>
            <w14:solidFill>
              <w14:schemeClr w14:val="tx1"/>
            </w14:solidFill>
          </w14:textFill>
        </w:rPr>
        <w:t>质保期内</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质保期内，如货物故障导致停机时间连续超过三个工作日，则</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每超出一个停机工作日补偿采购保修期四日</w:t>
      </w:r>
      <w:r>
        <w:rPr>
          <w:rFonts w:hint="eastAsia" w:ascii="宋体" w:hAnsi="宋体" w:eastAsia="宋体" w:cs="宋体"/>
          <w:bCs/>
          <w:color w:val="000000" w:themeColor="text1"/>
          <w:sz w:val="21"/>
          <w:szCs w:val="21"/>
          <w:highlight w:val="none"/>
          <w14:textFill>
            <w14:solidFill>
              <w14:schemeClr w14:val="tx1"/>
            </w14:solidFill>
          </w14:textFill>
        </w:rPr>
        <w:t>。质保期内免费维修与更换有缺陷的货物或部件，质保期满后只收取投标时承诺的备品备件成本费用。每次维护维修后，应及时向采购人提供相关记录。</w:t>
      </w:r>
    </w:p>
    <w:p w14:paraId="34828CEC">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5</w:t>
      </w:r>
      <w:r>
        <w:rPr>
          <w:rFonts w:hint="eastAsia" w:ascii="宋体" w:hAnsi="宋体" w:eastAsia="宋体" w:cs="宋体"/>
          <w:bCs/>
          <w:color w:val="000000" w:themeColor="text1"/>
          <w:sz w:val="21"/>
          <w:szCs w:val="21"/>
          <w14:textFill>
            <w14:solidFill>
              <w14:schemeClr w14:val="tx1"/>
            </w14:solidFill>
          </w14:textFill>
        </w:rPr>
        <w:t>、质保期从最终验收合格之日起计算。质保期内所有设备维护等要求免费上门服务。</w:t>
      </w:r>
    </w:p>
    <w:p w14:paraId="0C89EB03">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6</w:t>
      </w:r>
      <w:r>
        <w:rPr>
          <w:rFonts w:hint="eastAsia" w:ascii="宋体" w:hAnsi="宋体" w:eastAsia="宋体" w:cs="宋体"/>
          <w:bCs/>
          <w:color w:val="000000" w:themeColor="text1"/>
          <w:sz w:val="21"/>
          <w:szCs w:val="21"/>
          <w14:textFill>
            <w14:solidFill>
              <w14:schemeClr w14:val="tx1"/>
            </w14:solidFill>
          </w14:textFill>
        </w:rPr>
        <w:t>、投标人提供的质保和售后要求超出厂家正常质保期限和要求的，中标人收到中标通知书后10天内提交有效证明确保能履行承诺。否则，投标无效，取消中标资格。</w:t>
      </w:r>
    </w:p>
    <w:p w14:paraId="548FEAD6">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四、人员培训</w:t>
      </w:r>
    </w:p>
    <w:p w14:paraId="7D66C0B8">
      <w:pPr>
        <w:keepNext w:val="0"/>
        <w:keepLines w:val="0"/>
        <w:pageBreakBefore w:val="0"/>
        <w:widowControl/>
        <w:numPr>
          <w:ilvl w:val="1"/>
          <w:numId w:val="0"/>
        </w:numPr>
        <w:kinsoku/>
        <w:wordWrap/>
        <w:overflowPunct/>
        <w:topLinePunct w:val="0"/>
        <w:autoSpaceDE/>
        <w:autoSpaceDN/>
        <w:bidi w:val="0"/>
        <w:spacing w:line="460" w:lineRule="exact"/>
        <w:ind w:left="0" w:leftChars="0" w:firstLine="420" w:firstLineChars="200"/>
        <w:textAlignment w:val="auto"/>
        <w:rPr>
          <w:rFonts w:hint="eastAsia" w:ascii="宋体" w:hAnsi="宋体" w:eastAsia="宋体" w:cs="宋体"/>
          <w:iCs/>
          <w:color w:val="000000"/>
          <w:kern w:val="0"/>
          <w:sz w:val="21"/>
          <w:szCs w:val="21"/>
          <w:highlight w:val="none"/>
        </w:rPr>
      </w:pPr>
      <w:r>
        <w:rPr>
          <w:rFonts w:hint="eastAsia" w:ascii="宋体" w:hAnsi="宋体" w:eastAsia="宋体" w:cs="宋体"/>
          <w:iCs/>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iCs/>
          <w:color w:val="000000" w:themeColor="text1"/>
          <w:kern w:val="0"/>
          <w:sz w:val="21"/>
          <w:szCs w:val="21"/>
          <w:highlight w:val="none"/>
          <w:lang w:val="en-US" w:eastAsia="zh-CN" w:bidi="ar-SA"/>
          <w14:textFill>
            <w14:solidFill>
              <w14:schemeClr w14:val="tx1"/>
            </w14:solidFill>
          </w14:textFill>
        </w:rPr>
        <w:t>、</w:t>
      </w:r>
      <w:r>
        <w:rPr>
          <w:rFonts w:hint="eastAsia" w:ascii="宋体" w:hAnsi="宋体" w:eastAsia="宋体" w:cs="宋体"/>
          <w:iCs/>
          <w:color w:val="000000" w:themeColor="text1"/>
          <w:kern w:val="0"/>
          <w:sz w:val="21"/>
          <w:szCs w:val="21"/>
          <w:highlight w:val="none"/>
          <w14:textFill>
            <w14:solidFill>
              <w14:schemeClr w14:val="tx1"/>
            </w14:solidFill>
          </w14:textFill>
        </w:rPr>
        <w:t>卖方负责在现场向买方技术人员（包括医师、技师以及维修工程师）直接提供保修、维修、使用培训服务。设备人员专项进修的具体培训时间、地点另行协商，至买方技术人员能正常操作设备的各种功能、简单</w:t>
      </w:r>
      <w:r>
        <w:rPr>
          <w:rFonts w:hint="eastAsia" w:ascii="宋体" w:hAnsi="宋体" w:eastAsia="宋体" w:cs="宋体"/>
          <w:iCs/>
          <w:color w:val="000000"/>
          <w:kern w:val="0"/>
          <w:sz w:val="21"/>
          <w:szCs w:val="21"/>
          <w:highlight w:val="none"/>
        </w:rPr>
        <w:t>的故障排除为止，所需费用由卖方负责。</w:t>
      </w:r>
    </w:p>
    <w:p w14:paraId="630DB202">
      <w:pPr>
        <w:keepNext w:val="0"/>
        <w:keepLines w:val="0"/>
        <w:pageBreakBefore w:val="0"/>
        <w:widowControl/>
        <w:numPr>
          <w:ilvl w:val="1"/>
          <w:numId w:val="0"/>
        </w:numPr>
        <w:kinsoku/>
        <w:wordWrap/>
        <w:overflowPunct/>
        <w:topLinePunct w:val="0"/>
        <w:autoSpaceDE/>
        <w:autoSpaceDN/>
        <w:bidi w:val="0"/>
        <w:spacing w:line="460" w:lineRule="exact"/>
        <w:ind w:left="0" w:leftChars="0" w:firstLine="420" w:firstLineChars="200"/>
        <w:textAlignment w:val="auto"/>
        <w:rPr>
          <w:rFonts w:hint="eastAsia" w:ascii="宋体" w:hAnsi="宋体" w:eastAsia="宋体" w:cs="宋体"/>
          <w:iCs/>
          <w:color w:val="000000"/>
          <w:kern w:val="0"/>
          <w:sz w:val="21"/>
          <w:szCs w:val="21"/>
        </w:rPr>
      </w:pPr>
      <w:r>
        <w:rPr>
          <w:rFonts w:hint="eastAsia" w:ascii="宋体" w:hAnsi="宋体" w:eastAsia="宋体" w:cs="宋体"/>
          <w:iCs/>
          <w:color w:val="000000"/>
          <w:kern w:val="0"/>
          <w:sz w:val="21"/>
          <w:szCs w:val="21"/>
          <w:highlight w:val="none"/>
          <w:lang w:val="en-US" w:eastAsia="zh-CN"/>
        </w:rPr>
        <w:t>2、</w:t>
      </w:r>
      <w:r>
        <w:rPr>
          <w:rFonts w:hint="eastAsia" w:ascii="宋体" w:hAnsi="宋体" w:eastAsia="宋体" w:cs="宋体"/>
          <w:iCs/>
          <w:color w:val="000000"/>
          <w:kern w:val="0"/>
          <w:sz w:val="21"/>
          <w:szCs w:val="21"/>
          <w:highlight w:val="none"/>
        </w:rPr>
        <w:t>卖方在投标文</w:t>
      </w:r>
      <w:r>
        <w:rPr>
          <w:rFonts w:hint="eastAsia" w:ascii="宋体" w:hAnsi="宋体" w:eastAsia="宋体" w:cs="宋体"/>
          <w:iCs/>
          <w:color w:val="000000"/>
          <w:kern w:val="0"/>
          <w:sz w:val="21"/>
          <w:szCs w:val="21"/>
        </w:rPr>
        <w:t>件中提供详细的培训计划。</w:t>
      </w:r>
    </w:p>
    <w:p w14:paraId="7FC2F561">
      <w:pPr>
        <w:keepNext w:val="0"/>
        <w:keepLines w:val="0"/>
        <w:pageBreakBefore w:val="0"/>
        <w:widowControl/>
        <w:numPr>
          <w:ilvl w:val="1"/>
          <w:numId w:val="0"/>
        </w:numPr>
        <w:kinsoku/>
        <w:wordWrap/>
        <w:overflowPunct/>
        <w:topLinePunct w:val="0"/>
        <w:autoSpaceDE/>
        <w:autoSpaceDN/>
        <w:bidi w:val="0"/>
        <w:spacing w:line="460" w:lineRule="exact"/>
        <w:ind w:left="0" w:leftChars="0" w:firstLine="420" w:firstLineChars="200"/>
        <w:textAlignment w:val="auto"/>
        <w:rPr>
          <w:rFonts w:hint="eastAsia" w:ascii="宋体" w:hAnsi="宋体" w:eastAsia="宋体" w:cs="宋体"/>
          <w:bCs/>
          <w:color w:val="000000"/>
          <w:sz w:val="21"/>
          <w:szCs w:val="21"/>
          <w:lang w:val="en-US" w:eastAsia="zh-CN"/>
        </w:rPr>
      </w:pPr>
      <w:r>
        <w:rPr>
          <w:rFonts w:hint="eastAsia" w:ascii="宋体" w:hAnsi="宋体" w:eastAsia="宋体" w:cs="宋体"/>
          <w:iCs/>
          <w:color w:val="000000"/>
          <w:kern w:val="0"/>
          <w:sz w:val="21"/>
          <w:szCs w:val="21"/>
          <w:lang w:val="en-US" w:eastAsia="zh-CN" w:bidi="ar-SA"/>
        </w:rPr>
        <w:t>3、</w:t>
      </w:r>
      <w:r>
        <w:rPr>
          <w:rFonts w:hint="eastAsia" w:ascii="宋体" w:hAnsi="宋体" w:eastAsia="宋体" w:cs="宋体"/>
          <w:iCs/>
          <w:color w:val="000000"/>
          <w:kern w:val="0"/>
          <w:sz w:val="21"/>
          <w:szCs w:val="21"/>
        </w:rPr>
        <w:t>中标投标人应配置专业技术人员提供现场技术培训，保证使用人员能正常操作设备的各种功能；除现场培训外,在保修期内，厂方每年安排集中培训一次（含在投标总价中，采购人不再另行支付费用）。</w:t>
      </w:r>
    </w:p>
    <w:p w14:paraId="605334CA">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bCs w:val="0"/>
          <w:color w:val="000000"/>
          <w:sz w:val="21"/>
          <w:szCs w:val="21"/>
          <w:lang w:val="en-US" w:eastAsia="zh-CN"/>
        </w:rPr>
      </w:pPr>
      <w:r>
        <w:rPr>
          <w:rFonts w:hint="eastAsia" w:ascii="宋体" w:hAnsi="宋体" w:eastAsia="宋体" w:cs="宋体"/>
          <w:b/>
          <w:bCs w:val="0"/>
          <w:color w:val="000000"/>
          <w:sz w:val="21"/>
          <w:szCs w:val="21"/>
          <w:lang w:val="en-US" w:eastAsia="zh-CN"/>
        </w:rPr>
        <w:t>五、违约责任</w:t>
      </w:r>
    </w:p>
    <w:p w14:paraId="480D4591">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1、验收前如设备出现重大故障，导致更换整机，影响采购人项目开展或临床使用，由此引发的责任由中标人承担，采购人保留对中标人追究损失赔偿责任的权力。</w:t>
      </w:r>
    </w:p>
    <w:p w14:paraId="0000D461">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lang w:val="en-US" w:eastAsia="zh-CN"/>
        </w:rPr>
        <w:t>2、延期交货：如果中标人未能按合同规定的时间按期交货（不可抗力除外），中标人应向采购人支付违约金，每延期一天，按合同总额0.5%交付违约金，最多不超过延期交付的货物总额的10%。违约金从合同款项中扣除，合同款项不足的，中标人应补足。如果中标人在采购人书面同意的延期时间内仍不能交货，采购人有权解除合同，中标人方退还采购人已经支付的一切费用，并应按上述规定向采购人支付违约金（按合同总额的30%计算）。</w:t>
      </w:r>
    </w:p>
    <w:p w14:paraId="1F21528C">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六</w:t>
      </w:r>
      <w:r>
        <w:rPr>
          <w:rFonts w:hint="eastAsia" w:ascii="宋体" w:hAnsi="宋体" w:eastAsia="宋体" w:cs="宋体"/>
          <w:b/>
          <w:color w:val="000000"/>
          <w:sz w:val="21"/>
          <w:szCs w:val="21"/>
        </w:rPr>
        <w:t>、</w:t>
      </w:r>
      <w:r>
        <w:rPr>
          <w:rFonts w:hint="eastAsia" w:ascii="宋体" w:hAnsi="宋体" w:eastAsia="宋体" w:cs="宋体"/>
          <w:b/>
          <w:bCs/>
          <w:iCs/>
          <w:color w:val="000000"/>
          <w:kern w:val="0"/>
          <w:sz w:val="21"/>
          <w:szCs w:val="21"/>
        </w:rPr>
        <w:t>交付时间、地点及</w:t>
      </w:r>
      <w:r>
        <w:rPr>
          <w:rFonts w:hint="eastAsia" w:ascii="宋体" w:hAnsi="宋体" w:eastAsia="宋体" w:cs="宋体"/>
          <w:b/>
          <w:bCs/>
          <w:iCs/>
          <w:color w:val="000000"/>
          <w:kern w:val="0"/>
          <w:sz w:val="21"/>
          <w:szCs w:val="21"/>
          <w:lang w:val="en-US" w:eastAsia="zh-CN"/>
        </w:rPr>
        <w:t>结算和付款</w:t>
      </w:r>
      <w:r>
        <w:rPr>
          <w:rFonts w:hint="eastAsia" w:ascii="宋体" w:hAnsi="宋体" w:eastAsia="宋体" w:cs="宋体"/>
          <w:b/>
          <w:bCs/>
          <w:iCs/>
          <w:color w:val="000000"/>
          <w:kern w:val="0"/>
          <w:sz w:val="21"/>
          <w:szCs w:val="21"/>
        </w:rPr>
        <w:t>方式</w:t>
      </w:r>
    </w:p>
    <w:p w14:paraId="6A28CE1C">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1、交货时间与地点</w:t>
      </w:r>
    </w:p>
    <w:p w14:paraId="53F7977D">
      <w:pPr>
        <w:keepNext w:val="0"/>
        <w:keepLines w:val="0"/>
        <w:pageBreakBefore w:val="0"/>
        <w:kinsoku/>
        <w:wordWrap/>
        <w:overflowPunct/>
        <w:topLinePunct w:val="0"/>
        <w:autoSpaceDE/>
        <w:autoSpaceDN/>
        <w:bidi w:val="0"/>
        <w:adjustRightInd w:val="0"/>
        <w:snapToGrid w:val="0"/>
        <w:spacing w:line="460" w:lineRule="exact"/>
        <w:ind w:left="420" w:leftChars="20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Cs/>
          <w:color w:val="000000"/>
          <w:sz w:val="21"/>
          <w:szCs w:val="21"/>
        </w:rPr>
        <w:t>1.1交货时间：</w:t>
      </w:r>
      <w:r>
        <w:rPr>
          <w:rFonts w:hint="eastAsia" w:ascii="宋体" w:hAnsi="宋体" w:eastAsia="宋体" w:cs="宋体"/>
          <w:iCs/>
          <w:color w:val="000000"/>
          <w:kern w:val="0"/>
          <w:sz w:val="21"/>
          <w:szCs w:val="21"/>
        </w:rPr>
        <w:t>合同签订后，场地符合安装条件，收到采购人通知后发货，并在约定时间内到货并安装</w:t>
      </w:r>
      <w:r>
        <w:rPr>
          <w:rFonts w:hint="eastAsia" w:ascii="宋体" w:hAnsi="宋体" w:eastAsia="宋体" w:cs="宋体"/>
          <w:iCs/>
          <w:color w:val="000000"/>
          <w:kern w:val="0"/>
          <w:sz w:val="21"/>
          <w:szCs w:val="21"/>
          <w:highlight w:val="none"/>
        </w:rPr>
        <w:t>。</w:t>
      </w:r>
      <w:r>
        <w:rPr>
          <w:rFonts w:hint="eastAsia" w:ascii="宋体" w:hAnsi="宋体" w:eastAsia="宋体" w:cs="宋体"/>
          <w:iCs/>
          <w:color w:val="auto"/>
          <w:kern w:val="0"/>
          <w:sz w:val="21"/>
          <w:szCs w:val="21"/>
          <w:highlight w:val="none"/>
        </w:rPr>
        <w:t>交货时间为：</w:t>
      </w:r>
      <w:r>
        <w:rPr>
          <w:rFonts w:hint="default" w:ascii="宋体" w:hAnsi="宋体" w:cs="宋体"/>
          <w:iCs/>
          <w:color w:val="auto"/>
          <w:kern w:val="0"/>
          <w:sz w:val="21"/>
          <w:szCs w:val="21"/>
          <w:highlight w:val="none"/>
          <w:lang w:eastAsia="zh-CN"/>
        </w:rPr>
        <w:t>3</w:t>
      </w:r>
      <w:r>
        <w:rPr>
          <w:rFonts w:hint="eastAsia" w:ascii="宋体" w:hAnsi="宋体" w:eastAsia="宋体" w:cs="宋体"/>
          <w:iCs/>
          <w:color w:val="auto"/>
          <w:kern w:val="0"/>
          <w:sz w:val="21"/>
          <w:szCs w:val="21"/>
          <w:highlight w:val="none"/>
          <w:lang w:val="en-US" w:eastAsia="zh-CN"/>
        </w:rPr>
        <w:t>0</w:t>
      </w:r>
      <w:r>
        <w:rPr>
          <w:rFonts w:hint="eastAsia" w:ascii="宋体" w:hAnsi="宋体" w:eastAsia="宋体" w:cs="宋体"/>
          <w:iCs/>
          <w:color w:val="auto"/>
          <w:kern w:val="0"/>
          <w:sz w:val="21"/>
          <w:szCs w:val="21"/>
          <w:highlight w:val="none"/>
        </w:rPr>
        <w:t>日</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 </w:t>
      </w:r>
    </w:p>
    <w:p w14:paraId="1B2ECF58">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1.2交货地点：</w:t>
      </w:r>
      <w:r>
        <w:rPr>
          <w:rFonts w:hint="eastAsia" w:ascii="宋体" w:hAnsi="宋体" w:eastAsia="宋体" w:cs="宋体"/>
          <w:b w:val="0"/>
          <w:bCs w:val="0"/>
          <w:color w:val="auto"/>
          <w:sz w:val="21"/>
          <w:szCs w:val="21"/>
          <w:highlight w:val="none"/>
          <w:lang w:eastAsia="zh-CN"/>
        </w:rPr>
        <w:t>岳阳市人民医院</w:t>
      </w:r>
      <w:r>
        <w:rPr>
          <w:rFonts w:hint="eastAsia" w:ascii="宋体" w:hAnsi="宋体" w:eastAsia="宋体" w:cs="宋体"/>
          <w:b w:val="0"/>
          <w:bCs w:val="0"/>
          <w:color w:val="auto"/>
          <w:sz w:val="21"/>
          <w:szCs w:val="21"/>
          <w:highlight w:val="none"/>
        </w:rPr>
        <w:t>指定地点。</w:t>
      </w:r>
    </w:p>
    <w:p w14:paraId="57D41FFB">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bCs/>
          <w:color w:val="000000"/>
          <w:sz w:val="21"/>
          <w:szCs w:val="21"/>
          <w:highlight w:val="none"/>
        </w:rPr>
        <w:t>1.3交货方式：</w:t>
      </w:r>
      <w:r>
        <w:rPr>
          <w:rFonts w:hint="eastAsia" w:ascii="宋体" w:hAnsi="宋体" w:eastAsia="宋体" w:cs="宋体"/>
          <w:color w:val="000000"/>
          <w:sz w:val="21"/>
          <w:szCs w:val="21"/>
          <w:highlight w:val="none"/>
        </w:rPr>
        <w:t>送货上门。</w:t>
      </w:r>
      <w:r>
        <w:rPr>
          <w:rFonts w:hint="eastAsia" w:ascii="宋体" w:hAnsi="宋体" w:eastAsia="宋体" w:cs="宋体"/>
          <w:sz w:val="21"/>
          <w:szCs w:val="21"/>
          <w:highlight w:val="none"/>
        </w:rPr>
        <w:t>运输、安装、调试由中标人负责承担,最终通过</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验收</w:t>
      </w:r>
      <w:r>
        <w:rPr>
          <w:rFonts w:hint="eastAsia" w:ascii="宋体" w:hAnsi="宋体" w:eastAsia="宋体" w:cs="宋体"/>
          <w:sz w:val="21"/>
          <w:szCs w:val="21"/>
          <w:highlight w:val="none"/>
          <w:lang w:eastAsia="zh-CN"/>
        </w:rPr>
        <w:t>后</w:t>
      </w:r>
      <w:r>
        <w:rPr>
          <w:rFonts w:hint="eastAsia" w:ascii="宋体" w:hAnsi="宋体" w:eastAsia="宋体" w:cs="宋体"/>
          <w:sz w:val="21"/>
          <w:szCs w:val="21"/>
          <w:highlight w:val="none"/>
        </w:rPr>
        <w:t xml:space="preserve">交付使用。 </w:t>
      </w:r>
    </w:p>
    <w:p w14:paraId="7944E9DF">
      <w:pPr>
        <w:keepNext w:val="0"/>
        <w:keepLines w:val="0"/>
        <w:pageBreakBefore w:val="0"/>
        <w:kinsoku/>
        <w:wordWrap/>
        <w:overflowPunct/>
        <w:topLinePunct w:val="0"/>
        <w:autoSpaceDE/>
        <w:autoSpaceDN/>
        <w:bidi w:val="0"/>
        <w:spacing w:line="460" w:lineRule="exact"/>
        <w:ind w:right="-248" w:rightChars="-118"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1.4、计量、检测费用（如须）：由中标人负责承担质检、计量费用。</w:t>
      </w:r>
    </w:p>
    <w:p w14:paraId="7D5A5057">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2、结算方法：</w:t>
      </w:r>
    </w:p>
    <w:p w14:paraId="660FEE02">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2.1付款人：</w:t>
      </w:r>
      <w:r>
        <w:rPr>
          <w:rFonts w:hint="eastAsia" w:ascii="宋体" w:hAnsi="宋体" w:eastAsia="宋体" w:cs="宋体"/>
          <w:b w:val="0"/>
          <w:bCs w:val="0"/>
          <w:sz w:val="21"/>
          <w:szCs w:val="21"/>
          <w:highlight w:val="none"/>
          <w:lang w:eastAsia="zh-CN"/>
        </w:rPr>
        <w:t>岳阳市人民医院</w:t>
      </w:r>
      <w:r>
        <w:rPr>
          <w:rFonts w:hint="eastAsia" w:ascii="宋体" w:hAnsi="宋体" w:eastAsia="宋体" w:cs="宋体"/>
          <w:b w:val="0"/>
          <w:bCs w:val="0"/>
          <w:color w:val="000000"/>
          <w:sz w:val="21"/>
          <w:szCs w:val="21"/>
          <w:highlight w:val="none"/>
        </w:rPr>
        <w:t>。</w:t>
      </w:r>
    </w:p>
    <w:p w14:paraId="4AD1AD59">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highlight w:val="none"/>
        </w:rPr>
        <w:t>2.2付款方式：</w:t>
      </w:r>
      <w:r>
        <w:rPr>
          <w:rFonts w:hint="eastAsia" w:ascii="宋体" w:hAnsi="宋体" w:eastAsia="宋体" w:cs="宋体"/>
          <w:b w:val="0"/>
          <w:bCs w:val="0"/>
          <w:color w:val="auto"/>
          <w:sz w:val="21"/>
          <w:szCs w:val="21"/>
          <w:highlight w:val="none"/>
          <w:lang w:eastAsia="zh-CN"/>
        </w:rPr>
        <w:t xml:space="preserve">合同签订后，经甲方验收该系列设备合格、设备正常运行15个工作日并由设备会计做完付款计划后4个月内首付该设备款项的 </w:t>
      </w:r>
      <w:r>
        <w:rPr>
          <w:rFonts w:hint="eastAsia" w:ascii="宋体" w:hAnsi="宋体" w:eastAsia="宋体" w:cs="宋体"/>
          <w:b w:val="0"/>
          <w:bCs w:val="0"/>
          <w:color w:val="auto"/>
          <w:sz w:val="21"/>
          <w:szCs w:val="21"/>
          <w:highlight w:val="none"/>
          <w:lang w:val="en-US" w:eastAsia="zh-CN"/>
        </w:rPr>
        <w:t>90</w:t>
      </w:r>
      <w:r>
        <w:rPr>
          <w:rFonts w:hint="eastAsia" w:ascii="宋体" w:hAnsi="宋体" w:eastAsia="宋体" w:cs="宋体"/>
          <w:b w:val="0"/>
          <w:bCs w:val="0"/>
          <w:color w:val="auto"/>
          <w:sz w:val="21"/>
          <w:szCs w:val="21"/>
          <w:highlight w:val="none"/>
          <w:lang w:eastAsia="zh-CN"/>
        </w:rPr>
        <w:t>%，余款</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eastAsia="zh-CN"/>
        </w:rPr>
        <w:t>%则在项目验收之日起</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eastAsia="zh-CN"/>
        </w:rPr>
        <w:t>年后甲方支付给乙方。货款结清后，乙方依然需承担该设备的质保义务直至质保期满，否则甲方将终止与乙方的一切业务同时拒付双方业务往来中应付给乙方的其</w:t>
      </w:r>
      <w:r>
        <w:rPr>
          <w:rFonts w:hint="eastAsia" w:ascii="宋体" w:hAnsi="宋体" w:eastAsia="宋体" w:cs="宋体"/>
          <w:b w:val="0"/>
          <w:bCs w:val="0"/>
          <w:color w:val="auto"/>
          <w:sz w:val="21"/>
          <w:szCs w:val="21"/>
          <w:lang w:eastAsia="zh-CN"/>
        </w:rPr>
        <w:t>他所有款项，并保留维护自身权益的权利。甲方付款前,乙方应开具相应金额增值税普通发票。</w:t>
      </w:r>
    </w:p>
    <w:p w14:paraId="2CE5E60A">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七、</w:t>
      </w:r>
      <w:r>
        <w:rPr>
          <w:rFonts w:hint="eastAsia" w:ascii="宋体" w:hAnsi="宋体" w:eastAsia="宋体" w:cs="宋体"/>
          <w:b/>
          <w:bCs/>
          <w:color w:val="000000"/>
          <w:sz w:val="21"/>
          <w:szCs w:val="21"/>
        </w:rPr>
        <w:t>项目其他要求及说明</w:t>
      </w:r>
    </w:p>
    <w:p w14:paraId="31825C95">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rPr>
        <w:t>本项目采用费用包干方式建设，投标人应根据项目要求和现场情况，详细列明项目所需的设备及材料购置，以及产品运输保险保管、项目安装调试、试运行测试通过验收、培训、质保期保修维护等所有人工、管理、财务等所有费用，如一旦中标，在项目实施中出现任何遗漏，均由中标人提供，采购人不再支付任何费用。</w:t>
      </w:r>
    </w:p>
    <w:p w14:paraId="7B562FBE">
      <w:pPr>
        <w:keepNext w:val="0"/>
        <w:keepLines w:val="0"/>
        <w:pageBreakBefore w:val="0"/>
        <w:widowControl/>
        <w:kinsoku/>
        <w:wordWrap/>
        <w:overflowPunct/>
        <w:topLinePunct w:val="0"/>
        <w:autoSpaceDE/>
        <w:autoSpaceDN/>
        <w:bidi w:val="0"/>
        <w:spacing w:beforeLines="0" w:afterLines="0" w:line="460" w:lineRule="exact"/>
        <w:ind w:firstLine="420" w:firstLineChars="200"/>
        <w:textAlignment w:val="auto"/>
        <w:rPr>
          <w:rFonts w:hint="eastAsia" w:ascii="宋体" w:hAnsi="宋体" w:eastAsia="宋体" w:cs="宋体"/>
          <w:spacing w:val="-1"/>
          <w:sz w:val="21"/>
          <w:szCs w:val="21"/>
          <w:lang w:eastAsia="zh-CN"/>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、对于上述项目要求，投标人应在投标文件中进行回应，作出承诺及说明</w:t>
      </w:r>
      <w:r>
        <w:rPr>
          <w:rFonts w:hint="eastAsia" w:ascii="宋体" w:hAnsi="宋体" w:eastAsia="宋体" w:cs="宋体"/>
          <w:b w:val="0"/>
          <w:bCs w:val="0"/>
          <w:sz w:val="21"/>
          <w:szCs w:val="21"/>
          <w:lang w:eastAsia="zh-CN"/>
        </w:rPr>
        <w:t>。</w:t>
      </w:r>
    </w:p>
    <w:p w14:paraId="2FBA3145">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leftChars="0" w:firstLine="422" w:firstLineChars="200"/>
        <w:textAlignment w:val="auto"/>
        <w:rPr>
          <w:rFonts w:hint="eastAsia" w:ascii="宋体" w:hAnsi="宋体" w:eastAsia="宋体" w:cs="Times New Roman"/>
          <w:b/>
          <w:kern w:val="2"/>
          <w:sz w:val="21"/>
          <w:szCs w:val="21"/>
          <w:lang w:val="en-US" w:eastAsia="zh-CN" w:bidi="ar-SA"/>
        </w:rPr>
      </w:pPr>
    </w:p>
    <w:p w14:paraId="7C077C32">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leftChars="0" w:firstLine="482" w:firstLineChars="200"/>
        <w:textAlignment w:val="auto"/>
        <w:rPr>
          <w:rFonts w:hint="eastAsia" w:ascii="宋体" w:hAnsi="宋体" w:eastAsia="宋体" w:cs="Times New Roman"/>
          <w:b/>
          <w:kern w:val="2"/>
          <w:sz w:val="24"/>
          <w:szCs w:val="24"/>
          <w:lang w:val="en-US" w:eastAsia="zh-CN" w:bidi="ar-SA"/>
        </w:rPr>
      </w:pPr>
    </w:p>
    <w:p w14:paraId="204B6D9D">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leftChars="0" w:firstLine="482" w:firstLineChars="200"/>
        <w:textAlignment w:val="auto"/>
        <w:rPr>
          <w:rFonts w:hint="eastAsia" w:ascii="宋体" w:hAnsi="宋体" w:eastAsia="宋体" w:cs="Times New Roman"/>
          <w:b/>
          <w:bCs/>
          <w:color w:val="auto"/>
          <w:kern w:val="2"/>
          <w:sz w:val="21"/>
          <w:szCs w:val="21"/>
          <w:lang w:val="en-US" w:eastAsia="zh-CN" w:bidi="ar-SA"/>
        </w:rPr>
      </w:pPr>
      <w:r>
        <w:rPr>
          <w:rFonts w:hint="eastAsia" w:ascii="宋体" w:hAnsi="宋体" w:eastAsia="宋体" w:cs="宋体"/>
          <w:b/>
          <w:bCs/>
          <w:color w:val="auto"/>
          <w:kern w:val="2"/>
          <w:sz w:val="24"/>
          <w:szCs w:val="24"/>
          <w:lang w:val="en-US" w:eastAsia="zh-CN" w:bidi="ar-SA"/>
        </w:rPr>
        <w:t>未尽事宜在合同中约定</w:t>
      </w:r>
    </w:p>
    <w:p w14:paraId="320D3AB6">
      <w:pPr>
        <w:widowControl w:val="0"/>
        <w:numPr>
          <w:ilvl w:val="0"/>
          <w:numId w:val="0"/>
        </w:numPr>
        <w:autoSpaceDE w:val="0"/>
        <w:autoSpaceDN w:val="0"/>
        <w:adjustRightInd w:val="0"/>
        <w:ind w:leftChars="0"/>
        <w:rPr>
          <w:rFonts w:hint="eastAsia" w:ascii="宋体" w:hAnsi="宋体" w:eastAsia="宋体" w:cs="Times New Roman"/>
          <w:b/>
          <w:kern w:val="2"/>
          <w:sz w:val="21"/>
          <w:szCs w:val="21"/>
          <w:lang w:val="en-US" w:eastAsia="zh-CN" w:bidi="ar-SA"/>
        </w:rPr>
      </w:pPr>
    </w:p>
    <w:p w14:paraId="7388B6D4">
      <w:pPr>
        <w:rPr>
          <w:rFonts w:ascii="Times New Roman" w:hAnsi="Times New Roman" w:eastAsia="宋体" w:cs="Times New Roman"/>
        </w:rPr>
      </w:pPr>
    </w:p>
    <w:p w14:paraId="1A404D63">
      <w:pPr>
        <w:pStyle w:val="115"/>
        <w:spacing w:line="480" w:lineRule="auto"/>
        <w:ind w:firstLine="420" w:firstLineChars="200"/>
        <w:jc w:val="center"/>
        <w:rPr>
          <w:rFonts w:ascii="宋体" w:hAnsi="宋体" w:cs="宋体"/>
          <w:sz w:val="32"/>
        </w:rPr>
      </w:pPr>
      <w:r>
        <w:rPr>
          <w:rFonts w:ascii="宋体" w:hAnsi="宋体" w:eastAsia="宋体" w:cs="Times New Roman"/>
          <w:color w:val="000000"/>
          <w:kern w:val="2"/>
          <w:sz w:val="21"/>
          <w:szCs w:val="21"/>
          <w:lang w:val="en-US" w:eastAsia="zh-CN" w:bidi="ar-SA"/>
        </w:rPr>
        <w:br w:type="page"/>
      </w:r>
      <w:bookmarkEnd w:id="113"/>
      <w:bookmarkEnd w:id="114"/>
      <w:bookmarkEnd w:id="115"/>
      <w:bookmarkEnd w:id="116"/>
      <w:bookmarkEnd w:id="117"/>
      <w:bookmarkEnd w:id="118"/>
      <w:r>
        <w:rPr>
          <w:rFonts w:hint="eastAsia" w:ascii="宋体" w:hAnsi="宋体" w:cs="宋体"/>
          <w:sz w:val="32"/>
        </w:rPr>
        <w:t>第五章 政府采购合同</w:t>
      </w:r>
    </w:p>
    <w:p w14:paraId="31AA7B12">
      <w:pPr>
        <w:pStyle w:val="3"/>
        <w:jc w:val="center"/>
        <w:rPr>
          <w:rFonts w:ascii="宋体" w:hAnsi="宋体" w:cs="宋体"/>
          <w:b w:val="0"/>
          <w:sz w:val="28"/>
          <w:szCs w:val="28"/>
        </w:rPr>
      </w:pPr>
      <w:bookmarkStart w:id="119" w:name="_Toc2040"/>
      <w:bookmarkStart w:id="120" w:name="_Toc26750"/>
      <w:r>
        <w:rPr>
          <w:rFonts w:hint="eastAsia" w:ascii="宋体" w:hAnsi="宋体" w:cs="宋体"/>
          <w:b w:val="0"/>
          <w:sz w:val="28"/>
          <w:szCs w:val="28"/>
        </w:rPr>
        <w:t>第一节 政府采购合同协议书</w:t>
      </w:r>
      <w:bookmarkEnd w:id="119"/>
      <w:bookmarkEnd w:id="120"/>
    </w:p>
    <w:p w14:paraId="0A9B7DFF">
      <w:pPr>
        <w:adjustRightInd w:val="0"/>
        <w:snapToGrid w:val="0"/>
        <w:spacing w:beforeLines="50" w:line="360" w:lineRule="auto"/>
        <w:jc w:val="center"/>
        <w:rPr>
          <w:rFonts w:ascii="宋体" w:hAnsi="宋体" w:cs="宋体"/>
          <w:szCs w:val="21"/>
        </w:rPr>
      </w:pPr>
      <w:r>
        <w:rPr>
          <w:rFonts w:hint="eastAsia" w:ascii="宋体" w:hAnsi="宋体" w:cs="宋体"/>
          <w:szCs w:val="21"/>
        </w:rPr>
        <w:t xml:space="preserve">                                                        政府采购编号：</w:t>
      </w:r>
      <w:r>
        <w:rPr>
          <w:rFonts w:hint="eastAsia" w:ascii="宋体" w:hAnsi="宋体" w:cs="宋体"/>
          <w:szCs w:val="21"/>
          <w:u w:val="single"/>
        </w:rPr>
        <w:t xml:space="preserve">             </w:t>
      </w:r>
      <w:r>
        <w:rPr>
          <w:rFonts w:hint="eastAsia" w:ascii="宋体" w:hAnsi="宋体" w:cs="宋体"/>
          <w:szCs w:val="21"/>
        </w:rPr>
        <w:tab/>
      </w:r>
    </w:p>
    <w:p w14:paraId="7283B734">
      <w:pPr>
        <w:adjustRightInd w:val="0"/>
        <w:snapToGrid w:val="0"/>
        <w:spacing w:line="360" w:lineRule="auto"/>
        <w:rPr>
          <w:rFonts w:ascii="宋体" w:hAnsi="宋体" w:cs="宋体"/>
          <w:szCs w:val="21"/>
        </w:rPr>
      </w:pPr>
      <w:r>
        <w:rPr>
          <w:rFonts w:hint="eastAsia" w:ascii="宋体" w:hAnsi="宋体" w:cs="宋体"/>
          <w:szCs w:val="21"/>
        </w:rPr>
        <w:t>采购人（全称）：</w:t>
      </w:r>
      <w:r>
        <w:rPr>
          <w:rFonts w:hint="eastAsia" w:ascii="宋体" w:hAnsi="宋体" w:cs="宋体"/>
          <w:szCs w:val="21"/>
          <w:u w:val="single"/>
        </w:rPr>
        <w:t xml:space="preserve">                             </w:t>
      </w:r>
      <w:r>
        <w:rPr>
          <w:rFonts w:hint="eastAsia" w:ascii="宋体" w:hAnsi="宋体" w:cs="宋体"/>
          <w:szCs w:val="21"/>
        </w:rPr>
        <w:t>（甲方）</w:t>
      </w:r>
    </w:p>
    <w:p w14:paraId="39FD32F3">
      <w:pPr>
        <w:adjustRightInd w:val="0"/>
        <w:snapToGrid w:val="0"/>
        <w:spacing w:line="360" w:lineRule="auto"/>
        <w:rPr>
          <w:rFonts w:ascii="宋体" w:hAnsi="宋体" w:cs="宋体"/>
          <w:szCs w:val="21"/>
        </w:rPr>
      </w:pPr>
      <w:r>
        <w:rPr>
          <w:rFonts w:hint="eastAsia" w:ascii="宋体" w:hAnsi="宋体" w:cs="宋体"/>
          <w:szCs w:val="21"/>
        </w:rPr>
        <w:t>投标人（全称）：</w:t>
      </w:r>
      <w:r>
        <w:rPr>
          <w:rFonts w:hint="eastAsia" w:ascii="宋体" w:hAnsi="宋体" w:cs="宋体"/>
          <w:szCs w:val="21"/>
          <w:u w:val="single"/>
        </w:rPr>
        <w:t xml:space="preserve">                             </w:t>
      </w:r>
      <w:r>
        <w:rPr>
          <w:rFonts w:hint="eastAsia" w:ascii="宋体" w:hAnsi="宋体" w:cs="宋体"/>
          <w:szCs w:val="21"/>
        </w:rPr>
        <w:t>（乙方）</w:t>
      </w:r>
    </w:p>
    <w:p w14:paraId="2378112C">
      <w:pPr>
        <w:pStyle w:val="21"/>
        <w:tabs>
          <w:tab w:val="left" w:pos="2715"/>
        </w:tabs>
        <w:adjustRightInd w:val="0"/>
        <w:snapToGrid w:val="0"/>
        <w:spacing w:after="0" w:line="360" w:lineRule="auto"/>
        <w:rPr>
          <w:rFonts w:ascii="宋体" w:hAnsi="宋体" w:cs="宋体"/>
          <w:szCs w:val="21"/>
        </w:rPr>
      </w:pPr>
      <w:r>
        <w:rPr>
          <w:rFonts w:hint="eastAsia" w:ascii="宋体" w:hAnsi="宋体" w:cs="宋体"/>
          <w:szCs w:val="21"/>
        </w:rPr>
        <w:tab/>
      </w:r>
    </w:p>
    <w:p w14:paraId="756129AC">
      <w:pPr>
        <w:pStyle w:val="21"/>
        <w:adjustRightInd w:val="0"/>
        <w:snapToGrid w:val="0"/>
        <w:spacing w:beforeLines="50" w:after="0" w:line="360" w:lineRule="auto"/>
        <w:ind w:left="0" w:leftChars="0" w:firstLine="420" w:firstLineChars="200"/>
        <w:rPr>
          <w:rFonts w:ascii="宋体" w:hAnsi="宋体"/>
          <w:kern w:val="2"/>
          <w:sz w:val="21"/>
          <w:szCs w:val="21"/>
        </w:rPr>
      </w:pPr>
      <w:r>
        <w:rPr>
          <w:rFonts w:hint="eastAsia" w:ascii="宋体" w:hAnsi="宋体"/>
          <w:kern w:val="2"/>
          <w:sz w:val="21"/>
          <w:szCs w:val="21"/>
        </w:rPr>
        <w:t>为了保护甲、乙双方合法权益，根据《中华人民共和国民法典》、《中华人民共和国政府采购法》及其他有关法律、法规、规章，双方签订本合同协议书。</w:t>
      </w:r>
    </w:p>
    <w:p w14:paraId="2D3FC1A2">
      <w:pPr>
        <w:adjustRightInd w:val="0"/>
        <w:snapToGrid w:val="0"/>
        <w:spacing w:beforeLines="50" w:line="360" w:lineRule="auto"/>
        <w:ind w:firstLine="422" w:firstLineChars="200"/>
        <w:rPr>
          <w:rFonts w:ascii="宋体" w:hAnsi="宋体"/>
          <w:b/>
          <w:szCs w:val="21"/>
        </w:rPr>
      </w:pPr>
      <w:r>
        <w:rPr>
          <w:rFonts w:hint="eastAsia" w:ascii="宋体" w:hAnsi="宋体"/>
          <w:b/>
          <w:szCs w:val="21"/>
        </w:rPr>
        <w:t>1.项目信息</w:t>
      </w:r>
    </w:p>
    <w:p w14:paraId="195298B0">
      <w:pPr>
        <w:pStyle w:val="21"/>
        <w:adjustRightInd w:val="0"/>
        <w:snapToGrid w:val="0"/>
        <w:spacing w:beforeLines="50" w:after="0" w:line="360" w:lineRule="auto"/>
        <w:rPr>
          <w:rFonts w:ascii="宋体" w:hAnsi="宋体"/>
          <w:szCs w:val="21"/>
        </w:rPr>
      </w:pPr>
      <w:r>
        <w:rPr>
          <w:rFonts w:hint="eastAsia" w:ascii="宋体" w:hAnsi="宋体"/>
          <w:kern w:val="2"/>
          <w:sz w:val="21"/>
          <w:szCs w:val="21"/>
        </w:rPr>
        <w:t>（1）采购项目名称：</w:t>
      </w:r>
      <w:r>
        <w:rPr>
          <w:rFonts w:ascii="宋体" w:hAnsi="宋体"/>
          <w:szCs w:val="21"/>
          <w:u w:val="single"/>
        </w:rPr>
        <w:t xml:space="preserve">                                          </w:t>
      </w:r>
    </w:p>
    <w:p w14:paraId="589F1B6E">
      <w:pPr>
        <w:pStyle w:val="21"/>
        <w:adjustRightInd w:val="0"/>
        <w:snapToGrid w:val="0"/>
        <w:spacing w:beforeLines="50" w:after="0" w:line="360" w:lineRule="auto"/>
        <w:rPr>
          <w:rFonts w:ascii="宋体" w:hAnsi="宋体"/>
          <w:szCs w:val="21"/>
        </w:rPr>
      </w:pPr>
      <w:r>
        <w:rPr>
          <w:rFonts w:hint="eastAsia" w:ascii="宋体" w:hAnsi="宋体"/>
          <w:kern w:val="2"/>
          <w:sz w:val="21"/>
          <w:szCs w:val="21"/>
        </w:rPr>
        <w:t>（2）采购计划编号：</w:t>
      </w:r>
      <w:r>
        <w:rPr>
          <w:rFonts w:ascii="宋体" w:hAnsi="宋体"/>
          <w:szCs w:val="21"/>
          <w:u w:val="single"/>
        </w:rPr>
        <w:t xml:space="preserve">                          </w:t>
      </w:r>
      <w:r>
        <w:rPr>
          <w:rFonts w:ascii="宋体" w:hAnsi="宋体"/>
          <w:szCs w:val="21"/>
        </w:rPr>
        <w:t xml:space="preserve"> </w:t>
      </w:r>
    </w:p>
    <w:p w14:paraId="19E943E9">
      <w:pPr>
        <w:adjustRightInd w:val="0"/>
        <w:snapToGrid w:val="0"/>
        <w:spacing w:beforeLines="50" w:line="360" w:lineRule="auto"/>
        <w:ind w:firstLine="420" w:firstLineChars="200"/>
        <w:rPr>
          <w:rFonts w:ascii="宋体" w:hAnsi="宋体"/>
          <w:szCs w:val="21"/>
        </w:rPr>
      </w:pPr>
      <w:r>
        <w:rPr>
          <w:rFonts w:hint="eastAsia" w:ascii="宋体" w:hAnsi="宋体"/>
          <w:szCs w:val="21"/>
        </w:rPr>
        <w:t>（3）项目内容：</w:t>
      </w:r>
      <w:r>
        <w:rPr>
          <w:rFonts w:hint="eastAsia" w:ascii="宋体" w:hAnsi="宋体"/>
          <w:szCs w:val="21"/>
          <w:u w:val="single"/>
        </w:rPr>
        <w:t xml:space="preserve">                             </w:t>
      </w:r>
    </w:p>
    <w:p w14:paraId="19A03514">
      <w:pPr>
        <w:adjustRightInd w:val="0"/>
        <w:snapToGrid w:val="0"/>
        <w:spacing w:beforeLines="50" w:line="360" w:lineRule="auto"/>
        <w:ind w:firstLine="420" w:firstLineChars="200"/>
        <w:rPr>
          <w:rFonts w:ascii="宋体" w:hAnsi="宋体"/>
          <w:szCs w:val="21"/>
        </w:rPr>
      </w:pPr>
      <w:r>
        <w:rPr>
          <w:rFonts w:hint="eastAsia" w:ascii="宋体" w:hAnsi="宋体"/>
          <w:szCs w:val="21"/>
        </w:rPr>
        <w:t>（4）是否分包：</w:t>
      </w:r>
      <w:r>
        <w:rPr>
          <w:rFonts w:hint="eastAsia" w:ascii="宋体" w:hAnsi="宋体"/>
          <w:szCs w:val="21"/>
          <w:u w:val="single"/>
        </w:rPr>
        <w:t xml:space="preserve">               </w:t>
      </w:r>
      <w:r>
        <w:rPr>
          <w:rFonts w:hint="eastAsia" w:ascii="宋体" w:hAnsi="宋体"/>
          <w:szCs w:val="21"/>
        </w:rPr>
        <w:t>。</w:t>
      </w:r>
    </w:p>
    <w:p w14:paraId="19305D86">
      <w:pPr>
        <w:adjustRightInd w:val="0"/>
        <w:snapToGrid w:val="0"/>
        <w:spacing w:beforeLines="50" w:line="360" w:lineRule="auto"/>
        <w:ind w:firstLine="420" w:firstLineChars="200"/>
        <w:rPr>
          <w:rFonts w:ascii="宋体" w:hAnsi="宋体"/>
          <w:szCs w:val="21"/>
        </w:rPr>
      </w:pPr>
      <w:r>
        <w:rPr>
          <w:rFonts w:hint="eastAsia" w:ascii="宋体" w:hAnsi="宋体"/>
          <w:szCs w:val="21"/>
        </w:rPr>
        <w:t>（5）项目负责人：</w:t>
      </w:r>
      <w:r>
        <w:rPr>
          <w:rFonts w:hint="eastAsia" w:ascii="宋体" w:hAnsi="宋体"/>
          <w:szCs w:val="21"/>
          <w:u w:val="single"/>
        </w:rPr>
        <w:t xml:space="preserve">               </w:t>
      </w:r>
      <w:r>
        <w:rPr>
          <w:rFonts w:hint="eastAsia" w:ascii="宋体" w:hAnsi="宋体"/>
          <w:szCs w:val="21"/>
        </w:rPr>
        <w:t>。</w:t>
      </w:r>
    </w:p>
    <w:p w14:paraId="74619689">
      <w:pPr>
        <w:adjustRightInd w:val="0"/>
        <w:snapToGrid w:val="0"/>
        <w:spacing w:beforeLines="50" w:line="360" w:lineRule="auto"/>
        <w:ind w:firstLine="420" w:firstLineChars="200"/>
        <w:rPr>
          <w:rFonts w:ascii="宋体" w:hAnsi="宋体"/>
          <w:szCs w:val="21"/>
        </w:rPr>
      </w:pPr>
      <w:r>
        <w:rPr>
          <w:rFonts w:hint="eastAsia" w:ascii="宋体" w:hAnsi="宋体"/>
          <w:szCs w:val="21"/>
        </w:rPr>
        <w:t>（6）联系电话：</w:t>
      </w:r>
      <w:r>
        <w:rPr>
          <w:rFonts w:hint="eastAsia" w:ascii="宋体" w:hAnsi="宋体"/>
          <w:szCs w:val="21"/>
          <w:u w:val="single"/>
        </w:rPr>
        <w:t xml:space="preserve">               </w:t>
      </w:r>
      <w:r>
        <w:rPr>
          <w:rFonts w:hint="eastAsia" w:ascii="宋体" w:hAnsi="宋体"/>
          <w:szCs w:val="21"/>
        </w:rPr>
        <w:t>。</w:t>
      </w:r>
    </w:p>
    <w:p w14:paraId="6BB39A0E">
      <w:pPr>
        <w:adjustRightInd w:val="0"/>
        <w:snapToGrid w:val="0"/>
        <w:spacing w:beforeLines="50" w:line="360" w:lineRule="auto"/>
        <w:ind w:firstLine="413" w:firstLineChars="196"/>
        <w:rPr>
          <w:rFonts w:ascii="宋体" w:hAnsi="宋体"/>
          <w:b/>
          <w:szCs w:val="21"/>
        </w:rPr>
      </w:pPr>
      <w:r>
        <w:rPr>
          <w:rFonts w:hint="eastAsia" w:ascii="宋体" w:hAnsi="宋体"/>
          <w:b/>
          <w:szCs w:val="21"/>
        </w:rPr>
        <w:t>2.合同金额</w:t>
      </w:r>
    </w:p>
    <w:p w14:paraId="0053316E">
      <w:pPr>
        <w:adjustRightInd w:val="0"/>
        <w:snapToGrid w:val="0"/>
        <w:spacing w:beforeLines="50" w:line="360" w:lineRule="auto"/>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7DED4D40">
      <w:pPr>
        <w:adjustRightInd w:val="0"/>
        <w:snapToGrid w:val="0"/>
        <w:spacing w:beforeLines="50" w:line="360" w:lineRule="auto"/>
        <w:ind w:firstLine="1260" w:firstLineChars="600"/>
        <w:rPr>
          <w:rFonts w:ascii="宋体" w:hAnsi="宋体"/>
          <w:b/>
          <w:szCs w:val="21"/>
        </w:rPr>
      </w:pPr>
      <w:r>
        <w:rPr>
          <w:rFonts w:hint="eastAsia" w:ascii="宋体" w:hAnsi="宋体"/>
          <w:szCs w:val="21"/>
        </w:rPr>
        <w:t>大写：</w:t>
      </w:r>
      <w:r>
        <w:rPr>
          <w:rFonts w:hint="eastAsia" w:ascii="宋体" w:hAnsi="宋体"/>
          <w:szCs w:val="21"/>
          <w:u w:val="single"/>
        </w:rPr>
        <w:t xml:space="preserve">                      </w:t>
      </w:r>
    </w:p>
    <w:p w14:paraId="38B97079">
      <w:pPr>
        <w:adjustRightInd w:val="0"/>
        <w:snapToGrid w:val="0"/>
        <w:spacing w:beforeLines="50" w:line="360" w:lineRule="auto"/>
        <w:ind w:firstLine="420" w:firstLineChars="200"/>
        <w:rPr>
          <w:rFonts w:ascii="宋体" w:hAnsi="宋体"/>
          <w:szCs w:val="21"/>
        </w:rPr>
      </w:pPr>
      <w:r>
        <w:rPr>
          <w:rFonts w:hint="eastAsia" w:ascii="宋体" w:hAnsi="宋体"/>
          <w:szCs w:val="21"/>
        </w:rPr>
        <w:t>（2）具体标的见附件。</w:t>
      </w:r>
    </w:p>
    <w:p w14:paraId="45C73D22">
      <w:pPr>
        <w:adjustRightInd w:val="0"/>
        <w:snapToGrid w:val="0"/>
        <w:spacing w:beforeLines="50" w:line="360" w:lineRule="auto"/>
        <w:ind w:firstLine="420" w:firstLineChars="200"/>
        <w:rPr>
          <w:rFonts w:ascii="宋体" w:hAnsi="宋体"/>
          <w:szCs w:val="21"/>
        </w:rPr>
      </w:pPr>
      <w:r>
        <w:rPr>
          <w:rFonts w:hint="eastAsia" w:ascii="宋体" w:hAnsi="宋体"/>
          <w:szCs w:val="21"/>
        </w:rPr>
        <w:t>（3）合同定价方式：</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02E55A80">
      <w:pPr>
        <w:pStyle w:val="125"/>
        <w:spacing w:line="360" w:lineRule="auto"/>
        <w:rPr>
          <w:rFonts w:hAnsi="宋体" w:cs="Times New Roman"/>
          <w:color w:val="auto"/>
          <w:kern w:val="2"/>
          <w:sz w:val="21"/>
          <w:szCs w:val="21"/>
        </w:rPr>
      </w:pPr>
      <w:r>
        <w:rPr>
          <w:rFonts w:hint="eastAsia" w:hAnsi="宋体" w:cs="Times New Roman"/>
          <w:color w:val="auto"/>
          <w:kern w:val="2"/>
          <w:sz w:val="21"/>
          <w:szCs w:val="21"/>
        </w:rPr>
        <w:t>（4）付款方式（按项目实际勾选填写）：</w:t>
      </w:r>
    </w:p>
    <w:p w14:paraId="1CD3EEC7">
      <w:pPr>
        <w:adjustRightInd w:val="0"/>
        <w:snapToGrid w:val="0"/>
        <w:spacing w:beforeLines="50" w:line="360" w:lineRule="auto"/>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（应一次性支付全部合同款项）                    </w:t>
      </w:r>
    </w:p>
    <w:p w14:paraId="5EA69208">
      <w:pPr>
        <w:adjustRightInd w:val="0"/>
        <w:snapToGrid w:val="0"/>
        <w:spacing w:beforeLines="50" w:line="360" w:lineRule="auto"/>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预付款：</w:t>
      </w:r>
      <w:r>
        <w:rPr>
          <w:rFonts w:hint="eastAsia" w:ascii="宋体" w:hAnsi="宋体"/>
          <w:szCs w:val="21"/>
          <w:u w:val="single"/>
        </w:rPr>
        <w:t xml:space="preserve">    （应明确预付款的支付比例和支付条件）               </w:t>
      </w:r>
    </w:p>
    <w:p w14:paraId="4E776580">
      <w:pPr>
        <w:adjustRightInd w:val="0"/>
        <w:snapToGrid w:val="0"/>
        <w:spacing w:beforeLines="50"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（应按照季度分期支付合同款项）                   </w:t>
      </w:r>
    </w:p>
    <w:p w14:paraId="2716DF97">
      <w:pPr>
        <w:adjustRightInd w:val="0"/>
        <w:snapToGrid w:val="0"/>
        <w:spacing w:beforeLines="50"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3483DFFA">
      <w:pPr>
        <w:adjustRightInd w:val="0"/>
        <w:snapToGrid w:val="0"/>
        <w:spacing w:beforeLines="50" w:line="360" w:lineRule="auto"/>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322F4391">
      <w:pPr>
        <w:adjustRightInd w:val="0"/>
        <w:snapToGrid w:val="0"/>
        <w:spacing w:beforeLines="50" w:line="360" w:lineRule="auto"/>
        <w:ind w:firstLine="422" w:firstLineChars="200"/>
        <w:rPr>
          <w:rFonts w:ascii="宋体" w:hAnsi="宋体"/>
          <w:szCs w:val="21"/>
          <w:u w:val="single"/>
        </w:rPr>
      </w:pPr>
      <w:r>
        <w:rPr>
          <w:rFonts w:hint="eastAsia" w:ascii="宋体" w:hAnsi="宋体"/>
          <w:b/>
          <w:szCs w:val="21"/>
        </w:rPr>
        <w:t>3.合同履行</w:t>
      </w:r>
    </w:p>
    <w:p w14:paraId="74335140">
      <w:pPr>
        <w:adjustRightInd w:val="0"/>
        <w:snapToGrid w:val="0"/>
        <w:spacing w:beforeLines="50" w:line="360" w:lineRule="auto"/>
        <w:ind w:firstLine="420" w:firstLineChars="200"/>
        <w:rPr>
          <w:rFonts w:ascii="宋体" w:hAnsi="宋体"/>
          <w:szCs w:val="21"/>
        </w:rPr>
      </w:pPr>
      <w:r>
        <w:rPr>
          <w:rFonts w:hint="eastAsia" w:ascii="宋体" w:hAnsi="宋体"/>
          <w:szCs w:val="21"/>
        </w:rPr>
        <w:t>（1）起始日期：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p>
    <w:p w14:paraId="2CCBCAEB">
      <w:pPr>
        <w:adjustRightInd w:val="0"/>
        <w:snapToGrid w:val="0"/>
        <w:spacing w:beforeLines="50" w:line="360" w:lineRule="auto"/>
        <w:ind w:firstLine="420" w:firstLineChars="200"/>
        <w:rPr>
          <w:rFonts w:ascii="宋体" w:hAnsi="宋体"/>
          <w:szCs w:val="21"/>
          <w:u w:val="single"/>
        </w:rPr>
      </w:pPr>
      <w:r>
        <w:rPr>
          <w:rFonts w:hint="eastAsia" w:ascii="宋体" w:hAnsi="宋体"/>
          <w:szCs w:val="21"/>
        </w:rPr>
        <w:t>（2）地点</w:t>
      </w:r>
      <w:r>
        <w:rPr>
          <w:rFonts w:hint="eastAsia" w:ascii="宋体" w:hAnsi="宋体"/>
          <w:b/>
          <w:szCs w:val="21"/>
        </w:rPr>
        <w:t>：</w:t>
      </w:r>
      <w:r>
        <w:rPr>
          <w:rFonts w:hint="eastAsia" w:ascii="宋体" w:hAnsi="宋体"/>
          <w:szCs w:val="21"/>
          <w:u w:val="single"/>
        </w:rPr>
        <w:t xml:space="preserve">                             </w:t>
      </w:r>
    </w:p>
    <w:p w14:paraId="46073FF1">
      <w:pPr>
        <w:adjustRightInd w:val="0"/>
        <w:snapToGrid w:val="0"/>
        <w:spacing w:beforeLines="50" w:line="360" w:lineRule="auto"/>
        <w:ind w:firstLine="420" w:firstLineChars="200"/>
        <w:rPr>
          <w:rFonts w:ascii="宋体" w:hAnsi="宋体"/>
          <w:szCs w:val="21"/>
          <w:u w:val="single"/>
        </w:rPr>
      </w:pPr>
      <w:r>
        <w:rPr>
          <w:rFonts w:hint="eastAsia" w:ascii="宋体" w:hAnsi="宋体"/>
          <w:szCs w:val="21"/>
        </w:rPr>
        <w:t>（3）方式：</w:t>
      </w:r>
      <w:r>
        <w:rPr>
          <w:rFonts w:hint="eastAsia" w:ascii="宋体" w:hAnsi="宋体"/>
          <w:szCs w:val="21"/>
          <w:u w:val="single"/>
        </w:rPr>
        <w:t xml:space="preserve">                             </w:t>
      </w:r>
    </w:p>
    <w:p w14:paraId="7A497D13">
      <w:pPr>
        <w:adjustRightInd w:val="0"/>
        <w:snapToGrid w:val="0"/>
        <w:spacing w:beforeLines="50" w:line="360" w:lineRule="auto"/>
        <w:ind w:firstLine="420" w:firstLineChars="200"/>
        <w:rPr>
          <w:rFonts w:ascii="宋体" w:hAnsi="宋体"/>
          <w:bCs/>
          <w:szCs w:val="21"/>
        </w:rPr>
      </w:pPr>
      <w:r>
        <w:rPr>
          <w:rFonts w:hint="eastAsia" w:ascii="宋体" w:hAnsi="宋体"/>
          <w:bCs/>
          <w:szCs w:val="21"/>
        </w:rPr>
        <w:t>（4）履约担保：</w:t>
      </w:r>
      <w:r>
        <w:rPr>
          <w:rFonts w:hint="eastAsia" w:ascii="宋体" w:hAnsi="宋体"/>
          <w:bCs/>
          <w:szCs w:val="21"/>
          <w:u w:val="single"/>
        </w:rPr>
        <w:t>履约担保的金额、形式和期限要求</w:t>
      </w:r>
      <w:r>
        <w:rPr>
          <w:rFonts w:hint="eastAsia" w:ascii="宋体" w:hAnsi="宋体"/>
          <w:bCs/>
          <w:szCs w:val="21"/>
        </w:rPr>
        <w:t>。</w:t>
      </w:r>
    </w:p>
    <w:p w14:paraId="01F23BED">
      <w:pPr>
        <w:adjustRightInd w:val="0"/>
        <w:snapToGrid w:val="0"/>
        <w:spacing w:beforeLines="50" w:line="360" w:lineRule="auto"/>
        <w:ind w:firstLine="420" w:firstLineChars="200"/>
        <w:rPr>
          <w:rFonts w:ascii="宋体" w:hAnsi="宋体"/>
          <w:bCs/>
          <w:szCs w:val="21"/>
        </w:rPr>
      </w:pPr>
      <w:r>
        <w:rPr>
          <w:rFonts w:hint="eastAsia" w:ascii="宋体" w:hAnsi="宋体"/>
          <w:bCs/>
          <w:szCs w:val="21"/>
        </w:rPr>
        <w:t>（5）质量保证金：</w:t>
      </w:r>
      <w:r>
        <w:rPr>
          <w:rFonts w:hint="eastAsia" w:ascii="宋体" w:hAnsi="宋体"/>
          <w:bCs/>
          <w:szCs w:val="21"/>
          <w:u w:val="single"/>
        </w:rPr>
        <w:t>质量保证金的金额、形式和期限要求</w:t>
      </w:r>
      <w:r>
        <w:rPr>
          <w:rFonts w:hint="eastAsia" w:ascii="宋体" w:hAnsi="宋体"/>
          <w:bCs/>
          <w:szCs w:val="21"/>
        </w:rPr>
        <w:t>。</w:t>
      </w:r>
    </w:p>
    <w:p w14:paraId="7A6560F1">
      <w:pPr>
        <w:adjustRightInd w:val="0"/>
        <w:snapToGrid w:val="0"/>
        <w:spacing w:beforeLines="50" w:line="360" w:lineRule="auto"/>
        <w:ind w:firstLine="422" w:firstLineChars="200"/>
        <w:rPr>
          <w:rFonts w:ascii="宋体" w:hAnsi="宋体"/>
          <w:b/>
          <w:szCs w:val="21"/>
        </w:rPr>
      </w:pPr>
      <w:r>
        <w:rPr>
          <w:rFonts w:hint="eastAsia" w:ascii="宋体" w:hAnsi="宋体"/>
          <w:b/>
          <w:szCs w:val="21"/>
        </w:rPr>
        <w:t>4.合同验收</w:t>
      </w:r>
    </w:p>
    <w:p w14:paraId="6AFBD343">
      <w:pPr>
        <w:adjustRightInd w:val="0"/>
        <w:snapToGrid w:val="0"/>
        <w:spacing w:beforeLines="50" w:line="360" w:lineRule="auto"/>
        <w:ind w:firstLine="420" w:firstLineChars="200"/>
        <w:rPr>
          <w:rFonts w:ascii="宋体" w:hAnsi="宋体"/>
          <w:bCs/>
          <w:szCs w:val="21"/>
        </w:rPr>
      </w:pPr>
      <w:r>
        <w:rPr>
          <w:rFonts w:hint="eastAsia" w:ascii="宋体" w:hAnsi="宋体"/>
          <w:bCs/>
          <w:szCs w:val="21"/>
        </w:rPr>
        <w:t>（1）验收主体：</w:t>
      </w:r>
      <w:r>
        <w:rPr>
          <w:rFonts w:hint="eastAsia" w:ascii="宋体" w:hAnsi="宋体"/>
          <w:bCs/>
          <w:szCs w:val="21"/>
          <w:u w:val="single"/>
        </w:rPr>
        <w:t xml:space="preserve">                             </w:t>
      </w:r>
      <w:r>
        <w:rPr>
          <w:rFonts w:hint="eastAsia" w:ascii="宋体" w:hAnsi="宋体"/>
          <w:bCs/>
          <w:szCs w:val="21"/>
        </w:rPr>
        <w:t>。</w:t>
      </w:r>
    </w:p>
    <w:p w14:paraId="03A28019">
      <w:pPr>
        <w:adjustRightInd w:val="0"/>
        <w:snapToGrid w:val="0"/>
        <w:spacing w:beforeLines="50" w:line="360" w:lineRule="auto"/>
        <w:ind w:firstLine="420" w:firstLineChars="200"/>
        <w:rPr>
          <w:rFonts w:ascii="宋体" w:hAnsi="宋体"/>
          <w:bCs/>
          <w:szCs w:val="21"/>
        </w:rPr>
      </w:pPr>
      <w:r>
        <w:rPr>
          <w:rFonts w:hint="eastAsia" w:ascii="宋体" w:hAnsi="宋体"/>
          <w:bCs/>
          <w:szCs w:val="21"/>
        </w:rPr>
        <w:t>（2）验收方式：</w:t>
      </w:r>
      <w:r>
        <w:rPr>
          <w:rFonts w:hint="eastAsia" w:ascii="宋体" w:hAnsi="宋体"/>
          <w:bCs/>
          <w:szCs w:val="21"/>
          <w:u w:val="single"/>
        </w:rPr>
        <w:t xml:space="preserve">                             </w:t>
      </w:r>
      <w:r>
        <w:rPr>
          <w:rFonts w:hint="eastAsia" w:ascii="宋体" w:hAnsi="宋体"/>
          <w:bCs/>
          <w:szCs w:val="21"/>
        </w:rPr>
        <w:t>。</w:t>
      </w:r>
    </w:p>
    <w:p w14:paraId="1A3E5F43">
      <w:pPr>
        <w:adjustRightInd w:val="0"/>
        <w:snapToGrid w:val="0"/>
        <w:spacing w:beforeLines="50" w:line="360" w:lineRule="auto"/>
        <w:ind w:firstLine="420" w:firstLineChars="200"/>
        <w:rPr>
          <w:rFonts w:ascii="宋体" w:hAnsi="宋体"/>
          <w:bCs/>
          <w:szCs w:val="21"/>
        </w:rPr>
      </w:pPr>
      <w:r>
        <w:rPr>
          <w:rFonts w:hint="eastAsia" w:ascii="宋体" w:hAnsi="宋体"/>
          <w:bCs/>
          <w:szCs w:val="21"/>
        </w:rPr>
        <w:t>（3）验收标准：</w:t>
      </w:r>
      <w:r>
        <w:rPr>
          <w:rFonts w:hint="eastAsia" w:ascii="宋体" w:hAnsi="宋体"/>
          <w:bCs/>
          <w:szCs w:val="21"/>
          <w:u w:val="single"/>
        </w:rPr>
        <w:t xml:space="preserve">                             </w:t>
      </w:r>
      <w:r>
        <w:rPr>
          <w:rFonts w:hint="eastAsia" w:ascii="宋体" w:hAnsi="宋体"/>
          <w:bCs/>
          <w:szCs w:val="21"/>
        </w:rPr>
        <w:t>。</w:t>
      </w:r>
    </w:p>
    <w:p w14:paraId="7CA03015">
      <w:pPr>
        <w:adjustRightInd w:val="0"/>
        <w:snapToGrid w:val="0"/>
        <w:spacing w:beforeLines="50" w:line="360" w:lineRule="auto"/>
        <w:ind w:firstLine="422" w:firstLineChars="200"/>
        <w:rPr>
          <w:rFonts w:ascii="宋体" w:hAnsi="宋体"/>
          <w:b/>
          <w:szCs w:val="21"/>
        </w:rPr>
      </w:pPr>
      <w:r>
        <w:rPr>
          <w:rFonts w:hint="eastAsia" w:ascii="宋体" w:hAnsi="宋体"/>
          <w:b/>
          <w:szCs w:val="21"/>
        </w:rPr>
        <w:t>5.组成合同的文件</w:t>
      </w:r>
    </w:p>
    <w:p w14:paraId="771E43D5">
      <w:pPr>
        <w:adjustRightInd w:val="0"/>
        <w:snapToGrid w:val="0"/>
        <w:spacing w:beforeLines="50" w:line="360" w:lineRule="auto"/>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43026314">
      <w:pPr>
        <w:adjustRightInd w:val="0"/>
        <w:snapToGrid w:val="0"/>
        <w:spacing w:beforeLines="50" w:line="360" w:lineRule="auto"/>
        <w:ind w:firstLine="420" w:firstLineChars="200"/>
        <w:rPr>
          <w:rFonts w:ascii="宋体" w:hAnsi="宋体"/>
          <w:szCs w:val="21"/>
        </w:rPr>
      </w:pPr>
      <w:r>
        <w:rPr>
          <w:rFonts w:hint="eastAsia" w:ascii="宋体" w:hAnsi="宋体"/>
          <w:szCs w:val="21"/>
        </w:rPr>
        <w:t>（1）在采购或合同履行过程中乙方作出的承诺以及双方协商达成的变更或补充协议</w:t>
      </w:r>
    </w:p>
    <w:p w14:paraId="13A7E212">
      <w:pPr>
        <w:adjustRightInd w:val="0"/>
        <w:snapToGrid w:val="0"/>
        <w:spacing w:beforeLines="50" w:line="360" w:lineRule="auto"/>
        <w:ind w:firstLine="420" w:firstLineChars="200"/>
        <w:rPr>
          <w:rFonts w:ascii="宋体" w:hAnsi="宋体"/>
          <w:szCs w:val="21"/>
        </w:rPr>
      </w:pPr>
      <w:r>
        <w:rPr>
          <w:rFonts w:hint="eastAsia" w:ascii="宋体" w:hAnsi="宋体"/>
          <w:szCs w:val="21"/>
        </w:rPr>
        <w:t>（2）本合同协议书</w:t>
      </w:r>
    </w:p>
    <w:p w14:paraId="5B47EDD3">
      <w:pPr>
        <w:adjustRightInd w:val="0"/>
        <w:snapToGrid w:val="0"/>
        <w:spacing w:beforeLines="50" w:line="360" w:lineRule="auto"/>
        <w:ind w:firstLine="420" w:firstLineChars="200"/>
        <w:rPr>
          <w:rFonts w:ascii="宋体" w:hAnsi="宋体"/>
          <w:szCs w:val="21"/>
        </w:rPr>
      </w:pPr>
      <w:r>
        <w:rPr>
          <w:rFonts w:hint="eastAsia" w:ascii="宋体" w:hAnsi="宋体"/>
          <w:szCs w:val="21"/>
        </w:rPr>
        <w:t>（3）中标通知书</w:t>
      </w:r>
    </w:p>
    <w:p w14:paraId="5F8B9D5E">
      <w:pPr>
        <w:adjustRightInd w:val="0"/>
        <w:snapToGrid w:val="0"/>
        <w:spacing w:beforeLines="50" w:line="360" w:lineRule="auto"/>
        <w:ind w:firstLine="420" w:firstLineChars="200"/>
        <w:rPr>
          <w:rFonts w:ascii="宋体" w:hAnsi="宋体"/>
          <w:szCs w:val="21"/>
        </w:rPr>
      </w:pPr>
      <w:r>
        <w:rPr>
          <w:rFonts w:hint="eastAsia" w:ascii="宋体" w:hAnsi="宋体"/>
          <w:szCs w:val="21"/>
        </w:rPr>
        <w:t>（4）投标文件</w:t>
      </w:r>
    </w:p>
    <w:p w14:paraId="1D8E46D7">
      <w:pPr>
        <w:adjustRightInd w:val="0"/>
        <w:snapToGrid w:val="0"/>
        <w:spacing w:beforeLines="50" w:line="360" w:lineRule="auto"/>
        <w:ind w:firstLine="420" w:firstLineChars="200"/>
        <w:rPr>
          <w:rFonts w:ascii="宋体" w:hAnsi="宋体"/>
          <w:szCs w:val="21"/>
        </w:rPr>
      </w:pPr>
      <w:r>
        <w:rPr>
          <w:rFonts w:hint="eastAsia" w:ascii="宋体" w:hAnsi="宋体"/>
          <w:szCs w:val="21"/>
        </w:rPr>
        <w:t>（5）政府采购合同专用条款</w:t>
      </w:r>
    </w:p>
    <w:p w14:paraId="401B1D88">
      <w:pPr>
        <w:adjustRightInd w:val="0"/>
        <w:snapToGrid w:val="0"/>
        <w:spacing w:beforeLines="50" w:line="360" w:lineRule="auto"/>
        <w:ind w:firstLine="420" w:firstLineChars="200"/>
        <w:rPr>
          <w:rFonts w:ascii="宋体" w:hAnsi="宋体"/>
          <w:szCs w:val="21"/>
        </w:rPr>
      </w:pPr>
      <w:r>
        <w:rPr>
          <w:rFonts w:hint="eastAsia" w:ascii="宋体" w:hAnsi="宋体"/>
          <w:szCs w:val="21"/>
        </w:rPr>
        <w:t>（6）政府采购合同通用条款</w:t>
      </w:r>
    </w:p>
    <w:p w14:paraId="20495F31">
      <w:pPr>
        <w:adjustRightInd w:val="0"/>
        <w:snapToGrid w:val="0"/>
        <w:spacing w:beforeLines="50" w:line="360" w:lineRule="auto"/>
        <w:ind w:firstLine="420" w:firstLineChars="200"/>
        <w:rPr>
          <w:rFonts w:ascii="宋体" w:hAnsi="宋体"/>
          <w:szCs w:val="21"/>
        </w:rPr>
      </w:pPr>
      <w:r>
        <w:rPr>
          <w:rFonts w:hint="eastAsia" w:ascii="宋体" w:hAnsi="宋体"/>
          <w:szCs w:val="21"/>
        </w:rPr>
        <w:t>（7）标准、规范及有关技术文件，图纸。</w:t>
      </w:r>
    </w:p>
    <w:p w14:paraId="296AEEBB">
      <w:pPr>
        <w:adjustRightInd w:val="0"/>
        <w:snapToGrid w:val="0"/>
        <w:spacing w:beforeLines="50" w:line="360" w:lineRule="auto"/>
        <w:ind w:firstLine="420" w:firstLineChars="200"/>
        <w:rPr>
          <w:rFonts w:ascii="宋体" w:hAnsi="宋体"/>
          <w:szCs w:val="21"/>
        </w:rPr>
      </w:pPr>
      <w:r>
        <w:rPr>
          <w:rFonts w:hint="eastAsia" w:ascii="宋体" w:hAnsi="宋体"/>
          <w:szCs w:val="21"/>
        </w:rPr>
        <w:t>（8）其他合同文件。</w:t>
      </w:r>
    </w:p>
    <w:p w14:paraId="0D51E324">
      <w:pPr>
        <w:adjustRightInd w:val="0"/>
        <w:snapToGrid w:val="0"/>
        <w:spacing w:beforeLines="50" w:line="360" w:lineRule="auto"/>
        <w:ind w:firstLine="310" w:firstLineChars="147"/>
        <w:rPr>
          <w:rFonts w:ascii="宋体" w:hAnsi="宋体"/>
          <w:b/>
          <w:szCs w:val="21"/>
        </w:rPr>
      </w:pPr>
      <w:r>
        <w:rPr>
          <w:rFonts w:hint="eastAsia" w:ascii="宋体" w:hAnsi="宋体"/>
          <w:b/>
          <w:szCs w:val="21"/>
        </w:rPr>
        <w:t>6.合同生效</w:t>
      </w:r>
    </w:p>
    <w:p w14:paraId="2A6A36A3">
      <w:pPr>
        <w:adjustRightInd w:val="0"/>
        <w:snapToGrid w:val="0"/>
        <w:spacing w:beforeLines="50" w:line="360" w:lineRule="auto"/>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6CC89C77">
      <w:pPr>
        <w:adjustRightInd w:val="0"/>
        <w:snapToGrid w:val="0"/>
        <w:spacing w:beforeLines="50" w:line="360" w:lineRule="auto"/>
        <w:ind w:firstLine="310" w:firstLineChars="147"/>
        <w:rPr>
          <w:rFonts w:ascii="宋体" w:hAnsi="宋体"/>
          <w:b/>
          <w:szCs w:val="21"/>
        </w:rPr>
      </w:pPr>
      <w:r>
        <w:rPr>
          <w:rFonts w:hint="eastAsia" w:ascii="宋体" w:hAnsi="宋体"/>
          <w:b/>
          <w:szCs w:val="21"/>
        </w:rPr>
        <w:t>7.合同份数</w:t>
      </w:r>
    </w:p>
    <w:p w14:paraId="3FFDF70A">
      <w:pPr>
        <w:adjustRightInd w:val="0"/>
        <w:snapToGrid w:val="0"/>
        <w:spacing w:beforeLines="50" w:line="360" w:lineRule="auto"/>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份，均具有同等法律效力。</w:t>
      </w:r>
    </w:p>
    <w:p w14:paraId="36E7819A">
      <w:pPr>
        <w:adjustRightInd w:val="0"/>
        <w:snapToGrid w:val="0"/>
        <w:spacing w:beforeLines="50" w:line="360" w:lineRule="auto"/>
        <w:rPr>
          <w:rFonts w:ascii="宋体" w:hAnsi="宋体"/>
          <w:szCs w:val="21"/>
        </w:rPr>
      </w:pPr>
    </w:p>
    <w:p w14:paraId="57654D7B">
      <w:pPr>
        <w:adjustRightInd w:val="0"/>
        <w:snapToGrid w:val="0"/>
        <w:spacing w:beforeLines="50" w:line="360" w:lineRule="auto"/>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DA333D4">
      <w:pPr>
        <w:adjustRightInd w:val="0"/>
        <w:snapToGrid w:val="0"/>
        <w:spacing w:beforeLines="50" w:line="360" w:lineRule="auto"/>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3402C432">
      <w:pPr>
        <w:adjustRightInd w:val="0"/>
        <w:snapToGrid w:val="0"/>
        <w:spacing w:beforeLines="50" w:line="360" w:lineRule="auto"/>
        <w:ind w:firstLine="420" w:firstLineChars="200"/>
        <w:rPr>
          <w:rFonts w:ascii="宋体" w:hAnsi="宋体"/>
          <w:szCs w:val="21"/>
        </w:rPr>
      </w:pPr>
      <w:r>
        <w:rPr>
          <w:rFonts w:hint="eastAsia" w:ascii="宋体" w:hAnsi="宋体"/>
          <w:szCs w:val="21"/>
        </w:rPr>
        <w:t xml:space="preserve">附件：具体标的明细、分包合同等。    </w:t>
      </w:r>
    </w:p>
    <w:p w14:paraId="59E93038">
      <w:pPr>
        <w:pStyle w:val="125"/>
        <w:ind w:firstLine="640"/>
        <w:rPr>
          <w:rFonts w:hAnsi="宋体"/>
        </w:rPr>
      </w:pPr>
    </w:p>
    <w:p w14:paraId="366E25E7">
      <w:pPr>
        <w:pStyle w:val="125"/>
        <w:ind w:firstLine="640"/>
        <w:rPr>
          <w:rFonts w:hAnsi="宋体"/>
        </w:rPr>
      </w:pPr>
    </w:p>
    <w:p w14:paraId="18BB1B24">
      <w:pPr>
        <w:adjustRightInd w:val="0"/>
        <w:snapToGrid w:val="0"/>
        <w:spacing w:beforeLines="50" w:line="360" w:lineRule="auto"/>
        <w:rPr>
          <w:rFonts w:ascii="宋体" w:hAnsi="宋体"/>
          <w:szCs w:val="21"/>
        </w:rPr>
      </w:pPr>
      <w:r>
        <w:rPr>
          <w:rFonts w:hint="eastAsia" w:ascii="宋体" w:hAnsi="宋体"/>
          <w:szCs w:val="21"/>
        </w:rPr>
        <w:t>甲      方：（公章）                     乙      方：（公章）</w:t>
      </w:r>
    </w:p>
    <w:p w14:paraId="494FE049">
      <w:pPr>
        <w:adjustRightInd w:val="0"/>
        <w:snapToGrid w:val="0"/>
        <w:spacing w:beforeLines="50" w:line="360" w:lineRule="auto"/>
        <w:rPr>
          <w:rFonts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43C384E7">
      <w:pPr>
        <w:adjustRightInd w:val="0"/>
        <w:snapToGrid w:val="0"/>
        <w:spacing w:beforeLines="50" w:line="360" w:lineRule="auto"/>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14:paraId="31C01170">
      <w:pPr>
        <w:adjustRightInd w:val="0"/>
        <w:snapToGrid w:val="0"/>
        <w:spacing w:beforeLines="50" w:line="360" w:lineRule="auto"/>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14:paraId="5F28439A">
      <w:pPr>
        <w:adjustRightInd w:val="0"/>
        <w:snapToGrid w:val="0"/>
        <w:spacing w:beforeLines="50" w:line="360" w:lineRule="auto"/>
        <w:rPr>
          <w:rFonts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p>
    <w:p w14:paraId="289CD1C2">
      <w:pPr>
        <w:adjustRightInd w:val="0"/>
        <w:snapToGrid w:val="0"/>
        <w:spacing w:beforeLines="50" w:line="360" w:lineRule="auto"/>
        <w:ind w:firstLine="420" w:firstLineChars="200"/>
        <w:rPr>
          <w:rFonts w:ascii="宋体" w:hAnsi="宋体"/>
          <w:szCs w:val="21"/>
        </w:rPr>
      </w:pPr>
      <w:r>
        <w:rPr>
          <w:rFonts w:hint="eastAsia" w:ascii="宋体" w:hAnsi="宋体"/>
          <w:szCs w:val="21"/>
        </w:rPr>
        <w:t xml:space="preserve">                                    开 户 银 行：</w:t>
      </w:r>
      <w:r>
        <w:rPr>
          <w:rFonts w:hint="eastAsia" w:ascii="宋体" w:hAnsi="宋体"/>
          <w:szCs w:val="21"/>
          <w:u w:val="single"/>
        </w:rPr>
        <w:t xml:space="preserve">                   </w:t>
      </w:r>
    </w:p>
    <w:p w14:paraId="4EF6D1E7">
      <w:pPr>
        <w:adjustRightInd w:val="0"/>
        <w:snapToGrid w:val="0"/>
        <w:spacing w:beforeLines="50" w:line="360" w:lineRule="auto"/>
        <w:jc w:val="center"/>
        <w:rPr>
          <w:rFonts w:ascii="宋体" w:hAnsi="宋体"/>
          <w:b/>
          <w:szCs w:val="21"/>
        </w:rPr>
      </w:pPr>
      <w:r>
        <w:rPr>
          <w:rFonts w:hint="eastAsia" w:ascii="宋体" w:hAnsi="宋体"/>
          <w:szCs w:val="21"/>
        </w:rPr>
        <w:t xml:space="preserve">         账       号：</w:t>
      </w:r>
      <w:r>
        <w:rPr>
          <w:rFonts w:hint="eastAsia" w:ascii="宋体" w:hAnsi="宋体"/>
          <w:szCs w:val="21"/>
          <w:u w:val="single"/>
        </w:rPr>
        <w:t xml:space="preserve">                   </w:t>
      </w:r>
    </w:p>
    <w:p w14:paraId="01E5846D">
      <w:pPr>
        <w:pStyle w:val="3"/>
        <w:jc w:val="center"/>
        <w:rPr>
          <w:rFonts w:ascii="宋体" w:hAnsi="宋体"/>
          <w:color w:val="000000"/>
          <w:szCs w:val="21"/>
        </w:rPr>
      </w:pPr>
    </w:p>
    <w:p w14:paraId="15722016">
      <w:pPr>
        <w:adjustRightInd w:val="0"/>
        <w:snapToGrid w:val="0"/>
        <w:spacing w:beforeLines="50" w:line="360" w:lineRule="auto"/>
        <w:jc w:val="center"/>
        <w:rPr>
          <w:rFonts w:ascii="宋体" w:hAnsi="宋体" w:cs="宋体"/>
          <w:szCs w:val="21"/>
          <w:u w:val="single"/>
        </w:rPr>
      </w:pPr>
    </w:p>
    <w:p w14:paraId="635F966A">
      <w:pPr>
        <w:pStyle w:val="3"/>
        <w:jc w:val="center"/>
        <w:rPr>
          <w:rFonts w:ascii="宋体" w:hAnsi="宋体" w:cs="宋体"/>
          <w:b w:val="0"/>
          <w:sz w:val="28"/>
          <w:szCs w:val="28"/>
        </w:rPr>
      </w:pPr>
      <w:r>
        <w:rPr>
          <w:rFonts w:hint="eastAsia" w:ascii="宋体" w:hAnsi="宋体" w:cs="宋体"/>
          <w:szCs w:val="21"/>
          <w:u w:val="single"/>
        </w:rPr>
        <w:br w:type="page"/>
      </w:r>
      <w:bookmarkStart w:id="121" w:name="_Toc22335"/>
      <w:bookmarkStart w:id="122" w:name="_Toc2064"/>
      <w:r>
        <w:rPr>
          <w:rFonts w:hint="eastAsia" w:ascii="宋体" w:hAnsi="宋体" w:cs="宋体"/>
          <w:b w:val="0"/>
          <w:sz w:val="28"/>
          <w:szCs w:val="28"/>
        </w:rPr>
        <w:t>第二节 政府采购合同通用条款</w:t>
      </w:r>
      <w:bookmarkEnd w:id="121"/>
      <w:bookmarkEnd w:id="122"/>
    </w:p>
    <w:p w14:paraId="122AEDA7">
      <w:pPr>
        <w:tabs>
          <w:tab w:val="left" w:pos="8820"/>
          <w:tab w:val="left" w:pos="9345"/>
          <w:tab w:val="left" w:pos="9765"/>
        </w:tabs>
        <w:adjustRightInd w:val="0"/>
        <w:snapToGrid w:val="0"/>
        <w:spacing w:line="360" w:lineRule="auto"/>
        <w:ind w:firstLine="422" w:firstLineChars="200"/>
        <w:jc w:val="left"/>
        <w:rPr>
          <w:rFonts w:ascii="宋体" w:hAnsi="宋体"/>
          <w:b/>
          <w:bCs/>
          <w:szCs w:val="21"/>
        </w:rPr>
      </w:pPr>
      <w:r>
        <w:rPr>
          <w:rFonts w:hint="eastAsia" w:ascii="宋体" w:hAnsi="宋体"/>
          <w:b/>
          <w:szCs w:val="21"/>
        </w:rPr>
        <w:t>1.</w:t>
      </w:r>
      <w:r>
        <w:rPr>
          <w:rFonts w:hint="eastAsia" w:ascii="宋体" w:hAnsi="宋体"/>
          <w:b/>
          <w:bCs/>
          <w:szCs w:val="21"/>
        </w:rPr>
        <w:t>定义</w:t>
      </w:r>
    </w:p>
    <w:p w14:paraId="5B41A573">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1.1合同当事人</w:t>
      </w:r>
    </w:p>
    <w:p w14:paraId="4C377EC5">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（1）采购人（以下称甲方）是指使用财政性资金，通过政府采购程序向投标人购买货物、服务的国家机关、事业单位、团体组织。本次采购的甲方名称、地址见</w:t>
      </w:r>
      <w:r>
        <w:rPr>
          <w:rFonts w:hint="eastAsia" w:ascii="宋体" w:hAnsi="宋体"/>
          <w:b/>
          <w:szCs w:val="21"/>
        </w:rPr>
        <w:t>【政府采购合同专用条款】。</w:t>
      </w:r>
    </w:p>
    <w:p w14:paraId="1B06D3F2">
      <w:pPr>
        <w:autoSpaceDE w:val="0"/>
        <w:autoSpaceDN w:val="0"/>
        <w:adjustRightInd w:val="0"/>
        <w:snapToGrid w:val="0"/>
        <w:spacing w:line="360" w:lineRule="auto"/>
        <w:ind w:firstLine="420" w:firstLineChars="200"/>
        <w:jc w:val="left"/>
        <w:rPr>
          <w:rFonts w:ascii="宋体" w:hAnsi="宋体"/>
          <w:b/>
          <w:szCs w:val="21"/>
        </w:rPr>
      </w:pPr>
      <w:r>
        <w:rPr>
          <w:rFonts w:hint="eastAsia" w:ascii="宋体" w:hAnsi="宋体"/>
          <w:szCs w:val="21"/>
        </w:rPr>
        <w:t>（2）投标人（以下称乙方）是指参加政府采购活动而取得中标结果，并向采购人提供货物、服务的法人、其他组织或者自然人。</w:t>
      </w:r>
    </w:p>
    <w:p w14:paraId="7CAF1941">
      <w:pPr>
        <w:tabs>
          <w:tab w:val="left" w:pos="570"/>
          <w:tab w:val="left" w:pos="9240"/>
          <w:tab w:val="left" w:pos="9555"/>
        </w:tabs>
        <w:adjustRightInd w:val="0"/>
        <w:snapToGrid w:val="0"/>
        <w:spacing w:line="360" w:lineRule="auto"/>
        <w:ind w:firstLine="420" w:firstLineChars="200"/>
        <w:jc w:val="left"/>
        <w:rPr>
          <w:rFonts w:ascii="宋体" w:hAnsi="宋体"/>
          <w:szCs w:val="21"/>
        </w:rPr>
      </w:pPr>
      <w:r>
        <w:rPr>
          <w:rFonts w:hint="eastAsia" w:ascii="宋体" w:hAnsi="宋体"/>
          <w:szCs w:val="21"/>
        </w:rPr>
        <w:t>1.2本合同下列术语应解释为：</w:t>
      </w:r>
    </w:p>
    <w:p w14:paraId="1CC244AA">
      <w:pPr>
        <w:tabs>
          <w:tab w:val="left" w:pos="570"/>
          <w:tab w:val="left" w:pos="9240"/>
          <w:tab w:val="left" w:pos="9555"/>
        </w:tabs>
        <w:adjustRightInd w:val="0"/>
        <w:snapToGrid w:val="0"/>
        <w:spacing w:line="360" w:lineRule="auto"/>
        <w:ind w:firstLine="420" w:firstLineChars="200"/>
        <w:jc w:val="left"/>
        <w:rPr>
          <w:rFonts w:ascii="宋体" w:hAnsi="宋体"/>
          <w:szCs w:val="21"/>
        </w:rPr>
      </w:pPr>
      <w:r>
        <w:rPr>
          <w:rFonts w:hint="eastAsia" w:ascii="宋体" w:hAnsi="宋体"/>
          <w:szCs w:val="21"/>
        </w:rPr>
        <w:t>（1）“合同”系指甲乙双方签署的、政府采购合同协议书中载明的甲乙双方所达成的协议，包括所有的附页、附录和上述文件所提到的构成合同的所有文件。</w:t>
      </w:r>
    </w:p>
    <w:p w14:paraId="3B8EA1AA">
      <w:pPr>
        <w:tabs>
          <w:tab w:val="left" w:pos="570"/>
          <w:tab w:val="left" w:pos="9240"/>
          <w:tab w:val="left" w:pos="9555"/>
        </w:tabs>
        <w:adjustRightInd w:val="0"/>
        <w:snapToGrid w:val="0"/>
        <w:spacing w:line="360" w:lineRule="auto"/>
        <w:ind w:firstLine="420" w:firstLineChars="200"/>
        <w:jc w:val="left"/>
        <w:rPr>
          <w:rFonts w:ascii="宋体" w:hAnsi="宋体"/>
          <w:szCs w:val="21"/>
        </w:rPr>
      </w:pPr>
      <w:r>
        <w:rPr>
          <w:rFonts w:hint="eastAsia" w:ascii="宋体" w:hAnsi="宋体"/>
          <w:szCs w:val="21"/>
        </w:rPr>
        <w:t>（2）“合同价”系指根据本合同规定乙方在正确地完全履行合同义务后甲方应支付给乙方的价款。</w:t>
      </w:r>
    </w:p>
    <w:p w14:paraId="540895BF">
      <w:pPr>
        <w:tabs>
          <w:tab w:val="left" w:pos="570"/>
          <w:tab w:val="left" w:pos="9240"/>
          <w:tab w:val="left" w:pos="9555"/>
        </w:tabs>
        <w:adjustRightInd w:val="0"/>
        <w:snapToGrid w:val="0"/>
        <w:spacing w:line="360" w:lineRule="auto"/>
        <w:ind w:firstLine="42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75F63178">
      <w:pPr>
        <w:tabs>
          <w:tab w:val="left" w:pos="570"/>
          <w:tab w:val="left" w:pos="8880"/>
          <w:tab w:val="left" w:pos="9555"/>
        </w:tabs>
        <w:adjustRightInd w:val="0"/>
        <w:snapToGrid w:val="0"/>
        <w:spacing w:line="360" w:lineRule="auto"/>
        <w:ind w:firstLine="420" w:firstLineChars="200"/>
        <w:jc w:val="left"/>
        <w:rPr>
          <w:rFonts w:ascii="宋体" w:hAnsi="宋体"/>
          <w:szCs w:val="21"/>
        </w:rPr>
      </w:pPr>
      <w:r>
        <w:rPr>
          <w:rFonts w:hint="eastAsia" w:ascii="宋体" w:hAnsi="宋体"/>
          <w:szCs w:val="21"/>
        </w:rPr>
        <w:t>（4）“伴随服务”系指根据本合同规定乙方承担与供货有关的辅助服务，如运输、保</w:t>
      </w:r>
      <w:r>
        <w:rPr>
          <w:rFonts w:hint="eastAsia" w:ascii="宋体" w:hAnsi="宋体"/>
          <w:spacing w:val="2"/>
          <w:szCs w:val="21"/>
        </w:rPr>
        <w:t>险以及其它的伴随服务，例如安装、调试、提供技术</w:t>
      </w:r>
      <w:r>
        <w:rPr>
          <w:rFonts w:hint="eastAsia" w:ascii="宋体" w:hAnsi="宋体"/>
          <w:szCs w:val="21"/>
        </w:rPr>
        <w:t>协</w:t>
      </w:r>
      <w:r>
        <w:rPr>
          <w:rFonts w:hint="eastAsia" w:ascii="宋体" w:hAnsi="宋体"/>
          <w:spacing w:val="2"/>
          <w:szCs w:val="21"/>
        </w:rPr>
        <w:t>助、培训和合同中规定</w:t>
      </w:r>
      <w:r>
        <w:rPr>
          <w:rFonts w:hint="eastAsia" w:ascii="宋体" w:hAnsi="宋体"/>
          <w:szCs w:val="21"/>
        </w:rPr>
        <w:t>乙方应承担的其它义务。</w:t>
      </w:r>
    </w:p>
    <w:p w14:paraId="6FB55BCF">
      <w:pPr>
        <w:tabs>
          <w:tab w:val="left" w:pos="570"/>
          <w:tab w:val="left" w:pos="9240"/>
          <w:tab w:val="left" w:pos="9555"/>
        </w:tabs>
        <w:adjustRightInd w:val="0"/>
        <w:snapToGrid w:val="0"/>
        <w:spacing w:line="360" w:lineRule="auto"/>
        <w:ind w:firstLine="420" w:firstLineChars="200"/>
        <w:jc w:val="left"/>
        <w:rPr>
          <w:rFonts w:ascii="宋体" w:hAnsi="宋体"/>
          <w:szCs w:val="21"/>
        </w:rPr>
      </w:pPr>
      <w:r>
        <w:rPr>
          <w:rFonts w:hint="eastAsia" w:ascii="宋体" w:hAnsi="宋体"/>
          <w:szCs w:val="21"/>
        </w:rPr>
        <w:t>（5）“合同条款”系指本合同条款。</w:t>
      </w:r>
    </w:p>
    <w:p w14:paraId="6DF34DCA">
      <w:pPr>
        <w:tabs>
          <w:tab w:val="left" w:pos="570"/>
          <w:tab w:val="left" w:pos="9240"/>
          <w:tab w:val="left" w:pos="9555"/>
        </w:tabs>
        <w:adjustRightInd w:val="0"/>
        <w:snapToGrid w:val="0"/>
        <w:spacing w:line="360" w:lineRule="auto"/>
        <w:ind w:firstLine="420" w:firstLineChars="200"/>
        <w:jc w:val="left"/>
        <w:rPr>
          <w:rFonts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748E920F">
      <w:pPr>
        <w:autoSpaceDE w:val="0"/>
        <w:autoSpaceDN w:val="0"/>
        <w:adjustRightInd w:val="0"/>
        <w:snapToGrid w:val="0"/>
        <w:spacing w:line="360" w:lineRule="auto"/>
        <w:ind w:firstLine="422" w:firstLineChars="200"/>
        <w:jc w:val="left"/>
        <w:rPr>
          <w:rFonts w:ascii="宋体" w:hAnsi="宋体"/>
          <w:b/>
          <w:szCs w:val="21"/>
        </w:rPr>
      </w:pPr>
      <w:r>
        <w:rPr>
          <w:rFonts w:hint="eastAsia" w:ascii="宋体" w:hAnsi="宋体"/>
          <w:b/>
          <w:szCs w:val="21"/>
        </w:rPr>
        <w:t>2.合同的适用范围</w:t>
      </w:r>
    </w:p>
    <w:p w14:paraId="6301E40E">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2.1 本合同条款适用于没有被本合同其他部分的条款所取代的范围。</w:t>
      </w:r>
    </w:p>
    <w:p w14:paraId="19658993">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2.2 合同内容根据招标文件、投标文件而确定。</w:t>
      </w:r>
    </w:p>
    <w:p w14:paraId="15D35E5C">
      <w:pPr>
        <w:autoSpaceDE w:val="0"/>
        <w:autoSpaceDN w:val="0"/>
        <w:adjustRightInd w:val="0"/>
        <w:snapToGrid w:val="0"/>
        <w:spacing w:line="360" w:lineRule="auto"/>
        <w:ind w:firstLine="422" w:firstLineChars="200"/>
        <w:jc w:val="left"/>
        <w:rPr>
          <w:rFonts w:ascii="宋体" w:hAnsi="宋体"/>
          <w:b/>
          <w:bCs/>
          <w:szCs w:val="21"/>
        </w:rPr>
      </w:pPr>
      <w:r>
        <w:rPr>
          <w:rFonts w:hint="eastAsia" w:ascii="宋体" w:hAnsi="宋体"/>
          <w:b/>
          <w:bCs/>
          <w:szCs w:val="21"/>
        </w:rPr>
        <w:t>3.</w:t>
      </w:r>
      <w:r>
        <w:rPr>
          <w:rFonts w:hint="eastAsia" w:ascii="宋体" w:hAnsi="宋体"/>
          <w:b/>
          <w:szCs w:val="21"/>
        </w:rPr>
        <w:t>合同标的及金额</w:t>
      </w:r>
    </w:p>
    <w:p w14:paraId="65B12072">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3.1 合同标的及金额应与中标结果一致。</w:t>
      </w:r>
    </w:p>
    <w:p w14:paraId="43A3E8B2">
      <w:pPr>
        <w:autoSpaceDE w:val="0"/>
        <w:autoSpaceDN w:val="0"/>
        <w:adjustRightInd w:val="0"/>
        <w:snapToGrid w:val="0"/>
        <w:spacing w:line="360" w:lineRule="auto"/>
        <w:ind w:firstLine="422" w:firstLineChars="200"/>
        <w:jc w:val="left"/>
        <w:rPr>
          <w:rFonts w:ascii="宋体" w:hAnsi="宋体"/>
          <w:b/>
          <w:bCs/>
          <w:szCs w:val="21"/>
        </w:rPr>
      </w:pPr>
      <w:r>
        <w:rPr>
          <w:rFonts w:hint="eastAsia" w:ascii="宋体" w:hAnsi="宋体"/>
          <w:b/>
          <w:bCs/>
          <w:szCs w:val="21"/>
        </w:rPr>
        <w:t>4.</w:t>
      </w:r>
      <w:r>
        <w:rPr>
          <w:rFonts w:hint="eastAsia" w:ascii="宋体" w:hAnsi="宋体"/>
          <w:b/>
          <w:szCs w:val="21"/>
        </w:rPr>
        <w:t>合同价款</w:t>
      </w:r>
    </w:p>
    <w:p w14:paraId="671C90C4">
      <w:pPr>
        <w:adjustRightInd w:val="0"/>
        <w:snapToGrid w:val="0"/>
        <w:spacing w:line="360" w:lineRule="auto"/>
        <w:ind w:firstLine="420" w:firstLineChars="200"/>
        <w:jc w:val="left"/>
        <w:rPr>
          <w:rFonts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00BB29EA">
      <w:pPr>
        <w:adjustRightInd w:val="0"/>
        <w:snapToGrid w:val="0"/>
        <w:spacing w:line="360" w:lineRule="auto"/>
        <w:ind w:firstLine="422" w:firstLineChars="200"/>
        <w:jc w:val="left"/>
        <w:rPr>
          <w:rFonts w:ascii="宋体" w:hAnsi="宋体"/>
          <w:b/>
          <w:szCs w:val="21"/>
        </w:rPr>
      </w:pPr>
      <w:r>
        <w:rPr>
          <w:rFonts w:hint="eastAsia" w:ascii="宋体" w:hAnsi="宋体"/>
          <w:b/>
          <w:szCs w:val="21"/>
        </w:rPr>
        <w:t>5.履行合同的期限、地点和方式</w:t>
      </w:r>
    </w:p>
    <w:p w14:paraId="3D0DD7AE">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602BFA1A">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5.2 乙方提供服务的应当在甲方指定的地点完成服务项目。</w:t>
      </w:r>
    </w:p>
    <w:p w14:paraId="660BA024">
      <w:pPr>
        <w:adjustRightInd w:val="0"/>
        <w:snapToGrid w:val="0"/>
        <w:spacing w:line="360" w:lineRule="auto"/>
        <w:ind w:firstLine="422" w:firstLineChars="200"/>
        <w:jc w:val="left"/>
        <w:rPr>
          <w:rFonts w:ascii="宋体" w:hAnsi="宋体"/>
          <w:b/>
          <w:bCs/>
          <w:szCs w:val="21"/>
        </w:rPr>
      </w:pPr>
      <w:r>
        <w:rPr>
          <w:rFonts w:hint="eastAsia" w:ascii="宋体" w:hAnsi="宋体"/>
          <w:b/>
          <w:bCs/>
          <w:szCs w:val="21"/>
        </w:rPr>
        <w:t>6.</w:t>
      </w:r>
      <w:r>
        <w:rPr>
          <w:rFonts w:hint="eastAsia" w:ascii="宋体" w:hAnsi="宋体"/>
          <w:b/>
          <w:szCs w:val="21"/>
        </w:rPr>
        <w:t>货物的验收</w:t>
      </w:r>
    </w:p>
    <w:p w14:paraId="474B9531">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6.1 甲方在收到乙方交付的货物后应当及时组织验收。</w:t>
      </w:r>
    </w:p>
    <w:p w14:paraId="1E780C14">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6.2 货物的表面瑕疵，甲方应在验收时当面提出；对质量问题有异议的应在安装调试后十个工作日内提出。</w:t>
      </w:r>
    </w:p>
    <w:p w14:paraId="2A87D7AA">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48F7BA8E">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757DD517">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6.5 甲方对货物进行检查验收合格后，应当收取发票并在《交货验收单》上签署验收意见及加盖单位印章。</w:t>
      </w:r>
    </w:p>
    <w:p w14:paraId="2A414A64">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053A55F7">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6.7 乙方提供的进口产品，乙方应出示中华人民共和国进出口商品检验部门出具的检验证书（招标文件第四章“技术规格、参数及要求”另有约定的除外）。</w:t>
      </w:r>
    </w:p>
    <w:p w14:paraId="157724BF">
      <w:pPr>
        <w:adjustRightInd w:val="0"/>
        <w:snapToGrid w:val="0"/>
        <w:spacing w:line="360" w:lineRule="auto"/>
        <w:ind w:firstLine="422" w:firstLineChars="200"/>
        <w:jc w:val="left"/>
        <w:rPr>
          <w:rFonts w:ascii="宋体" w:hAnsi="宋体"/>
          <w:b/>
          <w:bCs/>
          <w:szCs w:val="21"/>
        </w:rPr>
      </w:pPr>
      <w:r>
        <w:rPr>
          <w:rFonts w:hint="eastAsia" w:ascii="宋体" w:hAnsi="宋体"/>
          <w:b/>
          <w:bCs/>
          <w:szCs w:val="21"/>
        </w:rPr>
        <w:t>7.货物包装要求</w:t>
      </w:r>
    </w:p>
    <w:p w14:paraId="2B2AE4B1">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74EAC550">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7.2 每一个包装箱内应附一份详细装箱单、质量证书和保修保养证书。</w:t>
      </w:r>
    </w:p>
    <w:p w14:paraId="3598D214">
      <w:pPr>
        <w:adjustRightInd w:val="0"/>
        <w:snapToGrid w:val="0"/>
        <w:spacing w:line="360" w:lineRule="auto"/>
        <w:ind w:firstLine="422" w:firstLineChars="200"/>
        <w:jc w:val="left"/>
        <w:rPr>
          <w:rFonts w:ascii="宋体" w:hAnsi="宋体"/>
          <w:b/>
          <w:szCs w:val="21"/>
        </w:rPr>
      </w:pPr>
      <w:r>
        <w:rPr>
          <w:rFonts w:hint="eastAsia" w:ascii="宋体" w:hAnsi="宋体"/>
          <w:b/>
          <w:szCs w:val="21"/>
        </w:rPr>
        <w:t>8.运输和保险</w:t>
      </w:r>
    </w:p>
    <w:p w14:paraId="39CACDEE">
      <w:pPr>
        <w:adjustRightInd w:val="0"/>
        <w:snapToGrid w:val="0"/>
        <w:spacing w:line="360" w:lineRule="auto"/>
        <w:ind w:firstLine="420" w:firstLineChars="200"/>
        <w:jc w:val="left"/>
        <w:rPr>
          <w:rFonts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289F2C8C">
      <w:pPr>
        <w:adjustRightInd w:val="0"/>
        <w:snapToGrid w:val="0"/>
        <w:spacing w:line="360" w:lineRule="auto"/>
        <w:ind w:firstLine="420" w:firstLineChars="200"/>
        <w:jc w:val="left"/>
        <w:rPr>
          <w:rFonts w:ascii="宋体" w:hAnsi="宋体"/>
          <w:szCs w:val="21"/>
        </w:rPr>
      </w:pPr>
      <w:r>
        <w:rPr>
          <w:rFonts w:hint="eastAsia" w:ascii="宋体" w:hAnsi="宋体"/>
          <w:szCs w:val="21"/>
        </w:rPr>
        <w:t>8.2乙方应向保险公司投保以甲方为受益人的发运合同货物发票金额的110％运输一切险。</w:t>
      </w:r>
    </w:p>
    <w:p w14:paraId="79A8876F">
      <w:pPr>
        <w:adjustRightInd w:val="0"/>
        <w:snapToGrid w:val="0"/>
        <w:spacing w:line="360" w:lineRule="auto"/>
        <w:ind w:firstLine="422" w:firstLineChars="200"/>
        <w:jc w:val="left"/>
        <w:rPr>
          <w:rFonts w:ascii="宋体" w:hAnsi="宋体"/>
          <w:b/>
          <w:szCs w:val="21"/>
        </w:rPr>
      </w:pPr>
      <w:r>
        <w:rPr>
          <w:rFonts w:hint="eastAsia" w:ascii="宋体" w:hAnsi="宋体"/>
          <w:b/>
          <w:szCs w:val="21"/>
        </w:rPr>
        <w:t>9.质量标准和保证</w:t>
      </w:r>
    </w:p>
    <w:p w14:paraId="174F9317">
      <w:pPr>
        <w:pStyle w:val="25"/>
        <w:adjustRightInd w:val="0"/>
        <w:snapToGrid w:val="0"/>
        <w:spacing w:line="360" w:lineRule="auto"/>
        <w:ind w:firstLine="400" w:firstLineChars="200"/>
        <w:jc w:val="left"/>
        <w:rPr>
          <w:rFonts w:hAnsi="宋体"/>
          <w:b/>
        </w:rPr>
      </w:pPr>
      <w:r>
        <w:rPr>
          <w:rFonts w:hint="eastAsia" w:hAnsi="宋体"/>
        </w:rPr>
        <w:t>9.1 质量标准</w:t>
      </w:r>
    </w:p>
    <w:p w14:paraId="747DD80D">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（1）本合同下交付的货物应符合招标文件第四章“技术规格、参数与要求”所述的标准。如果没有提及适用标准，则应符合中华人民共和国有关机构发布的最新版本的标准。</w:t>
      </w:r>
    </w:p>
    <w:p w14:paraId="6CCA3DFA">
      <w:pPr>
        <w:pStyle w:val="25"/>
        <w:adjustRightInd w:val="0"/>
        <w:snapToGrid w:val="0"/>
        <w:spacing w:line="360" w:lineRule="auto"/>
        <w:ind w:firstLine="400" w:firstLineChars="200"/>
        <w:jc w:val="left"/>
        <w:rPr>
          <w:rFonts w:hAnsi="宋体"/>
        </w:rPr>
      </w:pPr>
      <w:r>
        <w:rPr>
          <w:rFonts w:hint="eastAsia" w:hAnsi="宋体"/>
        </w:rPr>
        <w:t>（2）采用中华人民共和国法定计量单位。</w:t>
      </w:r>
    </w:p>
    <w:p w14:paraId="656B79DB">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（3）乙方所出售的货物还应符合国家有关安全、环保、卫生之规定。</w:t>
      </w:r>
    </w:p>
    <w:p w14:paraId="3A736860">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9.2 保证</w:t>
      </w:r>
    </w:p>
    <w:p w14:paraId="4A362CD3">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5C0E027E">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14:paraId="08E43E7A">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7C45AE73">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06F0D523">
      <w:pPr>
        <w:adjustRightInd w:val="0"/>
        <w:snapToGrid w:val="0"/>
        <w:spacing w:line="360" w:lineRule="auto"/>
        <w:ind w:firstLine="420" w:firstLineChars="200"/>
        <w:jc w:val="left"/>
        <w:rPr>
          <w:rFonts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62C9C74D">
      <w:pPr>
        <w:adjustRightInd w:val="0"/>
        <w:snapToGrid w:val="0"/>
        <w:spacing w:line="360" w:lineRule="auto"/>
        <w:ind w:firstLine="422" w:firstLineChars="200"/>
        <w:jc w:val="left"/>
        <w:rPr>
          <w:rFonts w:ascii="宋体" w:hAnsi="宋体"/>
          <w:b/>
          <w:bCs/>
          <w:szCs w:val="21"/>
        </w:rPr>
      </w:pPr>
      <w:r>
        <w:rPr>
          <w:rFonts w:hint="eastAsia" w:ascii="宋体" w:hAnsi="宋体"/>
          <w:b/>
          <w:bCs/>
          <w:szCs w:val="21"/>
        </w:rPr>
        <w:t>10.权利瑕疵担保</w:t>
      </w:r>
    </w:p>
    <w:p w14:paraId="273A2BB1">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10.1 乙方保证对其出售的货物享有合法的权利。</w:t>
      </w:r>
    </w:p>
    <w:p w14:paraId="6ED8716A">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10.2 乙方保证在其出售的货物上不存在任何未曾向甲方透露的担保物权，如抵押权、质押权、留置权等。</w:t>
      </w:r>
    </w:p>
    <w:p w14:paraId="7F01E5A4">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10.3 如甲方使用该货物构成上述侵权的，则由乙方承担全部责任。</w:t>
      </w:r>
    </w:p>
    <w:p w14:paraId="3AE2985F">
      <w:pPr>
        <w:autoSpaceDE w:val="0"/>
        <w:autoSpaceDN w:val="0"/>
        <w:adjustRightInd w:val="0"/>
        <w:snapToGrid w:val="0"/>
        <w:spacing w:line="360" w:lineRule="auto"/>
        <w:ind w:firstLine="422" w:firstLineChars="200"/>
        <w:jc w:val="left"/>
        <w:rPr>
          <w:rFonts w:ascii="宋体" w:hAnsi="宋体"/>
          <w:b/>
          <w:bCs/>
          <w:szCs w:val="21"/>
        </w:rPr>
      </w:pPr>
      <w:r>
        <w:rPr>
          <w:rFonts w:hint="eastAsia" w:ascii="宋体" w:hAnsi="宋体"/>
          <w:b/>
          <w:bCs/>
          <w:szCs w:val="21"/>
        </w:rPr>
        <w:t>11.知识产权保护</w:t>
      </w:r>
    </w:p>
    <w:p w14:paraId="06A58F14">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02205601">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37A87CD2">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11.3 甲方委托乙方开发的产品，甲方享有知识产权，未经甲方许可不得转让任何第三人。</w:t>
      </w:r>
    </w:p>
    <w:p w14:paraId="0FC1633B">
      <w:pPr>
        <w:autoSpaceDE w:val="0"/>
        <w:autoSpaceDN w:val="0"/>
        <w:adjustRightInd w:val="0"/>
        <w:snapToGrid w:val="0"/>
        <w:spacing w:line="360" w:lineRule="auto"/>
        <w:ind w:firstLine="422" w:firstLineChars="200"/>
        <w:jc w:val="left"/>
        <w:rPr>
          <w:rFonts w:ascii="宋体" w:hAnsi="宋体"/>
          <w:b/>
          <w:bCs/>
          <w:szCs w:val="21"/>
        </w:rPr>
      </w:pPr>
      <w:r>
        <w:rPr>
          <w:rFonts w:hint="eastAsia" w:ascii="宋体" w:hAnsi="宋体"/>
          <w:b/>
          <w:bCs/>
          <w:szCs w:val="21"/>
        </w:rPr>
        <w:t>12.保密义务</w:t>
      </w:r>
    </w:p>
    <w:p w14:paraId="35545C88">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12.1 甲、乙双方在采购和履行合同过程中所获悉的对方属于保密的内容，双方均有保密义务。</w:t>
      </w:r>
    </w:p>
    <w:p w14:paraId="7FD92411">
      <w:pPr>
        <w:autoSpaceDE w:val="0"/>
        <w:autoSpaceDN w:val="0"/>
        <w:adjustRightInd w:val="0"/>
        <w:snapToGrid w:val="0"/>
        <w:spacing w:line="360" w:lineRule="auto"/>
        <w:ind w:firstLine="422" w:firstLineChars="200"/>
        <w:jc w:val="left"/>
        <w:rPr>
          <w:rFonts w:ascii="宋体" w:hAnsi="宋体"/>
          <w:b/>
          <w:bCs/>
          <w:szCs w:val="21"/>
        </w:rPr>
      </w:pPr>
      <w:r>
        <w:rPr>
          <w:rFonts w:hint="eastAsia" w:ascii="宋体" w:hAnsi="宋体"/>
          <w:b/>
          <w:bCs/>
          <w:szCs w:val="21"/>
        </w:rPr>
        <w:t>13.合同价款支付</w:t>
      </w:r>
    </w:p>
    <w:p w14:paraId="6E7D805B">
      <w:pPr>
        <w:adjustRightInd w:val="0"/>
        <w:snapToGrid w:val="0"/>
        <w:spacing w:line="360" w:lineRule="auto"/>
        <w:ind w:firstLine="420" w:firstLineChars="200"/>
        <w:jc w:val="left"/>
        <w:rPr>
          <w:rFonts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0FE51DF5">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31DFAC2F">
      <w:pPr>
        <w:adjustRightInd w:val="0"/>
        <w:snapToGrid w:val="0"/>
        <w:spacing w:line="360" w:lineRule="auto"/>
        <w:ind w:firstLine="420" w:firstLineChars="200"/>
        <w:jc w:val="left"/>
        <w:rPr>
          <w:rFonts w:ascii="宋体" w:hAnsi="宋体"/>
          <w:szCs w:val="21"/>
        </w:rPr>
      </w:pPr>
      <w:r>
        <w:rPr>
          <w:rFonts w:hint="eastAsia" w:ascii="宋体" w:hAnsi="宋体"/>
          <w:szCs w:val="21"/>
        </w:rPr>
        <w:t>13.3 合同价款构成中应当由甲方自行支付的部分，甲方应当在货物验收合格后十五个工作内支付。</w:t>
      </w:r>
    </w:p>
    <w:p w14:paraId="7760BD69">
      <w:pPr>
        <w:adjustRightInd w:val="0"/>
        <w:snapToGrid w:val="0"/>
        <w:spacing w:line="360" w:lineRule="auto"/>
        <w:ind w:firstLine="420" w:firstLineChars="200"/>
        <w:jc w:val="left"/>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时，一律不向乙方以外的任何第三方办理付款手续。开户行和帐号以签订的政府采购合同为准，如果乙方要求变更，则乙方必须提供加盖了财务专用章、法定代表人签字的证明文件，报经甲方审查同意。</w:t>
      </w:r>
    </w:p>
    <w:p w14:paraId="614D741B">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1AC70741">
      <w:pPr>
        <w:autoSpaceDE w:val="0"/>
        <w:autoSpaceDN w:val="0"/>
        <w:adjustRightInd w:val="0"/>
        <w:snapToGrid w:val="0"/>
        <w:spacing w:line="360" w:lineRule="auto"/>
        <w:ind w:firstLine="422" w:firstLineChars="200"/>
        <w:jc w:val="left"/>
        <w:rPr>
          <w:rFonts w:ascii="宋体" w:hAnsi="宋体"/>
          <w:b/>
          <w:szCs w:val="21"/>
        </w:rPr>
      </w:pPr>
      <w:r>
        <w:rPr>
          <w:rFonts w:hint="eastAsia" w:ascii="宋体" w:hAnsi="宋体"/>
          <w:b/>
          <w:bCs/>
          <w:szCs w:val="21"/>
        </w:rPr>
        <w:t>14.</w:t>
      </w:r>
      <w:r>
        <w:rPr>
          <w:rFonts w:hint="eastAsia" w:ascii="宋体" w:hAnsi="宋体"/>
          <w:b/>
          <w:szCs w:val="21"/>
        </w:rPr>
        <w:t>伴随服务</w:t>
      </w:r>
    </w:p>
    <w:p w14:paraId="2BC06520">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520FAF9A">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14.2 乙方还应提供下列服务：</w:t>
      </w:r>
    </w:p>
    <w:p w14:paraId="744CC03C">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（1）货物的现场移动、安装、调试、启动监督及技术支持；</w:t>
      </w:r>
    </w:p>
    <w:p w14:paraId="1BD092BA">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（2）提供货物组装和维修所需的专用工具和辅助材料；</w:t>
      </w:r>
    </w:p>
    <w:p w14:paraId="1AB73B77">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606955F1">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（4）在制造商或项目现场就货物的安装、启动、运营、维护对甲方操作人员进行培训。</w:t>
      </w:r>
    </w:p>
    <w:p w14:paraId="286B98B3">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与招标文件第四章“技术规格、参数和要求”规定的其他伴随服务</w:t>
      </w:r>
    </w:p>
    <w:p w14:paraId="0D913369">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14.3 乙方提供的伴随服务的费用应包含在合同价款中，甲方不再另行支付。</w:t>
      </w:r>
    </w:p>
    <w:p w14:paraId="59D4764C">
      <w:pPr>
        <w:adjustRightInd w:val="0"/>
        <w:snapToGrid w:val="0"/>
        <w:spacing w:line="360" w:lineRule="auto"/>
        <w:ind w:firstLine="422" w:firstLineChars="200"/>
        <w:jc w:val="left"/>
        <w:rPr>
          <w:rFonts w:ascii="宋体" w:hAnsi="宋体"/>
          <w:b/>
          <w:bCs/>
          <w:szCs w:val="21"/>
        </w:rPr>
      </w:pPr>
      <w:r>
        <w:rPr>
          <w:rFonts w:hint="eastAsia" w:ascii="宋体" w:hAnsi="宋体"/>
          <w:b/>
          <w:bCs/>
          <w:szCs w:val="21"/>
        </w:rPr>
        <w:t>15.违约责任</w:t>
      </w:r>
    </w:p>
    <w:p w14:paraId="04F1E820">
      <w:pPr>
        <w:adjustRightInd w:val="0"/>
        <w:snapToGrid w:val="0"/>
        <w:spacing w:line="360" w:lineRule="auto"/>
        <w:ind w:firstLine="420" w:firstLineChars="200"/>
        <w:jc w:val="left"/>
        <w:rPr>
          <w:rFonts w:ascii="宋体" w:hAnsi="宋体"/>
          <w:bCs/>
          <w:szCs w:val="21"/>
        </w:rPr>
      </w:pPr>
      <w:r>
        <w:rPr>
          <w:rFonts w:hint="eastAsia" w:ascii="宋体" w:hAnsi="宋体"/>
          <w:bCs/>
          <w:szCs w:val="21"/>
        </w:rPr>
        <w:t>15.1质量瑕疵的补救措施和索赔</w:t>
      </w:r>
    </w:p>
    <w:p w14:paraId="24ADA0F0">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E370027">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①乙方同意退货并将货款退还给甲方，由此发生的一切费用和损失由乙方承担。</w:t>
      </w:r>
    </w:p>
    <w:p w14:paraId="6D0F458F">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②根据货物的质量状况以及甲方所遭受的损失，经过甲乙双方商定降低货物的价格。</w:t>
      </w:r>
    </w:p>
    <w:p w14:paraId="5A9B82F9">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918A38F">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72D11A9E">
      <w:pPr>
        <w:autoSpaceDE w:val="0"/>
        <w:autoSpaceDN w:val="0"/>
        <w:adjustRightInd w:val="0"/>
        <w:snapToGrid w:val="0"/>
        <w:spacing w:line="360" w:lineRule="auto"/>
        <w:ind w:firstLine="420" w:firstLineChars="200"/>
        <w:jc w:val="left"/>
        <w:rPr>
          <w:rFonts w:ascii="宋体" w:hAnsi="宋体"/>
          <w:bCs/>
          <w:szCs w:val="21"/>
        </w:rPr>
      </w:pPr>
      <w:r>
        <w:rPr>
          <w:rFonts w:hint="eastAsia" w:ascii="宋体" w:hAnsi="宋体"/>
          <w:bCs/>
          <w:szCs w:val="21"/>
        </w:rPr>
        <w:t>15.2 迟延交货的违约责任</w:t>
      </w:r>
    </w:p>
    <w:p w14:paraId="7AE31DDD">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CE45701">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783A95F5">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E795580">
      <w:pPr>
        <w:autoSpaceDE w:val="0"/>
        <w:autoSpaceDN w:val="0"/>
        <w:adjustRightInd w:val="0"/>
        <w:snapToGrid w:val="0"/>
        <w:spacing w:line="360" w:lineRule="auto"/>
        <w:ind w:firstLine="422" w:firstLineChars="200"/>
        <w:jc w:val="left"/>
        <w:rPr>
          <w:rFonts w:ascii="宋体" w:hAnsi="宋体"/>
          <w:b/>
          <w:szCs w:val="21"/>
        </w:rPr>
      </w:pPr>
      <w:r>
        <w:rPr>
          <w:rFonts w:hint="eastAsia" w:ascii="宋体" w:hAnsi="宋体"/>
          <w:b/>
          <w:szCs w:val="21"/>
        </w:rPr>
        <w:t>16.合同的变更</w:t>
      </w:r>
    </w:p>
    <w:p w14:paraId="33AF3BAB">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3BB7E2FD">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66BADEA3">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16.3 除双方签署书面协议，并成为合同不可分割的一部分外，本合同条件不得有任何变更。</w:t>
      </w:r>
    </w:p>
    <w:p w14:paraId="23AB51FD">
      <w:pPr>
        <w:autoSpaceDE w:val="0"/>
        <w:autoSpaceDN w:val="0"/>
        <w:adjustRightInd w:val="0"/>
        <w:snapToGrid w:val="0"/>
        <w:spacing w:line="360" w:lineRule="auto"/>
        <w:ind w:firstLine="422" w:firstLineChars="200"/>
        <w:jc w:val="left"/>
        <w:rPr>
          <w:rFonts w:ascii="宋体" w:hAnsi="宋体"/>
          <w:b/>
          <w:szCs w:val="21"/>
        </w:rPr>
      </w:pPr>
      <w:r>
        <w:rPr>
          <w:rFonts w:hint="eastAsia" w:ascii="宋体" w:hAnsi="宋体"/>
          <w:b/>
          <w:szCs w:val="21"/>
        </w:rPr>
        <w:t>17.合同中止与终止</w:t>
      </w:r>
    </w:p>
    <w:p w14:paraId="58A704E4">
      <w:pPr>
        <w:adjustRightInd w:val="0"/>
        <w:snapToGrid w:val="0"/>
        <w:spacing w:line="360" w:lineRule="auto"/>
        <w:ind w:firstLine="420" w:firstLineChars="200"/>
        <w:jc w:val="left"/>
        <w:rPr>
          <w:rFonts w:ascii="宋体" w:hAnsi="宋体"/>
          <w:szCs w:val="21"/>
        </w:rPr>
      </w:pPr>
      <w:r>
        <w:rPr>
          <w:rFonts w:hint="eastAsia" w:ascii="宋体" w:hAnsi="宋体"/>
          <w:szCs w:val="21"/>
        </w:rPr>
        <w:t>17.1合同的中止</w:t>
      </w:r>
    </w:p>
    <w:p w14:paraId="4F8039D7">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（1）合同在履行过程中，因采购计划调整，甲方可以要求中止履行，待计划确定后继续履行；</w:t>
      </w:r>
    </w:p>
    <w:p w14:paraId="51600EE0">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（2）合同履行过程中因投标人就采购过程或结果提起投诉的，甲方认为有必要或财政部门责令中止的，应当中止合同的履行。</w:t>
      </w:r>
    </w:p>
    <w:p w14:paraId="09FB5F02">
      <w:pPr>
        <w:adjustRightInd w:val="0"/>
        <w:snapToGrid w:val="0"/>
        <w:spacing w:line="360" w:lineRule="auto"/>
        <w:ind w:firstLine="420" w:firstLineChars="200"/>
        <w:jc w:val="left"/>
        <w:rPr>
          <w:rFonts w:ascii="宋体" w:hAnsi="宋体"/>
          <w:szCs w:val="21"/>
        </w:rPr>
      </w:pPr>
      <w:r>
        <w:rPr>
          <w:rFonts w:hint="eastAsia" w:ascii="宋体" w:hAnsi="宋体"/>
          <w:szCs w:val="21"/>
        </w:rPr>
        <w:t>17.2合同的终止</w:t>
      </w:r>
    </w:p>
    <w:p w14:paraId="75F36BCB">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（1）合同因有效期限届满而终止；</w:t>
      </w:r>
    </w:p>
    <w:p w14:paraId="6EA36B4F">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3AE6DD20">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0042458E">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29A91784">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021408F9">
      <w:pPr>
        <w:autoSpaceDE w:val="0"/>
        <w:autoSpaceDN w:val="0"/>
        <w:adjustRightInd w:val="0"/>
        <w:snapToGrid w:val="0"/>
        <w:spacing w:line="360" w:lineRule="auto"/>
        <w:ind w:firstLine="422" w:firstLineChars="200"/>
        <w:jc w:val="left"/>
        <w:rPr>
          <w:rFonts w:ascii="宋体" w:hAnsi="宋体"/>
          <w:b/>
          <w:bCs/>
          <w:szCs w:val="21"/>
        </w:rPr>
      </w:pPr>
      <w:r>
        <w:rPr>
          <w:rFonts w:hint="eastAsia" w:ascii="宋体" w:hAnsi="宋体"/>
          <w:b/>
          <w:bCs/>
          <w:szCs w:val="21"/>
        </w:rPr>
        <w:t>18.合同转让和分包</w:t>
      </w:r>
    </w:p>
    <w:p w14:paraId="2487BCFE">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18.1 乙方不得以任何形式将合同转包。</w:t>
      </w:r>
    </w:p>
    <w:p w14:paraId="2565C389">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18.2 乙方未在投标文件中说明，不得将</w:t>
      </w:r>
      <w:r>
        <w:rPr>
          <w:rFonts w:hint="eastAsia" w:ascii="宋体" w:hAnsi="宋体"/>
          <w:bCs/>
          <w:szCs w:val="21"/>
        </w:rPr>
        <w:t>合同</w:t>
      </w:r>
      <w:r>
        <w:rPr>
          <w:rFonts w:hint="eastAsia" w:ascii="宋体" w:hAnsi="宋体"/>
          <w:szCs w:val="21"/>
        </w:rPr>
        <w:t>的非主体、非关键性工作分包给他人。</w:t>
      </w:r>
    </w:p>
    <w:p w14:paraId="2AF9C6AB">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18.3 根据政府采购</w:t>
      </w:r>
      <w:r>
        <w:rPr>
          <w:rFonts w:hint="eastAsia" w:ascii="宋体" w:hAnsi="宋体" w:cs="宋体"/>
          <w:bCs/>
          <w:kern w:val="0"/>
          <w:szCs w:val="21"/>
        </w:rPr>
        <w:t>支持</w:t>
      </w:r>
      <w:r>
        <w:rPr>
          <w:rFonts w:hint="eastAsia" w:ascii="宋体" w:hAnsi="宋体"/>
          <w:szCs w:val="21"/>
        </w:rPr>
        <w:t>中小企业发展政策规定，经甲方同意，获得政府采购合同的大型企业可依法向中小企业分包。</w:t>
      </w:r>
    </w:p>
    <w:p w14:paraId="78574A9F">
      <w:pPr>
        <w:autoSpaceDE w:val="0"/>
        <w:autoSpaceDN w:val="0"/>
        <w:adjustRightInd w:val="0"/>
        <w:snapToGrid w:val="0"/>
        <w:spacing w:line="360" w:lineRule="auto"/>
        <w:ind w:firstLine="422" w:firstLineChars="200"/>
        <w:jc w:val="left"/>
        <w:rPr>
          <w:rFonts w:ascii="宋体" w:hAnsi="宋体"/>
          <w:b/>
          <w:bCs/>
          <w:szCs w:val="21"/>
        </w:rPr>
      </w:pPr>
      <w:r>
        <w:rPr>
          <w:rFonts w:hint="eastAsia" w:ascii="宋体" w:hAnsi="宋体"/>
          <w:b/>
          <w:bCs/>
          <w:szCs w:val="21"/>
        </w:rPr>
        <w:t>19.不可抗力</w:t>
      </w:r>
    </w:p>
    <w:p w14:paraId="4FB24507">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19.1 不可抗力是指合同双方不可预见、不可避免、不可克服的自然灾害和社会事件。</w:t>
      </w:r>
    </w:p>
    <w:p w14:paraId="631F82B3">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3CB8176B">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2ECF93C8">
      <w:pPr>
        <w:autoSpaceDE w:val="0"/>
        <w:autoSpaceDN w:val="0"/>
        <w:adjustRightInd w:val="0"/>
        <w:snapToGrid w:val="0"/>
        <w:spacing w:line="360" w:lineRule="auto"/>
        <w:ind w:firstLine="422" w:firstLineChars="200"/>
        <w:jc w:val="left"/>
        <w:rPr>
          <w:rFonts w:ascii="宋体" w:hAnsi="宋体"/>
          <w:b/>
          <w:bCs/>
          <w:szCs w:val="21"/>
        </w:rPr>
      </w:pPr>
      <w:r>
        <w:rPr>
          <w:rFonts w:hint="eastAsia" w:ascii="宋体" w:hAnsi="宋体"/>
          <w:b/>
          <w:bCs/>
          <w:szCs w:val="21"/>
        </w:rPr>
        <w:t>20.解决争议的方法</w:t>
      </w:r>
    </w:p>
    <w:p w14:paraId="7BDA21F9">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229F70FC">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20.2 调解不成可以按</w:t>
      </w:r>
      <w:r>
        <w:rPr>
          <w:rFonts w:hint="eastAsia" w:ascii="宋体" w:hAnsi="宋体"/>
          <w:b/>
          <w:szCs w:val="21"/>
        </w:rPr>
        <w:t>【政府采购合同专用条款】</w:t>
      </w:r>
      <w:r>
        <w:rPr>
          <w:rFonts w:hint="eastAsia" w:ascii="宋体" w:hAnsi="宋体"/>
          <w:szCs w:val="21"/>
        </w:rPr>
        <w:t>中约定中规定下列方式之一提起仲裁或诉讼：</w:t>
      </w:r>
    </w:p>
    <w:p w14:paraId="6659B0D2">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（1）向甲方所在地仲裁机构提起仲裁；</w:t>
      </w:r>
    </w:p>
    <w:p w14:paraId="50A2ABB6">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（2）向甲方所在地人民法院提起诉讼。</w:t>
      </w:r>
    </w:p>
    <w:p w14:paraId="440BC247">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7D78BA04">
      <w:pPr>
        <w:autoSpaceDE w:val="0"/>
        <w:autoSpaceDN w:val="0"/>
        <w:adjustRightInd w:val="0"/>
        <w:snapToGrid w:val="0"/>
        <w:spacing w:line="360" w:lineRule="auto"/>
        <w:ind w:firstLine="422" w:firstLineChars="200"/>
        <w:jc w:val="left"/>
        <w:rPr>
          <w:rFonts w:ascii="宋体" w:hAnsi="宋体"/>
          <w:b/>
          <w:szCs w:val="21"/>
        </w:rPr>
      </w:pPr>
      <w:r>
        <w:rPr>
          <w:rFonts w:hint="eastAsia" w:ascii="宋体" w:hAnsi="宋体"/>
          <w:b/>
          <w:szCs w:val="21"/>
        </w:rPr>
        <w:t>21.法律适用</w:t>
      </w:r>
    </w:p>
    <w:p w14:paraId="051EF940">
      <w:pPr>
        <w:autoSpaceDE w:val="0"/>
        <w:autoSpaceDN w:val="0"/>
        <w:adjustRightInd w:val="0"/>
        <w:snapToGrid w:val="0"/>
        <w:spacing w:line="360" w:lineRule="auto"/>
        <w:ind w:firstLine="420" w:firstLineChars="200"/>
        <w:jc w:val="left"/>
        <w:rPr>
          <w:rFonts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52EDA332">
      <w:pPr>
        <w:autoSpaceDE w:val="0"/>
        <w:autoSpaceDN w:val="0"/>
        <w:adjustRightInd w:val="0"/>
        <w:snapToGrid w:val="0"/>
        <w:spacing w:line="360" w:lineRule="auto"/>
        <w:ind w:firstLine="422" w:firstLineChars="200"/>
        <w:jc w:val="left"/>
        <w:rPr>
          <w:rFonts w:ascii="宋体" w:hAnsi="宋体"/>
          <w:b/>
          <w:szCs w:val="21"/>
        </w:rPr>
      </w:pPr>
      <w:r>
        <w:rPr>
          <w:rFonts w:hint="eastAsia" w:ascii="宋体" w:hAnsi="宋体"/>
          <w:b/>
          <w:bCs/>
          <w:szCs w:val="21"/>
        </w:rPr>
        <w:t>22.</w:t>
      </w:r>
      <w:r>
        <w:rPr>
          <w:rFonts w:hint="eastAsia" w:ascii="宋体" w:hAnsi="宋体"/>
          <w:b/>
          <w:szCs w:val="21"/>
        </w:rPr>
        <w:t>通知</w:t>
      </w:r>
    </w:p>
    <w:p w14:paraId="5CB36BAD">
      <w:pPr>
        <w:adjustRightInd w:val="0"/>
        <w:snapToGrid w:val="0"/>
        <w:spacing w:line="360" w:lineRule="auto"/>
        <w:ind w:firstLine="420" w:firstLineChars="200"/>
        <w:jc w:val="left"/>
        <w:rPr>
          <w:rFonts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2FAA0490">
      <w:pPr>
        <w:adjustRightInd w:val="0"/>
        <w:snapToGrid w:val="0"/>
        <w:spacing w:line="360" w:lineRule="auto"/>
        <w:ind w:firstLine="420" w:firstLineChars="200"/>
        <w:jc w:val="left"/>
        <w:rPr>
          <w:rFonts w:ascii="宋体" w:hAnsi="宋体"/>
          <w:szCs w:val="21"/>
        </w:rPr>
      </w:pPr>
      <w:r>
        <w:rPr>
          <w:rFonts w:hint="eastAsia" w:ascii="宋体" w:hAnsi="宋体"/>
          <w:szCs w:val="21"/>
        </w:rPr>
        <w:t>22.2通知以送到之日或通知书中规定的生效之日起生效，两者中以较迟之日为准。</w:t>
      </w:r>
    </w:p>
    <w:p w14:paraId="2BC0CE36">
      <w:pPr>
        <w:adjustRightInd w:val="0"/>
        <w:snapToGrid w:val="0"/>
        <w:spacing w:line="360" w:lineRule="auto"/>
        <w:ind w:firstLine="422" w:firstLineChars="200"/>
        <w:jc w:val="left"/>
        <w:rPr>
          <w:rFonts w:ascii="宋体" w:hAnsi="宋体"/>
          <w:b/>
          <w:bCs/>
          <w:szCs w:val="21"/>
        </w:rPr>
      </w:pPr>
      <w:r>
        <w:rPr>
          <w:rFonts w:hint="eastAsia" w:ascii="宋体" w:hAnsi="宋体"/>
          <w:b/>
          <w:bCs/>
          <w:szCs w:val="21"/>
        </w:rPr>
        <w:t>23. 合同未尽事项</w:t>
      </w:r>
    </w:p>
    <w:p w14:paraId="07D1D3E0">
      <w:pPr>
        <w:adjustRightInd w:val="0"/>
        <w:snapToGrid w:val="0"/>
        <w:spacing w:line="360" w:lineRule="auto"/>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67916763">
      <w:pPr>
        <w:adjustRightInd w:val="0"/>
        <w:snapToGrid w:val="0"/>
        <w:spacing w:line="360" w:lineRule="auto"/>
        <w:ind w:firstLine="422" w:firstLineChars="200"/>
        <w:jc w:val="left"/>
        <w:rPr>
          <w:rFonts w:ascii="宋体" w:hAnsi="宋体"/>
          <w:b/>
          <w:bCs/>
          <w:szCs w:val="21"/>
        </w:rPr>
      </w:pPr>
      <w:r>
        <w:rPr>
          <w:rFonts w:hint="eastAsia" w:ascii="宋体" w:hAnsi="宋体"/>
          <w:b/>
          <w:bCs/>
          <w:szCs w:val="21"/>
        </w:rPr>
        <w:t>24.合同生效</w:t>
      </w:r>
    </w:p>
    <w:p w14:paraId="3497EF66">
      <w:pPr>
        <w:adjustRightInd w:val="0"/>
        <w:snapToGrid w:val="0"/>
        <w:spacing w:line="360" w:lineRule="auto"/>
        <w:ind w:firstLine="420" w:firstLineChars="200"/>
        <w:rPr>
          <w:rFonts w:ascii="宋体" w:hAnsi="宋体" w:cs="宋体"/>
          <w:b/>
          <w:szCs w:val="21"/>
        </w:rPr>
      </w:pPr>
      <w:r>
        <w:rPr>
          <w:rFonts w:hint="eastAsia" w:ascii="宋体" w:hAnsi="宋体"/>
          <w:szCs w:val="21"/>
        </w:rPr>
        <w:t>24.1 本合同在合同双方签字盖章后生效。</w:t>
      </w:r>
    </w:p>
    <w:p w14:paraId="5A69BAD7">
      <w:pPr>
        <w:autoSpaceDE w:val="0"/>
        <w:autoSpaceDN w:val="0"/>
        <w:adjustRightInd w:val="0"/>
        <w:snapToGrid w:val="0"/>
        <w:spacing w:line="360" w:lineRule="auto"/>
        <w:ind w:firstLine="420" w:firstLineChars="200"/>
        <w:jc w:val="left"/>
        <w:rPr>
          <w:rFonts w:ascii="宋体" w:hAnsi="宋体" w:cs="宋体"/>
          <w:szCs w:val="21"/>
        </w:rPr>
      </w:pPr>
    </w:p>
    <w:p w14:paraId="47E3CE0C">
      <w:pPr>
        <w:autoSpaceDE w:val="0"/>
        <w:autoSpaceDN w:val="0"/>
        <w:adjustRightInd w:val="0"/>
        <w:snapToGrid w:val="0"/>
        <w:spacing w:line="360" w:lineRule="auto"/>
        <w:ind w:firstLine="420" w:firstLineChars="200"/>
        <w:jc w:val="center"/>
        <w:rPr>
          <w:rFonts w:ascii="宋体" w:hAnsi="宋体" w:cs="宋体"/>
          <w:szCs w:val="21"/>
        </w:rPr>
      </w:pPr>
      <w:r>
        <w:rPr>
          <w:rFonts w:hint="eastAsia" w:ascii="宋体" w:hAnsi="宋体" w:cs="宋体"/>
          <w:szCs w:val="21"/>
        </w:rPr>
        <w:br w:type="page"/>
      </w:r>
    </w:p>
    <w:p w14:paraId="796FAE33">
      <w:pPr>
        <w:pStyle w:val="3"/>
        <w:jc w:val="center"/>
        <w:rPr>
          <w:rFonts w:ascii="宋体" w:hAnsi="宋体" w:cs="宋体"/>
          <w:bCs w:val="0"/>
          <w:sz w:val="28"/>
          <w:szCs w:val="28"/>
        </w:rPr>
      </w:pPr>
      <w:bookmarkStart w:id="123" w:name="_Toc19483"/>
      <w:bookmarkStart w:id="124" w:name="_Toc19033"/>
      <w:bookmarkStart w:id="125" w:name="_Toc19730"/>
      <w:r>
        <w:rPr>
          <w:rFonts w:hint="eastAsia" w:ascii="宋体" w:hAnsi="宋体" w:cs="宋体"/>
          <w:bCs w:val="0"/>
          <w:sz w:val="28"/>
          <w:szCs w:val="28"/>
        </w:rPr>
        <w:t>第三节 政府采购合同专用条</w:t>
      </w:r>
      <w:bookmarkEnd w:id="123"/>
      <w:r>
        <w:rPr>
          <w:rFonts w:hint="eastAsia" w:ascii="宋体" w:hAnsi="宋体" w:cs="宋体"/>
          <w:bCs w:val="0"/>
          <w:sz w:val="28"/>
          <w:szCs w:val="28"/>
        </w:rPr>
        <w:t>款</w:t>
      </w:r>
    </w:p>
    <w:p w14:paraId="175BA61D">
      <w:pPr>
        <w:jc w:val="center"/>
        <w:rPr>
          <w:rFonts w:ascii="宋体" w:hAnsi="宋体" w:cs="宋体"/>
          <w:sz w:val="24"/>
        </w:rPr>
      </w:pPr>
    </w:p>
    <w:tbl>
      <w:tblPr>
        <w:tblStyle w:val="40"/>
        <w:tblW w:w="979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50"/>
        <w:gridCol w:w="1768"/>
        <w:gridCol w:w="6181"/>
      </w:tblGrid>
      <w:tr w14:paraId="1D78A6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0" w:hRule="atLeast"/>
        </w:trPr>
        <w:tc>
          <w:tcPr>
            <w:tcW w:w="1850" w:type="dxa"/>
            <w:noWrap/>
            <w:vAlign w:val="center"/>
          </w:tcPr>
          <w:p w14:paraId="497D98AC">
            <w:pPr>
              <w:adjustRightInd w:val="0"/>
              <w:snapToGrid w:val="0"/>
              <w:jc w:val="center"/>
              <w:rPr>
                <w:rFonts w:ascii="宋体" w:hAnsi="宋体" w:cs="宋体"/>
                <w:szCs w:val="21"/>
              </w:rPr>
            </w:pPr>
            <w:r>
              <w:rPr>
                <w:rFonts w:hint="eastAsia" w:ascii="宋体" w:hAnsi="宋体" w:cs="宋体"/>
                <w:szCs w:val="21"/>
              </w:rPr>
              <w:t>第五章</w:t>
            </w:r>
          </w:p>
          <w:p w14:paraId="6377E7E9">
            <w:pPr>
              <w:adjustRightInd w:val="0"/>
              <w:snapToGrid w:val="0"/>
              <w:jc w:val="center"/>
              <w:rPr>
                <w:rFonts w:ascii="宋体" w:hAnsi="宋体" w:cs="宋体"/>
                <w:szCs w:val="21"/>
              </w:rPr>
            </w:pPr>
            <w:r>
              <w:rPr>
                <w:rFonts w:hint="eastAsia" w:ascii="宋体" w:hAnsi="宋体" w:cs="宋体"/>
                <w:szCs w:val="21"/>
              </w:rPr>
              <w:t>第1.1款</w:t>
            </w:r>
          </w:p>
        </w:tc>
        <w:tc>
          <w:tcPr>
            <w:tcW w:w="1768" w:type="dxa"/>
            <w:noWrap/>
            <w:vAlign w:val="center"/>
          </w:tcPr>
          <w:p w14:paraId="00430F82">
            <w:pPr>
              <w:adjustRightInd w:val="0"/>
              <w:snapToGrid w:val="0"/>
              <w:jc w:val="left"/>
              <w:rPr>
                <w:rFonts w:ascii="宋体" w:hAnsi="宋体" w:cs="宋体"/>
                <w:szCs w:val="21"/>
              </w:rPr>
            </w:pPr>
            <w:r>
              <w:rPr>
                <w:rFonts w:hint="eastAsia" w:ascii="宋体" w:hAnsi="宋体" w:cs="宋体"/>
                <w:szCs w:val="21"/>
              </w:rPr>
              <w:t>甲方名称、地址</w:t>
            </w:r>
          </w:p>
        </w:tc>
        <w:tc>
          <w:tcPr>
            <w:tcW w:w="6181" w:type="dxa"/>
            <w:noWrap/>
            <w:vAlign w:val="center"/>
          </w:tcPr>
          <w:p w14:paraId="4DCF8A72">
            <w:pPr>
              <w:adjustRightInd w:val="0"/>
              <w:snapToGrid w:val="0"/>
              <w:spacing w:line="360" w:lineRule="auto"/>
              <w:rPr>
                <w:rFonts w:hint="eastAsia" w:ascii="宋体" w:hAnsi="宋体" w:eastAsia="宋体" w:cs="宋体"/>
                <w:color w:val="000000"/>
                <w:szCs w:val="21"/>
                <w:u w:val="single"/>
                <w:lang w:eastAsia="zh-CN"/>
              </w:rPr>
            </w:pPr>
            <w:r>
              <w:rPr>
                <w:rFonts w:hint="eastAsia" w:ascii="宋体" w:hAnsi="宋体" w:eastAsia="宋体" w:cs="宋体"/>
                <w:color w:val="000000"/>
                <w:szCs w:val="21"/>
              </w:rPr>
              <w:t>名  称：</w:t>
            </w:r>
            <w:r>
              <w:rPr>
                <w:rFonts w:hint="eastAsia" w:ascii="宋体" w:hAnsi="宋体" w:eastAsia="宋体" w:cs="宋体"/>
                <w:color w:val="000000"/>
                <w:szCs w:val="21"/>
                <w:u w:val="single"/>
                <w:lang w:eastAsia="zh-CN"/>
              </w:rPr>
              <w:t>岳阳市人民医院</w:t>
            </w:r>
          </w:p>
          <w:p w14:paraId="65E4D6AE">
            <w:pPr>
              <w:adjustRightInd w:val="0"/>
              <w:snapToGrid w:val="0"/>
              <w:jc w:val="left"/>
              <w:rPr>
                <w:rFonts w:ascii="宋体" w:hAnsi="宋体" w:cs="宋体"/>
                <w:szCs w:val="21"/>
              </w:rPr>
            </w:pPr>
            <w:r>
              <w:rPr>
                <w:rFonts w:hint="eastAsia" w:ascii="宋体" w:hAnsi="宋体" w:eastAsia="宋体" w:cs="宋体"/>
                <w:color w:val="000000"/>
                <w:szCs w:val="21"/>
              </w:rPr>
              <w:t>地  址：</w:t>
            </w:r>
            <w:r>
              <w:rPr>
                <w:rFonts w:hint="eastAsia" w:ascii="宋体" w:hAnsi="宋体" w:eastAsia="宋体" w:cs="宋体"/>
                <w:color w:val="000000"/>
                <w:szCs w:val="21"/>
                <w:u w:val="single"/>
                <w:lang w:eastAsia="zh-CN"/>
              </w:rPr>
              <w:t>岳阳市巴陵东路263号</w:t>
            </w:r>
          </w:p>
        </w:tc>
      </w:tr>
      <w:tr w14:paraId="4C1CDA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850" w:type="dxa"/>
            <w:noWrap/>
            <w:vAlign w:val="center"/>
          </w:tcPr>
          <w:p w14:paraId="20E48A2F">
            <w:pPr>
              <w:adjustRightInd w:val="0"/>
              <w:snapToGrid w:val="0"/>
              <w:jc w:val="center"/>
              <w:rPr>
                <w:rFonts w:ascii="宋体" w:hAnsi="宋体" w:cs="宋体"/>
                <w:szCs w:val="21"/>
              </w:rPr>
            </w:pPr>
            <w:r>
              <w:rPr>
                <w:rFonts w:hint="eastAsia" w:ascii="宋体" w:hAnsi="宋体" w:cs="宋体"/>
                <w:szCs w:val="21"/>
              </w:rPr>
              <w:t>第五章</w:t>
            </w:r>
          </w:p>
          <w:p w14:paraId="71FF5AEE">
            <w:pPr>
              <w:adjustRightInd w:val="0"/>
              <w:snapToGrid w:val="0"/>
              <w:jc w:val="center"/>
              <w:rPr>
                <w:rFonts w:ascii="宋体" w:hAnsi="宋体" w:cs="宋体"/>
                <w:szCs w:val="21"/>
              </w:rPr>
            </w:pPr>
            <w:r>
              <w:rPr>
                <w:rFonts w:hint="eastAsia" w:ascii="宋体" w:hAnsi="宋体" w:cs="宋体"/>
                <w:szCs w:val="21"/>
              </w:rPr>
              <w:t>第1.2（6）项</w:t>
            </w:r>
          </w:p>
        </w:tc>
        <w:tc>
          <w:tcPr>
            <w:tcW w:w="1768" w:type="dxa"/>
            <w:noWrap/>
            <w:vAlign w:val="center"/>
          </w:tcPr>
          <w:p w14:paraId="54B8E722">
            <w:pPr>
              <w:adjustRightInd w:val="0"/>
              <w:snapToGrid w:val="0"/>
              <w:jc w:val="left"/>
              <w:rPr>
                <w:rFonts w:ascii="宋体" w:hAnsi="宋体" w:cs="宋体"/>
                <w:szCs w:val="21"/>
              </w:rPr>
            </w:pPr>
            <w:r>
              <w:rPr>
                <w:rFonts w:hint="eastAsia" w:ascii="宋体" w:hAnsi="宋体" w:cs="宋体"/>
                <w:szCs w:val="21"/>
              </w:rPr>
              <w:t>项目现场</w:t>
            </w:r>
          </w:p>
        </w:tc>
        <w:tc>
          <w:tcPr>
            <w:tcW w:w="6181" w:type="dxa"/>
            <w:noWrap/>
            <w:vAlign w:val="center"/>
          </w:tcPr>
          <w:p w14:paraId="4026A734">
            <w:pPr>
              <w:adjustRightInd w:val="0"/>
              <w:snapToGrid w:val="0"/>
              <w:jc w:val="left"/>
              <w:rPr>
                <w:rFonts w:ascii="宋体" w:hAnsi="宋体" w:cs="宋体"/>
                <w:szCs w:val="21"/>
              </w:rPr>
            </w:pPr>
            <w:r>
              <w:rPr>
                <w:rFonts w:hint="eastAsia" w:ascii="宋体" w:hAnsi="宋体" w:cs="宋体"/>
                <w:color w:val="000000"/>
                <w:szCs w:val="21"/>
              </w:rPr>
              <w:t>采购人指定地点</w:t>
            </w:r>
          </w:p>
        </w:tc>
      </w:tr>
      <w:tr w14:paraId="14C2A8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4" w:hRule="atLeast"/>
        </w:trPr>
        <w:tc>
          <w:tcPr>
            <w:tcW w:w="1850" w:type="dxa"/>
            <w:noWrap/>
            <w:vAlign w:val="center"/>
          </w:tcPr>
          <w:p w14:paraId="23598E34">
            <w:pPr>
              <w:adjustRightInd w:val="0"/>
              <w:snapToGrid w:val="0"/>
              <w:jc w:val="center"/>
              <w:rPr>
                <w:rFonts w:ascii="宋体" w:hAnsi="宋体" w:cs="宋体"/>
                <w:szCs w:val="21"/>
              </w:rPr>
            </w:pPr>
            <w:r>
              <w:rPr>
                <w:rFonts w:hint="eastAsia" w:ascii="宋体" w:hAnsi="宋体" w:cs="宋体"/>
                <w:szCs w:val="21"/>
              </w:rPr>
              <w:t>第五章</w:t>
            </w:r>
          </w:p>
          <w:p w14:paraId="749D4171">
            <w:pPr>
              <w:adjustRightInd w:val="0"/>
              <w:snapToGrid w:val="0"/>
              <w:jc w:val="center"/>
              <w:rPr>
                <w:rFonts w:ascii="宋体" w:hAnsi="宋体" w:cs="宋体"/>
                <w:szCs w:val="21"/>
              </w:rPr>
            </w:pPr>
            <w:r>
              <w:rPr>
                <w:rFonts w:hint="eastAsia" w:ascii="宋体" w:hAnsi="宋体" w:cs="宋体"/>
                <w:szCs w:val="21"/>
              </w:rPr>
              <w:t>第5.1款</w:t>
            </w:r>
          </w:p>
        </w:tc>
        <w:tc>
          <w:tcPr>
            <w:tcW w:w="1768" w:type="dxa"/>
            <w:noWrap/>
            <w:vAlign w:val="center"/>
          </w:tcPr>
          <w:p w14:paraId="44B0260E">
            <w:pPr>
              <w:adjustRightInd w:val="0"/>
              <w:snapToGrid w:val="0"/>
              <w:jc w:val="left"/>
              <w:rPr>
                <w:rFonts w:ascii="宋体" w:hAnsi="宋体" w:cs="宋体"/>
                <w:szCs w:val="21"/>
              </w:rPr>
            </w:pPr>
            <w:r>
              <w:rPr>
                <w:rFonts w:hint="eastAsia" w:ascii="宋体" w:hAnsi="宋体" w:cs="宋体"/>
                <w:szCs w:val="21"/>
              </w:rPr>
              <w:t>履行合同的期限、地</w:t>
            </w:r>
            <w:r>
              <w:rPr>
                <w:rFonts w:hint="eastAsia" w:ascii="宋体" w:hAnsi="宋体" w:cs="宋体"/>
                <w:b w:val="0"/>
                <w:bCs w:val="0"/>
                <w:szCs w:val="21"/>
              </w:rPr>
              <w:t>点及</w:t>
            </w:r>
            <w:r>
              <w:rPr>
                <w:rFonts w:hint="eastAsia" w:ascii="宋体" w:hAnsi="宋体" w:cs="宋体"/>
                <w:szCs w:val="21"/>
              </w:rPr>
              <w:t>方式</w:t>
            </w:r>
          </w:p>
        </w:tc>
        <w:tc>
          <w:tcPr>
            <w:tcW w:w="6181" w:type="dxa"/>
            <w:noWrap/>
            <w:vAlign w:val="center"/>
          </w:tcPr>
          <w:p w14:paraId="3DF20B94">
            <w:pPr>
              <w:adjustRightInd w:val="0"/>
              <w:snapToGrid w:val="0"/>
              <w:spacing w:line="360" w:lineRule="auto"/>
              <w:jc w:val="left"/>
              <w:rPr>
                <w:rFonts w:ascii="宋体" w:hAnsi="宋体" w:eastAsia="宋体" w:cs="Times New Roman"/>
                <w:bCs/>
                <w:color w:val="000000"/>
                <w:szCs w:val="21"/>
                <w:u w:val="single"/>
              </w:rPr>
            </w:pPr>
            <w:r>
              <w:rPr>
                <w:rFonts w:hint="eastAsia" w:ascii="宋体" w:hAnsi="宋体" w:eastAsia="宋体" w:cs="Times New Roman"/>
                <w:color w:val="000000"/>
                <w:szCs w:val="21"/>
              </w:rPr>
              <w:t>交货时间：</w:t>
            </w:r>
            <w:r>
              <w:rPr>
                <w:rFonts w:hint="eastAsia" w:ascii="宋体" w:hAnsi="宋体"/>
                <w:bCs/>
                <w:color w:val="auto"/>
                <w:szCs w:val="21"/>
                <w:u w:val="single"/>
                <w:lang w:val="en-US" w:eastAsia="zh-CN"/>
              </w:rPr>
              <w:t>合同签订后30日</w:t>
            </w:r>
          </w:p>
          <w:p w14:paraId="209E435E">
            <w:pPr>
              <w:adjustRightInd w:val="0"/>
              <w:snapToGrid w:val="0"/>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交货地点：</w:t>
            </w:r>
            <w:r>
              <w:rPr>
                <w:rFonts w:hint="eastAsia" w:ascii="宋体" w:hAnsi="宋体" w:eastAsia="宋体" w:cs="Times New Roman"/>
                <w:color w:val="000000"/>
                <w:szCs w:val="21"/>
                <w:u w:val="single"/>
              </w:rPr>
              <w:t>采购人指定地点交货。</w:t>
            </w:r>
          </w:p>
          <w:p w14:paraId="280A78AB">
            <w:pPr>
              <w:adjustRightInd w:val="0"/>
              <w:snapToGrid w:val="0"/>
              <w:jc w:val="left"/>
              <w:rPr>
                <w:rFonts w:ascii="宋体" w:hAnsi="宋体" w:cs="宋体"/>
                <w:szCs w:val="21"/>
              </w:rPr>
            </w:pPr>
            <w:r>
              <w:rPr>
                <w:rFonts w:hint="eastAsia" w:ascii="宋体" w:hAnsi="宋体" w:eastAsia="宋体" w:cs="Times New Roman"/>
                <w:color w:val="000000"/>
                <w:szCs w:val="21"/>
              </w:rPr>
              <w:t>交货方式：</w:t>
            </w:r>
            <w:r>
              <w:rPr>
                <w:rFonts w:hint="eastAsia" w:ascii="宋体" w:hAnsi="宋体" w:eastAsia="宋体" w:cs="Times New Roman"/>
                <w:color w:val="000000"/>
                <w:szCs w:val="21"/>
                <w:u w:val="single"/>
              </w:rPr>
              <w:t>按采购人要求。</w:t>
            </w:r>
          </w:p>
        </w:tc>
      </w:tr>
      <w:tr w14:paraId="063EA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850" w:type="dxa"/>
            <w:noWrap/>
            <w:vAlign w:val="center"/>
          </w:tcPr>
          <w:p w14:paraId="7067B687">
            <w:pPr>
              <w:adjustRightInd w:val="0"/>
              <w:snapToGrid w:val="0"/>
              <w:jc w:val="center"/>
              <w:rPr>
                <w:rFonts w:ascii="宋体" w:hAnsi="宋体" w:cs="宋体"/>
                <w:szCs w:val="21"/>
              </w:rPr>
            </w:pPr>
            <w:r>
              <w:rPr>
                <w:rFonts w:hint="eastAsia" w:ascii="宋体" w:hAnsi="宋体" w:cs="宋体"/>
                <w:szCs w:val="21"/>
              </w:rPr>
              <w:t>第五章</w:t>
            </w:r>
          </w:p>
          <w:p w14:paraId="5F69503F">
            <w:pPr>
              <w:adjustRightInd w:val="0"/>
              <w:snapToGrid w:val="0"/>
              <w:jc w:val="center"/>
              <w:rPr>
                <w:rFonts w:ascii="宋体" w:hAnsi="宋体" w:cs="宋体"/>
                <w:szCs w:val="21"/>
              </w:rPr>
            </w:pPr>
            <w:r>
              <w:rPr>
                <w:rFonts w:hint="eastAsia" w:ascii="宋体" w:hAnsi="宋体" w:cs="宋体"/>
                <w:szCs w:val="21"/>
              </w:rPr>
              <w:t>第13.5款</w:t>
            </w:r>
          </w:p>
        </w:tc>
        <w:tc>
          <w:tcPr>
            <w:tcW w:w="1768" w:type="dxa"/>
            <w:noWrap/>
            <w:vAlign w:val="center"/>
          </w:tcPr>
          <w:p w14:paraId="6368B654">
            <w:pPr>
              <w:adjustRightInd w:val="0"/>
              <w:snapToGrid w:val="0"/>
              <w:jc w:val="left"/>
              <w:rPr>
                <w:rFonts w:ascii="宋体" w:hAnsi="宋体" w:cs="宋体"/>
                <w:szCs w:val="21"/>
              </w:rPr>
            </w:pPr>
            <w:r>
              <w:rPr>
                <w:rFonts w:hint="eastAsia" w:ascii="宋体" w:hAnsi="宋体" w:cs="宋体"/>
                <w:b w:val="0"/>
                <w:bCs w:val="0"/>
                <w:szCs w:val="21"/>
              </w:rPr>
              <w:t>合同价款支付方式和条件</w:t>
            </w:r>
          </w:p>
        </w:tc>
        <w:tc>
          <w:tcPr>
            <w:tcW w:w="6181" w:type="dxa"/>
            <w:noWrap/>
            <w:vAlign w:val="center"/>
          </w:tcPr>
          <w:p w14:paraId="15B419D2">
            <w:pPr>
              <w:adjustRightInd w:val="0"/>
              <w:snapToGrid w:val="0"/>
              <w:jc w:val="left"/>
              <w:rPr>
                <w:rFonts w:hint="default" w:ascii="宋体" w:hAnsi="宋体" w:eastAsia="宋体" w:cs="宋体"/>
                <w:szCs w:val="21"/>
                <w:lang w:val="en-US" w:eastAsia="zh-CN"/>
              </w:rPr>
            </w:pPr>
            <w:r>
              <w:rPr>
                <w:rFonts w:hint="eastAsia"/>
                <w:color w:val="000000"/>
              </w:rPr>
              <w:t>详见采购需求</w:t>
            </w:r>
          </w:p>
        </w:tc>
      </w:tr>
      <w:tr w14:paraId="49FFC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850" w:type="dxa"/>
            <w:noWrap/>
            <w:vAlign w:val="center"/>
          </w:tcPr>
          <w:p w14:paraId="48575217">
            <w:pPr>
              <w:adjustRightInd w:val="0"/>
              <w:snapToGrid w:val="0"/>
              <w:jc w:val="center"/>
              <w:rPr>
                <w:rFonts w:ascii="宋体" w:hAnsi="宋体" w:cs="宋体"/>
                <w:szCs w:val="21"/>
              </w:rPr>
            </w:pPr>
            <w:r>
              <w:rPr>
                <w:rFonts w:hint="eastAsia" w:ascii="宋体" w:hAnsi="宋体" w:cs="宋体"/>
                <w:szCs w:val="21"/>
              </w:rPr>
              <w:t>第五章</w:t>
            </w:r>
          </w:p>
          <w:p w14:paraId="7103C318">
            <w:pPr>
              <w:adjustRightInd w:val="0"/>
              <w:snapToGrid w:val="0"/>
              <w:jc w:val="center"/>
              <w:rPr>
                <w:rFonts w:ascii="宋体" w:hAnsi="宋体" w:cs="宋体"/>
                <w:szCs w:val="21"/>
              </w:rPr>
            </w:pPr>
            <w:r>
              <w:rPr>
                <w:rFonts w:hint="eastAsia" w:ascii="宋体" w:hAnsi="宋体" w:cs="宋体"/>
                <w:szCs w:val="21"/>
              </w:rPr>
              <w:t>第14.2（5）项</w:t>
            </w:r>
          </w:p>
        </w:tc>
        <w:tc>
          <w:tcPr>
            <w:tcW w:w="1768" w:type="dxa"/>
            <w:noWrap/>
            <w:vAlign w:val="center"/>
          </w:tcPr>
          <w:p w14:paraId="711F23C0">
            <w:pPr>
              <w:adjustRightInd w:val="0"/>
              <w:snapToGrid w:val="0"/>
              <w:jc w:val="left"/>
              <w:rPr>
                <w:rFonts w:ascii="宋体" w:hAnsi="宋体" w:cs="宋体"/>
                <w:szCs w:val="21"/>
              </w:rPr>
            </w:pPr>
            <w:r>
              <w:rPr>
                <w:rFonts w:hint="eastAsia" w:ascii="宋体" w:hAnsi="宋体" w:cs="宋体"/>
                <w:szCs w:val="21"/>
              </w:rPr>
              <w:t>伴随服务</w:t>
            </w:r>
          </w:p>
        </w:tc>
        <w:tc>
          <w:tcPr>
            <w:tcW w:w="6181" w:type="dxa"/>
            <w:noWrap/>
            <w:vAlign w:val="center"/>
          </w:tcPr>
          <w:p w14:paraId="77BD7A95">
            <w:pPr>
              <w:adjustRightInd w:val="0"/>
              <w:snapToGrid w:val="0"/>
              <w:jc w:val="left"/>
              <w:rPr>
                <w:rFonts w:ascii="宋体" w:hAnsi="宋体" w:cs="宋体"/>
                <w:szCs w:val="21"/>
              </w:rPr>
            </w:pPr>
            <w:r>
              <w:rPr>
                <w:rFonts w:hint="eastAsia" w:ascii="宋体" w:hAnsi="宋体" w:cs="宋体"/>
                <w:szCs w:val="21"/>
              </w:rPr>
              <w:t>详见本章第二节相关内容及第四章“技术规格、参数和要求”</w:t>
            </w:r>
          </w:p>
        </w:tc>
      </w:tr>
      <w:tr w14:paraId="6E604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0" w:hRule="atLeast"/>
        </w:trPr>
        <w:tc>
          <w:tcPr>
            <w:tcW w:w="1850" w:type="dxa"/>
            <w:noWrap/>
            <w:vAlign w:val="center"/>
          </w:tcPr>
          <w:p w14:paraId="24D83ED2">
            <w:pPr>
              <w:adjustRightInd w:val="0"/>
              <w:snapToGrid w:val="0"/>
              <w:jc w:val="center"/>
              <w:rPr>
                <w:rFonts w:ascii="宋体" w:hAnsi="宋体" w:cs="宋体"/>
                <w:szCs w:val="21"/>
              </w:rPr>
            </w:pPr>
            <w:r>
              <w:rPr>
                <w:rFonts w:hint="eastAsia" w:ascii="宋体" w:hAnsi="宋体" w:cs="宋体"/>
                <w:szCs w:val="21"/>
              </w:rPr>
              <w:t>第五章</w:t>
            </w:r>
          </w:p>
          <w:p w14:paraId="128E63AA">
            <w:pPr>
              <w:adjustRightInd w:val="0"/>
              <w:snapToGrid w:val="0"/>
              <w:jc w:val="center"/>
              <w:rPr>
                <w:rFonts w:ascii="宋体" w:hAnsi="宋体" w:cs="宋体"/>
                <w:bCs/>
                <w:szCs w:val="21"/>
              </w:rPr>
            </w:pPr>
            <w:r>
              <w:rPr>
                <w:rFonts w:hint="eastAsia" w:ascii="宋体" w:hAnsi="宋体" w:cs="宋体"/>
                <w:szCs w:val="21"/>
              </w:rPr>
              <w:t>第20.2款</w:t>
            </w:r>
          </w:p>
        </w:tc>
        <w:tc>
          <w:tcPr>
            <w:tcW w:w="1768" w:type="dxa"/>
            <w:noWrap/>
            <w:vAlign w:val="center"/>
          </w:tcPr>
          <w:p w14:paraId="5D772542">
            <w:pPr>
              <w:adjustRightInd w:val="0"/>
              <w:snapToGrid w:val="0"/>
              <w:jc w:val="left"/>
              <w:rPr>
                <w:rFonts w:ascii="宋体" w:hAnsi="宋体" w:cs="宋体"/>
                <w:bCs/>
                <w:szCs w:val="21"/>
              </w:rPr>
            </w:pPr>
            <w:r>
              <w:rPr>
                <w:rFonts w:hint="eastAsia" w:ascii="宋体" w:hAnsi="宋体" w:cs="宋体"/>
                <w:szCs w:val="21"/>
              </w:rPr>
              <w:t>解决争议的方式</w:t>
            </w:r>
          </w:p>
        </w:tc>
        <w:tc>
          <w:tcPr>
            <w:tcW w:w="6181" w:type="dxa"/>
            <w:noWrap/>
            <w:vAlign w:val="center"/>
          </w:tcPr>
          <w:p w14:paraId="679203DF">
            <w:pPr>
              <w:adjustRightInd w:val="0"/>
              <w:snapToGrid w:val="0"/>
              <w:jc w:val="left"/>
              <w:rPr>
                <w:rFonts w:hint="eastAsia" w:ascii="宋体" w:hAnsi="宋体" w:eastAsia="宋体" w:cs="宋体"/>
                <w:szCs w:val="21"/>
                <w:lang w:eastAsia="zh-CN"/>
              </w:rPr>
            </w:pPr>
            <w:r>
              <w:rPr>
                <w:rFonts w:hint="eastAsia" w:ascii="宋体" w:hAnsi="宋体" w:cs="宋体"/>
                <w:szCs w:val="21"/>
                <w:lang w:eastAsia="zh-CN"/>
              </w:rPr>
              <w:t>□</w:t>
            </w:r>
            <w:r>
              <w:rPr>
                <w:rFonts w:hint="eastAsia" w:ascii="宋体" w:hAnsi="宋体" w:cs="宋体"/>
                <w:szCs w:val="21"/>
              </w:rPr>
              <w:t xml:space="preserve"> 诉讼</w:t>
            </w:r>
            <w:r>
              <w:rPr>
                <w:rFonts w:hint="eastAsia" w:ascii="宋体" w:hAnsi="宋体" w:cs="宋体"/>
                <w:szCs w:val="21"/>
                <w:lang w:eastAsia="zh-CN"/>
              </w:rPr>
              <w:t>（采购人所在地法院）</w:t>
            </w:r>
          </w:p>
          <w:p w14:paraId="5BEB0C7A">
            <w:pPr>
              <w:adjustRightInd w:val="0"/>
              <w:snapToGrid w:val="0"/>
              <w:jc w:val="left"/>
              <w:rPr>
                <w:rFonts w:hint="default" w:ascii="宋体" w:hAnsi="宋体" w:eastAsia="宋体" w:cs="宋体"/>
                <w:szCs w:val="21"/>
                <w:lang w:val="en-US" w:eastAsia="zh-CN"/>
              </w:rPr>
            </w:pPr>
            <w:r>
              <w:rPr>
                <w:rFonts w:hint="eastAsia" w:ascii="宋体" w:hAnsi="宋体" w:cs="宋体"/>
                <w:szCs w:val="21"/>
                <w:lang w:eastAsia="zh-CN"/>
              </w:rPr>
              <w:t>☑</w:t>
            </w:r>
            <w:r>
              <w:rPr>
                <w:rFonts w:hint="eastAsia" w:ascii="宋体" w:hAnsi="宋体" w:cs="宋体"/>
                <w:szCs w:val="21"/>
              </w:rPr>
              <w:t xml:space="preserve"> 仲裁</w:t>
            </w:r>
            <w:r>
              <w:rPr>
                <w:rFonts w:hint="eastAsia" w:ascii="宋体" w:hAnsi="宋体" w:cs="宋体"/>
                <w:szCs w:val="21"/>
                <w:lang w:eastAsia="zh-CN"/>
              </w:rPr>
              <w:t>（</w:t>
            </w:r>
            <w:r>
              <w:rPr>
                <w:rFonts w:hint="eastAsia" w:ascii="宋体" w:hAnsi="宋体" w:cs="宋体"/>
                <w:szCs w:val="21"/>
                <w:lang w:val="en-US" w:eastAsia="zh-CN"/>
              </w:rPr>
              <w:t>向采购人所在地仲裁委员会提起仲裁）</w:t>
            </w:r>
          </w:p>
        </w:tc>
      </w:tr>
      <w:tr w14:paraId="2CA4B6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8" w:hRule="atLeast"/>
        </w:trPr>
        <w:tc>
          <w:tcPr>
            <w:tcW w:w="1850" w:type="dxa"/>
            <w:noWrap/>
            <w:vAlign w:val="center"/>
          </w:tcPr>
          <w:p w14:paraId="24DFE93D">
            <w:pPr>
              <w:adjustRightInd w:val="0"/>
              <w:snapToGrid w:val="0"/>
              <w:jc w:val="center"/>
              <w:rPr>
                <w:rFonts w:ascii="宋体" w:hAnsi="宋体" w:cs="宋体"/>
                <w:szCs w:val="21"/>
              </w:rPr>
            </w:pPr>
            <w:r>
              <w:rPr>
                <w:rFonts w:hint="eastAsia" w:ascii="宋体" w:hAnsi="宋体" w:cs="宋体"/>
                <w:szCs w:val="21"/>
              </w:rPr>
              <w:t>第五章</w:t>
            </w:r>
          </w:p>
          <w:p w14:paraId="54A97FCA">
            <w:pPr>
              <w:adjustRightInd w:val="0"/>
              <w:snapToGrid w:val="0"/>
              <w:jc w:val="center"/>
              <w:rPr>
                <w:rFonts w:ascii="宋体" w:hAnsi="宋体" w:cs="宋体"/>
                <w:szCs w:val="21"/>
              </w:rPr>
            </w:pPr>
            <w:r>
              <w:rPr>
                <w:rFonts w:hint="eastAsia" w:ascii="宋体" w:hAnsi="宋体" w:cs="宋体"/>
                <w:szCs w:val="21"/>
              </w:rPr>
              <w:t>第23.1款</w:t>
            </w:r>
          </w:p>
        </w:tc>
        <w:tc>
          <w:tcPr>
            <w:tcW w:w="1768" w:type="dxa"/>
            <w:noWrap/>
            <w:vAlign w:val="center"/>
          </w:tcPr>
          <w:p w14:paraId="190EFD64">
            <w:pPr>
              <w:adjustRightInd w:val="0"/>
              <w:snapToGrid w:val="0"/>
              <w:jc w:val="left"/>
              <w:rPr>
                <w:rFonts w:ascii="宋体" w:hAnsi="宋体" w:cs="宋体"/>
                <w:szCs w:val="21"/>
              </w:rPr>
            </w:pPr>
            <w:r>
              <w:rPr>
                <w:rFonts w:hint="eastAsia" w:ascii="宋体" w:hAnsi="宋体" w:cs="宋体"/>
                <w:bCs/>
                <w:szCs w:val="21"/>
              </w:rPr>
              <w:t>合同未尽事项</w:t>
            </w:r>
          </w:p>
        </w:tc>
        <w:tc>
          <w:tcPr>
            <w:tcW w:w="6181" w:type="dxa"/>
            <w:noWrap/>
            <w:vAlign w:val="center"/>
          </w:tcPr>
          <w:p w14:paraId="1427EA96">
            <w:pPr>
              <w:adjustRightInd w:val="0"/>
              <w:snapToGrid w:val="0"/>
              <w:jc w:val="left"/>
              <w:rPr>
                <w:rFonts w:ascii="宋体" w:hAnsi="宋体" w:cs="宋体"/>
                <w:szCs w:val="21"/>
              </w:rPr>
            </w:pPr>
            <w:r>
              <w:rPr>
                <w:rFonts w:hint="eastAsia" w:ascii="宋体" w:hAnsi="宋体" w:cs="宋体"/>
                <w:b/>
                <w:bCs/>
                <w:szCs w:val="21"/>
              </w:rPr>
              <w:t>双方协商解决</w:t>
            </w:r>
          </w:p>
        </w:tc>
      </w:tr>
    </w:tbl>
    <w:p w14:paraId="50284F55">
      <w:pPr>
        <w:pStyle w:val="25"/>
        <w:adjustRightInd w:val="0"/>
        <w:snapToGrid w:val="0"/>
        <w:spacing w:beforeLines="50" w:line="360" w:lineRule="auto"/>
        <w:jc w:val="center"/>
        <w:rPr>
          <w:rFonts w:hAnsi="宋体" w:cs="宋体"/>
          <w:b/>
          <w:sz w:val="32"/>
          <w:szCs w:val="32"/>
        </w:rPr>
      </w:pPr>
    </w:p>
    <w:p w14:paraId="04E49D6D">
      <w:pPr>
        <w:pStyle w:val="25"/>
        <w:adjustRightInd w:val="0"/>
        <w:snapToGrid w:val="0"/>
        <w:spacing w:beforeLines="50" w:line="360" w:lineRule="auto"/>
        <w:jc w:val="center"/>
        <w:rPr>
          <w:rFonts w:hAnsi="宋体" w:cs="宋体"/>
          <w:b/>
          <w:sz w:val="32"/>
          <w:szCs w:val="32"/>
        </w:rPr>
      </w:pPr>
    </w:p>
    <w:p w14:paraId="3BDE127E">
      <w:pPr>
        <w:pStyle w:val="25"/>
        <w:adjustRightInd w:val="0"/>
        <w:snapToGrid w:val="0"/>
        <w:spacing w:beforeLines="50" w:line="360" w:lineRule="auto"/>
        <w:jc w:val="center"/>
        <w:rPr>
          <w:rFonts w:hAnsi="宋体" w:cs="宋体"/>
          <w:b/>
          <w:sz w:val="32"/>
          <w:szCs w:val="32"/>
        </w:rPr>
      </w:pPr>
    </w:p>
    <w:p w14:paraId="4CC93A0F">
      <w:pPr>
        <w:pStyle w:val="25"/>
        <w:adjustRightInd w:val="0"/>
        <w:snapToGrid w:val="0"/>
        <w:spacing w:beforeLines="50" w:line="360" w:lineRule="auto"/>
        <w:jc w:val="center"/>
        <w:rPr>
          <w:rFonts w:hAnsi="宋体" w:cs="宋体"/>
          <w:b/>
          <w:sz w:val="32"/>
          <w:szCs w:val="32"/>
        </w:rPr>
      </w:pPr>
    </w:p>
    <w:p w14:paraId="339904C6">
      <w:pPr>
        <w:pStyle w:val="25"/>
        <w:adjustRightInd w:val="0"/>
        <w:snapToGrid w:val="0"/>
        <w:spacing w:beforeLines="50" w:line="360" w:lineRule="auto"/>
        <w:jc w:val="center"/>
        <w:rPr>
          <w:rFonts w:hAnsi="宋体" w:cs="宋体"/>
          <w:b/>
          <w:sz w:val="32"/>
          <w:szCs w:val="32"/>
        </w:rPr>
      </w:pPr>
    </w:p>
    <w:p w14:paraId="4EFB4A0A">
      <w:pPr>
        <w:pStyle w:val="25"/>
        <w:adjustRightInd w:val="0"/>
        <w:snapToGrid w:val="0"/>
        <w:spacing w:beforeLines="50" w:line="360" w:lineRule="auto"/>
        <w:jc w:val="center"/>
        <w:rPr>
          <w:rFonts w:hAnsi="宋体" w:cs="宋体"/>
          <w:b/>
          <w:sz w:val="32"/>
          <w:szCs w:val="32"/>
        </w:rPr>
      </w:pPr>
    </w:p>
    <w:p w14:paraId="261D4548">
      <w:pPr>
        <w:pStyle w:val="13"/>
      </w:pPr>
    </w:p>
    <w:p w14:paraId="2C235C36">
      <w:pPr>
        <w:pStyle w:val="25"/>
        <w:adjustRightInd w:val="0"/>
        <w:snapToGrid w:val="0"/>
        <w:spacing w:beforeLines="50" w:line="360" w:lineRule="auto"/>
        <w:jc w:val="center"/>
        <w:rPr>
          <w:rFonts w:hAnsi="宋体" w:cs="宋体"/>
          <w:b/>
          <w:sz w:val="32"/>
          <w:szCs w:val="32"/>
        </w:rPr>
      </w:pPr>
    </w:p>
    <w:p w14:paraId="7E464ECD">
      <w:pPr>
        <w:pStyle w:val="25"/>
        <w:adjustRightInd w:val="0"/>
        <w:snapToGrid w:val="0"/>
        <w:spacing w:beforeLines="50" w:line="360" w:lineRule="auto"/>
        <w:jc w:val="center"/>
        <w:rPr>
          <w:rFonts w:hAnsi="宋体" w:cs="宋体"/>
          <w:b/>
          <w:sz w:val="32"/>
          <w:szCs w:val="32"/>
        </w:rPr>
      </w:pPr>
    </w:p>
    <w:p w14:paraId="7D4522E5">
      <w:pPr>
        <w:pStyle w:val="13"/>
      </w:pPr>
    </w:p>
    <w:bookmarkEnd w:id="124"/>
    <w:bookmarkEnd w:id="125"/>
    <w:p w14:paraId="16C5B21E">
      <w:pPr>
        <w:rPr>
          <w:rFonts w:hAnsi="宋体" w:cs="宋体"/>
          <w:b/>
          <w:sz w:val="32"/>
          <w:szCs w:val="32"/>
        </w:rPr>
      </w:pPr>
      <w:r>
        <w:rPr>
          <w:rFonts w:hint="eastAsia" w:hAnsi="宋体" w:cs="宋体"/>
          <w:b/>
          <w:sz w:val="32"/>
          <w:szCs w:val="32"/>
        </w:rPr>
        <w:br w:type="page"/>
      </w:r>
    </w:p>
    <w:p w14:paraId="221360A5">
      <w:pPr>
        <w:pStyle w:val="25"/>
        <w:adjustRightInd w:val="0"/>
        <w:snapToGrid w:val="0"/>
        <w:spacing w:line="360" w:lineRule="auto"/>
        <w:jc w:val="center"/>
        <w:outlineLvl w:val="0"/>
        <w:rPr>
          <w:rFonts w:ascii="黑体" w:hAnsi="华文中宋" w:eastAsia="黑体"/>
          <w:b/>
          <w:sz w:val="32"/>
          <w:szCs w:val="32"/>
        </w:rPr>
      </w:pPr>
      <w:r>
        <w:rPr>
          <w:rFonts w:hint="eastAsia" w:hAnsi="宋体" w:cs="宋体"/>
          <w:b/>
          <w:sz w:val="32"/>
          <w:szCs w:val="32"/>
        </w:rPr>
        <w:t xml:space="preserve">第六章 </w:t>
      </w:r>
      <w:r>
        <w:rPr>
          <w:rFonts w:hint="eastAsia" w:ascii="黑体" w:hAnsi="华文中宋" w:eastAsia="黑体"/>
          <w:b/>
          <w:sz w:val="32"/>
          <w:szCs w:val="32"/>
        </w:rPr>
        <w:t xml:space="preserve"> 投标文件的组成</w:t>
      </w:r>
    </w:p>
    <w:p w14:paraId="575CB320">
      <w:pPr>
        <w:adjustRightInd w:val="0"/>
        <w:snapToGrid w:val="0"/>
        <w:spacing w:line="360" w:lineRule="auto"/>
        <w:ind w:left="-88" w:leftChars="-42"/>
        <w:jc w:val="center"/>
        <w:rPr>
          <w:b/>
          <w:bCs/>
          <w:sz w:val="32"/>
        </w:rPr>
      </w:pPr>
    </w:p>
    <w:p w14:paraId="1AD5CE43">
      <w:pPr>
        <w:adjustRightInd w:val="0"/>
        <w:snapToGrid w:val="0"/>
        <w:spacing w:beforeLines="50" w:line="360" w:lineRule="auto"/>
        <w:jc w:val="left"/>
        <w:rPr>
          <w:rFonts w:ascii="宋体" w:hAnsi="宋体"/>
          <w:b/>
          <w:szCs w:val="21"/>
        </w:rPr>
      </w:pPr>
      <w:r>
        <w:rPr>
          <w:rFonts w:hint="eastAsia" w:ascii="宋体" w:hAnsi="宋体"/>
          <w:b/>
          <w:szCs w:val="21"/>
        </w:rPr>
        <w:t>第一部分 资格证明文件</w:t>
      </w:r>
    </w:p>
    <w:p w14:paraId="04D5CA76">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一、开标一览表</w:t>
      </w:r>
    </w:p>
    <w:p w14:paraId="7B4E9CA5">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二、法定代理人（单位负责人）身份证明</w:t>
      </w:r>
    </w:p>
    <w:p w14:paraId="540C1FCC">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三、授权委托书</w:t>
      </w:r>
    </w:p>
    <w:p w14:paraId="2B354157">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四、投标人提供的资格证明文件</w:t>
      </w:r>
    </w:p>
    <w:p w14:paraId="422E6FA4">
      <w:pPr>
        <w:adjustRightInd w:val="0"/>
        <w:snapToGrid w:val="0"/>
        <w:spacing w:beforeLines="50" w:line="360" w:lineRule="auto"/>
        <w:jc w:val="left"/>
        <w:rPr>
          <w:rFonts w:ascii="宋体" w:hAnsi="宋体"/>
          <w:b/>
          <w:szCs w:val="21"/>
        </w:rPr>
      </w:pPr>
      <w:r>
        <w:rPr>
          <w:rFonts w:hint="eastAsia" w:ascii="宋体" w:hAnsi="宋体"/>
          <w:b/>
          <w:szCs w:val="21"/>
        </w:rPr>
        <w:t>第二部分 商务技术文件</w:t>
      </w:r>
    </w:p>
    <w:p w14:paraId="2569D567">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五、投标函</w:t>
      </w:r>
    </w:p>
    <w:p w14:paraId="0EFBC12B">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六、分项报价</w:t>
      </w:r>
    </w:p>
    <w:p w14:paraId="2B745158">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七、采购需求响应</w:t>
      </w:r>
    </w:p>
    <w:p w14:paraId="0BB86E0C">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八、合同条款偏离表</w:t>
      </w:r>
    </w:p>
    <w:p w14:paraId="66CA6B57">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九、采购需求偏离表</w:t>
      </w:r>
    </w:p>
    <w:p w14:paraId="686654C9">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十、享受政府采购政策优惠的证明资料和清单表</w:t>
      </w:r>
    </w:p>
    <w:p w14:paraId="4871FD84">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十一、投标人认为需提供的其他资料</w:t>
      </w:r>
    </w:p>
    <w:p w14:paraId="2042464C">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1BCD7976">
      <w:pPr>
        <w:jc w:val="center"/>
        <w:rPr>
          <w:rFonts w:ascii="黑体" w:eastAsia="黑体"/>
          <w:sz w:val="32"/>
          <w:szCs w:val="32"/>
        </w:rPr>
      </w:pPr>
      <w:r>
        <w:rPr>
          <w:rFonts w:ascii="仿宋_GB2312" w:hAnsi="宋体" w:eastAsia="仿宋_GB2312"/>
          <w:szCs w:val="21"/>
        </w:rPr>
        <w:br w:type="page"/>
      </w:r>
    </w:p>
    <w:p w14:paraId="20707E1F">
      <w:pPr>
        <w:jc w:val="center"/>
        <w:rPr>
          <w:rFonts w:ascii="黑体" w:eastAsia="黑体"/>
          <w:sz w:val="32"/>
          <w:szCs w:val="32"/>
        </w:rPr>
      </w:pPr>
    </w:p>
    <w:p w14:paraId="0EEF2319">
      <w:pPr>
        <w:jc w:val="center"/>
        <w:rPr>
          <w:rFonts w:ascii="华文中宋" w:hAnsi="华文中宋" w:eastAsia="华文中宋"/>
          <w:b/>
          <w:sz w:val="84"/>
          <w:szCs w:val="84"/>
        </w:rPr>
      </w:pPr>
      <w:r>
        <w:rPr>
          <w:rFonts w:hint="eastAsia" w:ascii="华文中宋" w:hAnsi="华文中宋" w:eastAsia="华文中宋"/>
          <w:b/>
          <w:sz w:val="84"/>
          <w:szCs w:val="84"/>
        </w:rPr>
        <w:t>岳阳政府采购</w:t>
      </w:r>
    </w:p>
    <w:p w14:paraId="21935759">
      <w:pPr>
        <w:jc w:val="center"/>
        <w:rPr>
          <w:rFonts w:ascii="华文中宋" w:hAnsi="华文中宋" w:eastAsia="华文中宋"/>
          <w:b/>
          <w:sz w:val="84"/>
          <w:szCs w:val="84"/>
        </w:rPr>
      </w:pPr>
      <w:r>
        <w:rPr>
          <w:rFonts w:hint="eastAsia" w:ascii="华文中宋" w:hAnsi="华文中宋" w:eastAsia="华文中宋"/>
          <w:b/>
          <w:sz w:val="84"/>
          <w:szCs w:val="84"/>
        </w:rPr>
        <w:t>公开招标电子投标文件</w:t>
      </w:r>
    </w:p>
    <w:p w14:paraId="5E470CB1">
      <w:pPr>
        <w:pStyle w:val="5"/>
      </w:pPr>
    </w:p>
    <w:p w14:paraId="0C2A7E17">
      <w:pPr>
        <w:pStyle w:val="3"/>
        <w:adjustRightInd w:val="0"/>
        <w:snapToGrid w:val="0"/>
        <w:jc w:val="center"/>
        <w:rPr>
          <w:rFonts w:ascii="黑体" w:hAnsi="黑体" w:eastAsia="黑体"/>
          <w:sz w:val="44"/>
          <w:szCs w:val="44"/>
        </w:rPr>
      </w:pPr>
      <w:bookmarkStart w:id="126" w:name="_Toc20651241"/>
      <w:r>
        <w:rPr>
          <w:rFonts w:hint="eastAsia" w:ascii="黑体" w:hAnsi="黑体" w:eastAsia="黑体"/>
          <w:sz w:val="44"/>
          <w:szCs w:val="44"/>
        </w:rPr>
        <w:t>第一部分 资格证明文件</w:t>
      </w:r>
      <w:bookmarkEnd w:id="126"/>
    </w:p>
    <w:p w14:paraId="4E6D0D7C">
      <w:pPr>
        <w:adjustRightInd w:val="0"/>
        <w:snapToGrid w:val="0"/>
        <w:spacing w:line="360" w:lineRule="auto"/>
        <w:rPr>
          <w:rFonts w:ascii="宋体" w:hAnsi="宋体"/>
          <w:b/>
          <w:sz w:val="30"/>
          <w:szCs w:val="30"/>
        </w:rPr>
      </w:pPr>
      <w:r>
        <w:rPr>
          <w:rFonts w:hint="eastAsia" w:ascii="宋体" w:hAnsi="宋体"/>
          <w:b/>
          <w:sz w:val="32"/>
          <w:szCs w:val="32"/>
        </w:rPr>
        <w:t xml:space="preserve">                     </w:t>
      </w:r>
    </w:p>
    <w:p w14:paraId="40E09602">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4F7C9297">
      <w:pPr>
        <w:pStyle w:val="25"/>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79B8D087">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0B1BC47F">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1A36FA00">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0C9E5D4C">
      <w:pPr>
        <w:adjustRightInd w:val="0"/>
        <w:snapToGrid w:val="0"/>
        <w:spacing w:line="360" w:lineRule="auto"/>
        <w:rPr>
          <w:rFonts w:ascii="黑体" w:hAnsi="黑体" w:eastAsia="黑体"/>
          <w:sz w:val="30"/>
          <w:szCs w:val="30"/>
        </w:rPr>
      </w:pPr>
    </w:p>
    <w:p w14:paraId="3E5791A6">
      <w:pPr>
        <w:adjustRightInd w:val="0"/>
        <w:snapToGrid w:val="0"/>
        <w:spacing w:line="360" w:lineRule="auto"/>
        <w:rPr>
          <w:rFonts w:ascii="黑体" w:hAnsi="宋体" w:eastAsia="黑体"/>
          <w:sz w:val="30"/>
          <w:szCs w:val="30"/>
        </w:rPr>
      </w:pPr>
    </w:p>
    <w:p w14:paraId="1F13572A">
      <w:pPr>
        <w:adjustRightInd w:val="0"/>
        <w:snapToGrid w:val="0"/>
        <w:spacing w:line="360" w:lineRule="auto"/>
        <w:rPr>
          <w:rFonts w:ascii="黑体" w:hAnsi="宋体" w:eastAsia="黑体"/>
          <w:sz w:val="30"/>
          <w:szCs w:val="30"/>
        </w:rPr>
      </w:pPr>
    </w:p>
    <w:p w14:paraId="7E58F86B">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50E1D0F0">
      <w:pPr>
        <w:pStyle w:val="5"/>
        <w:adjustRightInd w:val="0"/>
        <w:snapToGrid w:val="0"/>
        <w:spacing w:beforeLines="50" w:after="0" w:line="360" w:lineRule="auto"/>
        <w:jc w:val="center"/>
        <w:rPr>
          <w:rFonts w:ascii="黑体" w:hAnsi="宋体"/>
          <w:sz w:val="32"/>
          <w:szCs w:val="32"/>
        </w:rPr>
      </w:pPr>
      <w:r>
        <w:rPr>
          <w:rFonts w:hint="eastAsia" w:ascii="黑体" w:hAnsi="宋体"/>
          <w:sz w:val="32"/>
          <w:szCs w:val="32"/>
        </w:rPr>
        <w:t>年  月  日</w:t>
      </w:r>
      <w:bookmarkStart w:id="127" w:name="_Toc20651242"/>
    </w:p>
    <w:p w14:paraId="1FE3D73C">
      <w:pPr>
        <w:sectPr>
          <w:pgSz w:w="11906" w:h="16838"/>
          <w:pgMar w:top="1213" w:right="1080" w:bottom="1213" w:left="1080" w:header="737" w:footer="907" w:gutter="0"/>
          <w:pgBorders>
            <w:top w:val="none" w:sz="0" w:space="0"/>
            <w:left w:val="none" w:sz="0" w:space="0"/>
            <w:bottom w:val="none" w:sz="0" w:space="0"/>
            <w:right w:val="none" w:sz="0" w:space="0"/>
          </w:pgBorders>
          <w:cols w:space="720" w:num="1"/>
          <w:docGrid w:type="lines" w:linePitch="312" w:charSpace="0"/>
        </w:sectPr>
      </w:pPr>
    </w:p>
    <w:p w14:paraId="01F2CF10">
      <w:pPr>
        <w:pStyle w:val="5"/>
        <w:adjustRightInd w:val="0"/>
        <w:snapToGrid w:val="0"/>
        <w:spacing w:beforeLines="50" w:after="0" w:line="360" w:lineRule="auto"/>
        <w:jc w:val="left"/>
        <w:rPr>
          <w:rFonts w:ascii="黑体" w:hAnsi="黑体"/>
          <w:b w:val="0"/>
          <w:sz w:val="21"/>
          <w:szCs w:val="21"/>
        </w:rPr>
      </w:pPr>
    </w:p>
    <w:bookmarkEnd w:id="127"/>
    <w:p w14:paraId="68D740C6">
      <w:pPr>
        <w:pStyle w:val="4"/>
        <w:adjustRightInd w:val="0"/>
        <w:snapToGrid w:val="0"/>
        <w:spacing w:before="0" w:after="0" w:line="360" w:lineRule="auto"/>
        <w:jc w:val="center"/>
        <w:rPr>
          <w:rFonts w:ascii="黑体" w:hAnsi="宋体" w:eastAsia="黑体"/>
          <w:sz w:val="28"/>
          <w:szCs w:val="28"/>
        </w:rPr>
      </w:pPr>
      <w:bookmarkStart w:id="128" w:name="_Toc20651243"/>
      <w:r>
        <w:rPr>
          <w:rFonts w:hint="eastAsia" w:ascii="黑体" w:hAnsi="宋体" w:eastAsia="黑体"/>
          <w:sz w:val="28"/>
          <w:szCs w:val="28"/>
        </w:rPr>
        <w:t>一、开标一览表</w:t>
      </w:r>
      <w:bookmarkEnd w:id="128"/>
    </w:p>
    <w:p w14:paraId="5F44D42E">
      <w:pPr>
        <w:adjustRightInd w:val="0"/>
        <w:snapToGrid w:val="0"/>
        <w:spacing w:line="360" w:lineRule="auto"/>
        <w:ind w:left="-88" w:leftChars="-42"/>
        <w:jc w:val="center"/>
        <w:rPr>
          <w:rFonts w:ascii="仿宋_GB2312" w:hAnsi="宋体" w:eastAsia="仿宋_GB2312"/>
          <w:sz w:val="24"/>
        </w:rPr>
      </w:pPr>
    </w:p>
    <w:p w14:paraId="62C2A12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3B5960E1">
      <w:pPr>
        <w:adjustRightInd w:val="0"/>
        <w:snapToGrid w:val="0"/>
        <w:spacing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0"/>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E4C1A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4E55A2C">
            <w:pPr>
              <w:adjustRightInd w:val="0"/>
              <w:snapToGrid w:val="0"/>
              <w:spacing w:line="360" w:lineRule="auto"/>
              <w:jc w:val="center"/>
              <w:rPr>
                <w:rFonts w:ascii="宋体" w:hAnsi="宋体" w:cs="宋体"/>
                <w:b/>
                <w:color w:val="000000"/>
                <w:kern w:val="0"/>
                <w:sz w:val="20"/>
                <w:szCs w:val="21"/>
              </w:rPr>
            </w:pPr>
            <w:r>
              <w:rPr>
                <w:rFonts w:hint="eastAsia" w:ascii="宋体" w:hAnsi="宋体" w:cs="宋体"/>
                <w:b/>
                <w:color w:val="000000"/>
                <w:kern w:val="0"/>
                <w:szCs w:val="21"/>
              </w:rPr>
              <w:t>投标报价</w:t>
            </w:r>
          </w:p>
        </w:tc>
        <w:tc>
          <w:tcPr>
            <w:tcW w:w="3119" w:type="dxa"/>
            <w:vAlign w:val="center"/>
          </w:tcPr>
          <w:p w14:paraId="37783F88">
            <w:pPr>
              <w:adjustRightInd w:val="0"/>
              <w:snapToGrid w:val="0"/>
              <w:spacing w:line="360" w:lineRule="auto"/>
              <w:jc w:val="center"/>
              <w:rPr>
                <w:rFonts w:ascii="宋体" w:hAnsi="宋体" w:cs="宋体"/>
                <w:b/>
                <w:color w:val="000000"/>
                <w:kern w:val="0"/>
                <w:szCs w:val="21"/>
              </w:rPr>
            </w:pPr>
            <w:r>
              <w:rPr>
                <w:rFonts w:hint="eastAsia" w:ascii="宋体" w:hAnsi="宋体" w:cs="宋体"/>
                <w:b/>
                <w:color w:val="000000"/>
                <w:kern w:val="0"/>
                <w:szCs w:val="21"/>
              </w:rPr>
              <w:t>其他内容</w:t>
            </w:r>
          </w:p>
        </w:tc>
      </w:tr>
      <w:tr w14:paraId="300580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C145DE0">
            <w:pPr>
              <w:adjustRightInd w:val="0"/>
              <w:snapToGrid w:val="0"/>
              <w:spacing w:line="360" w:lineRule="auto"/>
              <w:jc w:val="center"/>
              <w:rPr>
                <w:rFonts w:ascii="宋体" w:hAnsi="宋体" w:cs="宋体"/>
                <w:color w:val="000000"/>
                <w:kern w:val="0"/>
                <w:szCs w:val="21"/>
              </w:rPr>
            </w:pPr>
            <w:r>
              <w:rPr>
                <w:rFonts w:hint="eastAsia" w:ascii="宋体" w:hAnsi="宋体" w:cs="宋体"/>
                <w:color w:val="000000"/>
                <w:kern w:val="0"/>
                <w:szCs w:val="21"/>
              </w:rPr>
              <w:t>小写金额：</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r>
              <w:rPr>
                <w:rFonts w:hint="eastAsia" w:ascii="宋体" w:hAnsi="宋体" w:cs="宋体"/>
                <w:color w:val="000000"/>
                <w:kern w:val="0"/>
                <w:sz w:val="20"/>
                <w:szCs w:val="21"/>
              </w:rPr>
              <w:t>人民币元</w:t>
            </w:r>
            <w:r>
              <w:rPr>
                <w:rFonts w:hint="eastAsia" w:ascii="宋体" w:hAnsi="宋体" w:cs="宋体"/>
                <w:color w:val="000000"/>
                <w:kern w:val="0"/>
                <w:szCs w:val="21"/>
              </w:rPr>
              <w:t>）</w:t>
            </w:r>
          </w:p>
          <w:p w14:paraId="29F18F55">
            <w:pPr>
              <w:adjustRightInd w:val="0"/>
              <w:snapToGrid w:val="0"/>
              <w:spacing w:line="360" w:lineRule="auto"/>
              <w:jc w:val="center"/>
              <w:rPr>
                <w:rFonts w:ascii="宋体" w:hAnsi="宋体" w:cs="宋体"/>
                <w:color w:val="000000"/>
                <w:kern w:val="0"/>
                <w:szCs w:val="21"/>
                <w:u w:val="single"/>
              </w:rPr>
            </w:pPr>
            <w:r>
              <w:rPr>
                <w:rFonts w:hint="eastAsia" w:ascii="宋体" w:hAnsi="宋体" w:cs="宋体"/>
                <w:color w:val="000000"/>
                <w:kern w:val="0"/>
                <w:szCs w:val="21"/>
              </w:rPr>
              <w:t>大写金额：</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r>
              <w:rPr>
                <w:rFonts w:hint="eastAsia" w:ascii="宋体" w:hAnsi="宋体" w:cs="宋体"/>
                <w:color w:val="000000"/>
                <w:kern w:val="0"/>
                <w:sz w:val="20"/>
                <w:szCs w:val="21"/>
              </w:rPr>
              <w:t>人民币元</w:t>
            </w:r>
            <w:r>
              <w:rPr>
                <w:rFonts w:hint="eastAsia" w:ascii="宋体" w:hAnsi="宋体" w:cs="宋体"/>
                <w:color w:val="000000"/>
                <w:kern w:val="0"/>
                <w:szCs w:val="21"/>
              </w:rPr>
              <w:t>）</w:t>
            </w:r>
          </w:p>
          <w:p w14:paraId="51A5CF99">
            <w:pPr>
              <w:adjustRightInd w:val="0"/>
              <w:snapToGrid w:val="0"/>
              <w:spacing w:line="360" w:lineRule="auto"/>
              <w:jc w:val="center"/>
              <w:rPr>
                <w:rFonts w:ascii="宋体" w:hAnsi="宋体" w:cs="宋体"/>
                <w:color w:val="000000"/>
                <w:kern w:val="0"/>
                <w:sz w:val="20"/>
                <w:szCs w:val="21"/>
              </w:rPr>
            </w:pPr>
            <w:r>
              <w:rPr>
                <w:rFonts w:hint="eastAsia" w:ascii="宋体" w:hAnsi="宋体" w:cs="宋体"/>
                <w:color w:val="000000"/>
                <w:kern w:val="0"/>
                <w:szCs w:val="21"/>
              </w:rPr>
              <w:t>（</w:t>
            </w:r>
            <w:r>
              <w:rPr>
                <w:rFonts w:hint="eastAsia" w:ascii="宋体" w:hAnsi="宋体" w:cs="宋体"/>
                <w:color w:val="000000"/>
                <w:kern w:val="0"/>
                <w:sz w:val="24"/>
              </w:rPr>
              <w:t>大写金额与小写金额不一致时，以大写金额为准</w:t>
            </w:r>
            <w:r>
              <w:rPr>
                <w:rFonts w:hint="eastAsia" w:ascii="宋体" w:hAnsi="宋体" w:cs="宋体"/>
                <w:color w:val="000000"/>
                <w:kern w:val="0"/>
                <w:szCs w:val="21"/>
              </w:rPr>
              <w:t>）</w:t>
            </w:r>
          </w:p>
        </w:tc>
        <w:tc>
          <w:tcPr>
            <w:tcW w:w="3119" w:type="dxa"/>
            <w:vAlign w:val="center"/>
          </w:tcPr>
          <w:p w14:paraId="7A61CC44">
            <w:pPr>
              <w:adjustRightInd w:val="0"/>
              <w:snapToGrid w:val="0"/>
              <w:spacing w:line="360" w:lineRule="auto"/>
              <w:jc w:val="center"/>
              <w:rPr>
                <w:rFonts w:ascii="宋体" w:hAnsi="宋体" w:cs="宋体"/>
                <w:color w:val="000000"/>
                <w:kern w:val="0"/>
                <w:szCs w:val="21"/>
              </w:rPr>
            </w:pPr>
          </w:p>
        </w:tc>
      </w:tr>
    </w:tbl>
    <w:p w14:paraId="5407BC9A">
      <w:pPr>
        <w:adjustRightInd w:val="0"/>
        <w:snapToGrid w:val="0"/>
        <w:spacing w:line="360" w:lineRule="auto"/>
        <w:rPr>
          <w:rFonts w:ascii="宋体" w:hAnsi="宋体"/>
          <w:b/>
          <w:szCs w:val="21"/>
        </w:rPr>
      </w:pPr>
    </w:p>
    <w:p w14:paraId="3CA47F7C">
      <w:pPr>
        <w:adjustRightInd w:val="0"/>
        <w:snapToGrid w:val="0"/>
        <w:spacing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7D36FF78">
      <w:pPr>
        <w:adjustRightInd w:val="0"/>
        <w:snapToGrid w:val="0"/>
        <w:spacing w:line="360" w:lineRule="auto"/>
        <w:ind w:firstLine="420" w:firstLineChars="200"/>
        <w:rPr>
          <w:rFonts w:ascii="宋体" w:hAnsi="宋体"/>
          <w:szCs w:val="21"/>
        </w:rPr>
      </w:pPr>
      <w:r>
        <w:rPr>
          <w:rFonts w:hint="eastAsia" w:ascii="宋体" w:hAnsi="宋体"/>
          <w:szCs w:val="21"/>
        </w:rPr>
        <w:t>（2）投标人提交两份及以上投标报价不同的“开标一览表”，且未书面说明哪个有效或以哪个为准的，其</w:t>
      </w:r>
      <w:r>
        <w:rPr>
          <w:rFonts w:hint="eastAsia" w:ascii="宋体" w:hAnsi="宋体"/>
          <w:b/>
          <w:szCs w:val="21"/>
        </w:rPr>
        <w:t>投标无效</w:t>
      </w:r>
      <w:r>
        <w:rPr>
          <w:rFonts w:hint="eastAsia" w:ascii="宋体" w:hAnsi="宋体"/>
          <w:szCs w:val="21"/>
        </w:rPr>
        <w:t>。</w:t>
      </w:r>
    </w:p>
    <w:p w14:paraId="46AA7027">
      <w:pPr>
        <w:adjustRightInd w:val="0"/>
        <w:snapToGrid w:val="0"/>
        <w:spacing w:line="360" w:lineRule="auto"/>
        <w:ind w:firstLine="420" w:firstLineChars="200"/>
        <w:jc w:val="left"/>
        <w:rPr>
          <w:rFonts w:ascii="宋体" w:hAnsi="宋体"/>
        </w:rPr>
      </w:pPr>
      <w:r>
        <w:rPr>
          <w:rFonts w:hint="eastAsia" w:ascii="宋体" w:hAnsi="宋体"/>
          <w:szCs w:val="21"/>
        </w:rPr>
        <w:t>（3）</w:t>
      </w:r>
      <w:r>
        <w:rPr>
          <w:rFonts w:hint="eastAsia" w:ascii="宋体" w:hAnsi="宋体"/>
        </w:rPr>
        <w:t>投标人在投标截止时间前修改“开标一览表”中的投标报价的，应同时修改投标文件“分项报价明细表”“享受政府采购政策优惠的证明资料”以及“联合体协议书”（如果影响）等相关内容。</w:t>
      </w:r>
    </w:p>
    <w:p w14:paraId="5CD1CA70">
      <w:pPr>
        <w:adjustRightInd w:val="0"/>
        <w:snapToGrid w:val="0"/>
        <w:spacing w:line="360" w:lineRule="auto"/>
        <w:ind w:firstLine="420" w:firstLineChars="200"/>
        <w:rPr>
          <w:rFonts w:ascii="宋体" w:hAnsi="宋体"/>
          <w:szCs w:val="21"/>
        </w:rPr>
      </w:pPr>
    </w:p>
    <w:p w14:paraId="14ADCFB7">
      <w:pPr>
        <w:adjustRightInd w:val="0"/>
        <w:snapToGrid w:val="0"/>
        <w:spacing w:line="360" w:lineRule="auto"/>
        <w:ind w:firstLine="420" w:firstLineChars="200"/>
        <w:rPr>
          <w:rFonts w:ascii="宋体" w:hAnsi="宋体"/>
          <w:szCs w:val="21"/>
        </w:rPr>
      </w:pPr>
    </w:p>
    <w:p w14:paraId="4CC1CA72">
      <w:pPr>
        <w:adjustRightInd w:val="0"/>
        <w:snapToGrid w:val="0"/>
        <w:spacing w:line="360" w:lineRule="auto"/>
        <w:rPr>
          <w:rFonts w:ascii="宋体" w:hAnsi="宋体"/>
          <w:szCs w:val="21"/>
        </w:rPr>
      </w:pPr>
    </w:p>
    <w:p w14:paraId="5942F566">
      <w:pPr>
        <w:adjustRightInd w:val="0"/>
        <w:snapToGrid w:val="0"/>
        <w:spacing w:line="360" w:lineRule="auto"/>
        <w:rPr>
          <w:rFonts w:ascii="宋体" w:hAnsi="宋体"/>
          <w:szCs w:val="21"/>
        </w:rPr>
      </w:pPr>
      <w:r>
        <w:rPr>
          <w:rFonts w:hint="eastAsia" w:ascii="宋体" w:hAnsi="宋体"/>
          <w:szCs w:val="21"/>
        </w:rPr>
        <w:t>投标人名称（盖单位章）：</w:t>
      </w:r>
    </w:p>
    <w:p w14:paraId="133E2A38">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6845710E">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15D4F57">
      <w:pPr>
        <w:widowControl/>
        <w:jc w:val="left"/>
        <w:rPr>
          <w:rFonts w:ascii="宋体" w:hAnsi="宋体"/>
          <w:szCs w:val="21"/>
        </w:rPr>
      </w:pPr>
      <w:r>
        <w:rPr>
          <w:rFonts w:ascii="宋体" w:hAnsi="宋体"/>
          <w:szCs w:val="21"/>
        </w:rPr>
        <w:br w:type="page"/>
      </w:r>
    </w:p>
    <w:p w14:paraId="65297A38">
      <w:pPr>
        <w:pStyle w:val="4"/>
        <w:adjustRightInd w:val="0"/>
        <w:snapToGrid w:val="0"/>
        <w:spacing w:before="0" w:after="0" w:line="360" w:lineRule="auto"/>
        <w:jc w:val="center"/>
        <w:rPr>
          <w:rFonts w:ascii="黑体" w:hAnsi="黑体" w:eastAsia="黑体"/>
          <w:sz w:val="28"/>
          <w:szCs w:val="28"/>
        </w:rPr>
      </w:pPr>
      <w:bookmarkStart w:id="129" w:name="_Toc20651246"/>
      <w:r>
        <w:rPr>
          <w:rFonts w:hint="eastAsia" w:ascii="黑体" w:hAnsi="黑体" w:eastAsia="黑体"/>
          <w:sz w:val="28"/>
          <w:szCs w:val="28"/>
        </w:rPr>
        <w:t>二、法定代表人（单位负责人）身份证明</w:t>
      </w:r>
      <w:bookmarkEnd w:id="129"/>
    </w:p>
    <w:p w14:paraId="066489A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7DB29933">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064E2ED6">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71541C36">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73BFCD59">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02892526">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757F75B">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4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756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ign w:val="center"/>
          </w:tcPr>
          <w:p w14:paraId="64DC186A">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ign w:val="center"/>
          </w:tcPr>
          <w:p w14:paraId="132E7880">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2650B241">
      <w:pPr>
        <w:adjustRightInd w:val="0"/>
        <w:snapToGrid w:val="0"/>
        <w:spacing w:line="360" w:lineRule="auto"/>
        <w:rPr>
          <w:rFonts w:ascii="宋体" w:hAnsi="宋体"/>
          <w:szCs w:val="21"/>
        </w:rPr>
      </w:pPr>
    </w:p>
    <w:p w14:paraId="5A172611">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583F3B89">
      <w:pPr>
        <w:adjustRightInd w:val="0"/>
        <w:snapToGrid w:val="0"/>
        <w:spacing w:line="360" w:lineRule="auto"/>
        <w:rPr>
          <w:rFonts w:ascii="宋体" w:hAnsi="宋体"/>
          <w:szCs w:val="21"/>
        </w:rPr>
      </w:pPr>
    </w:p>
    <w:p w14:paraId="2068E39D">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5B7EF63C">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35955B9">
      <w:pPr>
        <w:adjustRightInd w:val="0"/>
        <w:snapToGrid w:val="0"/>
        <w:spacing w:line="360" w:lineRule="auto"/>
      </w:pPr>
    </w:p>
    <w:p w14:paraId="6456C4FC">
      <w:pPr>
        <w:widowControl/>
        <w:jc w:val="left"/>
      </w:pPr>
      <w:r>
        <w:br w:type="page"/>
      </w:r>
    </w:p>
    <w:p w14:paraId="2B278E5A">
      <w:pPr>
        <w:pStyle w:val="4"/>
        <w:adjustRightInd w:val="0"/>
        <w:snapToGrid w:val="0"/>
        <w:spacing w:before="0" w:after="0" w:line="360" w:lineRule="auto"/>
        <w:jc w:val="center"/>
        <w:rPr>
          <w:rFonts w:ascii="黑体" w:hAnsi="宋体" w:eastAsia="黑体"/>
          <w:sz w:val="28"/>
          <w:szCs w:val="28"/>
        </w:rPr>
      </w:pPr>
      <w:bookmarkStart w:id="130" w:name="_Toc20651247"/>
      <w:r>
        <w:rPr>
          <w:rFonts w:hint="eastAsia" w:ascii="黑体" w:hAnsi="宋体" w:eastAsia="黑体"/>
          <w:sz w:val="28"/>
          <w:szCs w:val="28"/>
        </w:rPr>
        <w:t>三、授权委托书</w:t>
      </w:r>
      <w:bookmarkEnd w:id="130"/>
    </w:p>
    <w:p w14:paraId="29F4CA99">
      <w:pPr>
        <w:autoSpaceDE w:val="0"/>
        <w:autoSpaceDN w:val="0"/>
        <w:adjustRightInd w:val="0"/>
        <w:snapToGrid w:val="0"/>
        <w:spacing w:line="360" w:lineRule="auto"/>
        <w:ind w:firstLine="420" w:firstLineChars="200"/>
        <w:jc w:val="left"/>
        <w:rPr>
          <w:rFonts w:ascii="宋体" w:hAnsi="宋体" w:cs="宋体"/>
          <w:kern w:val="0"/>
          <w:szCs w:val="21"/>
        </w:rPr>
      </w:pPr>
    </w:p>
    <w:p w14:paraId="0B29F20F">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rPr>
        <w:t>政府</w:t>
      </w:r>
      <w:r>
        <w:rPr>
          <w:rFonts w:hint="eastAsia" w:ascii="宋体" w:hAnsi="宋体"/>
          <w:iCs/>
        </w:rPr>
        <w:t>采购编号：</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rPr>
        <w:t>采购代理编号：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B17CEBF">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64DABD0E">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5443F2DE">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4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638F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ign w:val="center"/>
          </w:tcPr>
          <w:p w14:paraId="3CB7251A">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ign w:val="center"/>
          </w:tcPr>
          <w:p w14:paraId="0D754B93">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44B1930C">
      <w:pPr>
        <w:adjustRightInd w:val="0"/>
        <w:snapToGrid w:val="0"/>
        <w:spacing w:line="360" w:lineRule="auto"/>
        <w:ind w:firstLine="420" w:firstLineChars="200"/>
        <w:rPr>
          <w:rFonts w:ascii="宋体" w:hAnsi="宋体"/>
          <w:szCs w:val="21"/>
        </w:rPr>
      </w:pPr>
    </w:p>
    <w:p w14:paraId="5F235FDA">
      <w:pPr>
        <w:adjustRightInd w:val="0"/>
        <w:snapToGrid w:val="0"/>
        <w:spacing w:line="360" w:lineRule="auto"/>
        <w:ind w:firstLine="420" w:firstLineChars="200"/>
        <w:rPr>
          <w:rFonts w:ascii="宋体" w:hAnsi="宋体"/>
          <w:szCs w:val="21"/>
        </w:rPr>
      </w:pPr>
    </w:p>
    <w:p w14:paraId="5522C8A5">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F0FAEB">
      <w:pPr>
        <w:adjustRightInd w:val="0"/>
        <w:snapToGrid w:val="0"/>
        <w:spacing w:line="360" w:lineRule="auto"/>
        <w:ind w:firstLine="420" w:firstLineChars="200"/>
        <w:rPr>
          <w:rFonts w:ascii="宋体" w:hAnsi="宋体"/>
          <w:szCs w:val="21"/>
        </w:rPr>
      </w:pPr>
    </w:p>
    <w:p w14:paraId="303BE989">
      <w:pPr>
        <w:adjustRightInd w:val="0"/>
        <w:snapToGrid w:val="0"/>
        <w:spacing w:line="360" w:lineRule="auto"/>
        <w:ind w:firstLine="420" w:firstLineChars="200"/>
        <w:rPr>
          <w:rFonts w:ascii="宋体" w:hAnsi="宋体"/>
          <w:szCs w:val="21"/>
        </w:rPr>
      </w:pPr>
    </w:p>
    <w:p w14:paraId="1E708FF6">
      <w:pPr>
        <w:adjustRightInd w:val="0"/>
        <w:snapToGrid w:val="0"/>
        <w:spacing w:line="360" w:lineRule="auto"/>
        <w:rPr>
          <w:rFonts w:ascii="宋体" w:hAnsi="宋体"/>
          <w:szCs w:val="21"/>
        </w:rPr>
      </w:pPr>
      <w:r>
        <w:rPr>
          <w:rFonts w:hint="eastAsia" w:ascii="宋体" w:hAnsi="宋体"/>
          <w:szCs w:val="21"/>
        </w:rPr>
        <w:t>投标人名称（盖单位章）：</w:t>
      </w:r>
    </w:p>
    <w:p w14:paraId="48EC4FFE">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2D11C3E">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3920F34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5B0E33C">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0426C993">
      <w:pPr>
        <w:pStyle w:val="4"/>
        <w:adjustRightInd w:val="0"/>
        <w:snapToGrid w:val="0"/>
        <w:spacing w:before="0" w:after="0" w:line="360" w:lineRule="auto"/>
        <w:jc w:val="center"/>
        <w:rPr>
          <w:rFonts w:ascii="黑体" w:hAnsi="宋体" w:eastAsia="黑体"/>
          <w:sz w:val="28"/>
          <w:szCs w:val="28"/>
        </w:rPr>
      </w:pPr>
      <w:bookmarkStart w:id="131" w:name="_Toc20651248"/>
      <w:r>
        <w:rPr>
          <w:rFonts w:hint="eastAsia" w:ascii="黑体" w:hAnsi="宋体" w:eastAsia="黑体"/>
          <w:sz w:val="28"/>
          <w:szCs w:val="28"/>
        </w:rPr>
        <w:t>四、投标人提供的资格证明文件</w:t>
      </w:r>
      <w:bookmarkEnd w:id="131"/>
    </w:p>
    <w:p w14:paraId="0A7C1005">
      <w:pPr>
        <w:pStyle w:val="25"/>
        <w:adjustRightInd w:val="0"/>
        <w:snapToGrid w:val="0"/>
        <w:spacing w:line="360" w:lineRule="auto"/>
        <w:jc w:val="center"/>
        <w:rPr>
          <w:rFonts w:hAnsi="宋体"/>
          <w:b/>
          <w:bCs/>
          <w:sz w:val="24"/>
          <w:szCs w:val="24"/>
        </w:rPr>
      </w:pPr>
    </w:p>
    <w:p w14:paraId="61F23377">
      <w:pPr>
        <w:pStyle w:val="25"/>
        <w:adjustRightInd w:val="0"/>
        <w:snapToGrid w:val="0"/>
        <w:spacing w:line="360" w:lineRule="auto"/>
        <w:jc w:val="center"/>
        <w:rPr>
          <w:rFonts w:ascii="黑体" w:hAnsi="黑体" w:eastAsia="黑体"/>
          <w:b/>
          <w:bCs/>
          <w:sz w:val="28"/>
          <w:szCs w:val="28"/>
        </w:rPr>
      </w:pPr>
      <w:r>
        <w:rPr>
          <w:rFonts w:hint="eastAsia" w:ascii="黑体" w:hAnsi="黑体" w:eastAsia="黑体"/>
          <w:b/>
          <w:bCs/>
          <w:sz w:val="28"/>
          <w:szCs w:val="28"/>
        </w:rPr>
        <w:t>须  知</w:t>
      </w:r>
    </w:p>
    <w:p w14:paraId="60D97C83">
      <w:pPr>
        <w:tabs>
          <w:tab w:val="left" w:pos="4725"/>
        </w:tabs>
        <w:adjustRightInd w:val="0"/>
        <w:snapToGrid w:val="0"/>
        <w:spacing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6ABD2559">
      <w:pPr>
        <w:tabs>
          <w:tab w:val="left" w:pos="4725"/>
        </w:tabs>
        <w:adjustRightInd w:val="0"/>
        <w:snapToGrid w:val="0"/>
        <w:spacing w:beforeLines="50" w:line="360" w:lineRule="auto"/>
        <w:ind w:firstLine="735" w:firstLineChars="350"/>
        <w:rPr>
          <w:rFonts w:ascii="宋体" w:hAnsi="宋体"/>
          <w:szCs w:val="21"/>
        </w:rPr>
      </w:pPr>
      <w:r>
        <w:rPr>
          <w:rFonts w:hint="eastAsia" w:ascii="宋体" w:hAnsi="宋体"/>
          <w:szCs w:val="21"/>
        </w:rPr>
        <w:t>附页4-1 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7C980B02">
      <w:pPr>
        <w:tabs>
          <w:tab w:val="left" w:pos="4725"/>
        </w:tabs>
        <w:adjustRightInd w:val="0"/>
        <w:snapToGrid w:val="0"/>
        <w:spacing w:beforeLines="50" w:line="360" w:lineRule="auto"/>
        <w:ind w:firstLine="735" w:firstLineChars="350"/>
        <w:rPr>
          <w:rFonts w:ascii="宋体" w:hAnsi="宋体"/>
          <w:szCs w:val="21"/>
        </w:rPr>
      </w:pPr>
      <w:r>
        <w:rPr>
          <w:rFonts w:hint="eastAsia" w:ascii="宋体" w:hAnsi="宋体"/>
          <w:szCs w:val="21"/>
        </w:rPr>
        <w:t>附件4-2 投标人资格声明(格式)</w:t>
      </w:r>
    </w:p>
    <w:p w14:paraId="59DABBF8">
      <w:pPr>
        <w:tabs>
          <w:tab w:val="left" w:pos="4725"/>
        </w:tabs>
        <w:adjustRightInd w:val="0"/>
        <w:snapToGrid w:val="0"/>
        <w:spacing w:beforeLines="50" w:line="360" w:lineRule="auto"/>
        <w:ind w:firstLine="735" w:firstLineChars="350"/>
        <w:rPr>
          <w:rFonts w:ascii="宋体" w:hAnsi="宋体"/>
          <w:szCs w:val="21"/>
        </w:rPr>
      </w:pPr>
      <w:r>
        <w:rPr>
          <w:rFonts w:hint="eastAsia" w:ascii="宋体" w:hAnsi="宋体"/>
          <w:szCs w:val="21"/>
        </w:rPr>
        <w:t>附件4-3 符合特定资格条件证明材料扫描件或者情况说明</w:t>
      </w:r>
    </w:p>
    <w:p w14:paraId="6EDD6C1C">
      <w:pPr>
        <w:tabs>
          <w:tab w:val="left" w:pos="4725"/>
        </w:tabs>
        <w:adjustRightInd w:val="0"/>
        <w:snapToGrid w:val="0"/>
        <w:spacing w:beforeLines="50" w:line="360" w:lineRule="auto"/>
        <w:ind w:firstLine="735" w:firstLineChars="350"/>
        <w:rPr>
          <w:rFonts w:ascii="宋体" w:hAnsi="宋体"/>
          <w:szCs w:val="21"/>
        </w:rPr>
      </w:pPr>
      <w:r>
        <w:rPr>
          <w:rFonts w:hint="eastAsia" w:ascii="宋体" w:hAnsi="宋体"/>
          <w:szCs w:val="21"/>
        </w:rPr>
        <w:t>附件4-4 联合体协议书（格式）（联合体形式投标的提供）</w:t>
      </w:r>
    </w:p>
    <w:p w14:paraId="7A55EEC3">
      <w:pPr>
        <w:tabs>
          <w:tab w:val="left" w:pos="4725"/>
        </w:tabs>
        <w:adjustRightInd w:val="0"/>
        <w:snapToGrid w:val="0"/>
        <w:spacing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投标人以联合体形式投标的，除应提交联合协议书(本节附4-4)外，参加联合体的各方均应提交上款资格证明材料。</w:t>
      </w:r>
    </w:p>
    <w:p w14:paraId="0EE48B7C">
      <w:pPr>
        <w:tabs>
          <w:tab w:val="left" w:pos="4725"/>
        </w:tabs>
        <w:adjustRightInd w:val="0"/>
        <w:snapToGrid w:val="0"/>
        <w:spacing w:line="360" w:lineRule="auto"/>
        <w:rPr>
          <w:rFonts w:ascii="宋体" w:hAnsi="宋体" w:cs="宋体"/>
          <w:szCs w:val="21"/>
        </w:rPr>
      </w:pPr>
    </w:p>
    <w:p w14:paraId="3CDC11C5">
      <w:pPr>
        <w:widowControl/>
        <w:adjustRightInd w:val="0"/>
        <w:snapToGrid w:val="0"/>
        <w:spacing w:line="360" w:lineRule="auto"/>
        <w:jc w:val="left"/>
        <w:rPr>
          <w:rFonts w:ascii="黑体" w:hAnsi="仿宋" w:eastAsia="黑体" w:cs="宋体"/>
          <w:szCs w:val="21"/>
        </w:rPr>
      </w:pPr>
      <w:bookmarkStart w:id="132" w:name="_Toc20651249"/>
    </w:p>
    <w:p w14:paraId="6CAA542B">
      <w:pPr>
        <w:widowControl/>
        <w:adjustRightInd w:val="0"/>
        <w:snapToGrid w:val="0"/>
        <w:spacing w:line="360" w:lineRule="auto"/>
        <w:jc w:val="left"/>
        <w:rPr>
          <w:rFonts w:ascii="黑体" w:hAnsi="仿宋" w:cs="宋体"/>
          <w:b/>
          <w:bCs/>
          <w:szCs w:val="21"/>
        </w:rPr>
      </w:pPr>
    </w:p>
    <w:p w14:paraId="126F8C6E">
      <w:pPr>
        <w:widowControl/>
        <w:adjustRightInd w:val="0"/>
        <w:snapToGrid w:val="0"/>
        <w:spacing w:line="360" w:lineRule="auto"/>
        <w:jc w:val="left"/>
        <w:rPr>
          <w:rFonts w:ascii="黑体" w:hAnsi="仿宋" w:cs="宋体"/>
          <w:b/>
          <w:bCs/>
          <w:szCs w:val="21"/>
        </w:rPr>
      </w:pPr>
    </w:p>
    <w:p w14:paraId="7805EBDB">
      <w:pPr>
        <w:widowControl/>
        <w:adjustRightInd w:val="0"/>
        <w:snapToGrid w:val="0"/>
        <w:spacing w:line="360" w:lineRule="auto"/>
        <w:jc w:val="left"/>
        <w:rPr>
          <w:rFonts w:ascii="黑体" w:hAnsi="仿宋" w:cs="宋体"/>
          <w:b/>
          <w:bCs/>
          <w:szCs w:val="21"/>
        </w:rPr>
      </w:pPr>
    </w:p>
    <w:p w14:paraId="5359C21F">
      <w:pPr>
        <w:widowControl/>
        <w:adjustRightInd w:val="0"/>
        <w:snapToGrid w:val="0"/>
        <w:spacing w:line="360" w:lineRule="auto"/>
        <w:jc w:val="left"/>
        <w:rPr>
          <w:rFonts w:ascii="黑体" w:hAnsi="仿宋" w:cs="宋体"/>
          <w:b/>
          <w:bCs/>
          <w:szCs w:val="21"/>
        </w:rPr>
      </w:pPr>
    </w:p>
    <w:p w14:paraId="02223F98">
      <w:pPr>
        <w:widowControl/>
        <w:adjustRightInd w:val="0"/>
        <w:snapToGrid w:val="0"/>
        <w:spacing w:line="360" w:lineRule="auto"/>
        <w:jc w:val="left"/>
        <w:rPr>
          <w:rFonts w:ascii="黑体" w:hAnsi="仿宋" w:cs="宋体"/>
          <w:b/>
          <w:bCs/>
          <w:szCs w:val="21"/>
        </w:rPr>
      </w:pPr>
    </w:p>
    <w:p w14:paraId="472922C9">
      <w:pPr>
        <w:widowControl/>
        <w:adjustRightInd w:val="0"/>
        <w:snapToGrid w:val="0"/>
        <w:spacing w:line="360" w:lineRule="auto"/>
        <w:jc w:val="left"/>
        <w:rPr>
          <w:rFonts w:ascii="黑体" w:hAnsi="仿宋" w:cs="宋体"/>
          <w:b/>
          <w:bCs/>
          <w:szCs w:val="21"/>
        </w:rPr>
      </w:pPr>
    </w:p>
    <w:p w14:paraId="09E5714F">
      <w:pPr>
        <w:widowControl/>
        <w:adjustRightInd w:val="0"/>
        <w:snapToGrid w:val="0"/>
        <w:spacing w:line="360" w:lineRule="auto"/>
        <w:jc w:val="left"/>
        <w:rPr>
          <w:rFonts w:ascii="黑体" w:hAnsi="仿宋" w:cs="宋体"/>
          <w:b/>
          <w:bCs/>
          <w:szCs w:val="21"/>
        </w:rPr>
      </w:pPr>
    </w:p>
    <w:p w14:paraId="284DC94F">
      <w:pPr>
        <w:widowControl/>
        <w:adjustRightInd w:val="0"/>
        <w:snapToGrid w:val="0"/>
        <w:spacing w:line="360" w:lineRule="auto"/>
        <w:jc w:val="left"/>
        <w:rPr>
          <w:rFonts w:ascii="黑体" w:hAnsi="仿宋" w:cs="宋体"/>
          <w:b/>
          <w:bCs/>
          <w:szCs w:val="21"/>
        </w:rPr>
      </w:pPr>
    </w:p>
    <w:p w14:paraId="7E3CACE3">
      <w:pPr>
        <w:widowControl/>
        <w:adjustRightInd w:val="0"/>
        <w:snapToGrid w:val="0"/>
        <w:spacing w:line="360" w:lineRule="auto"/>
        <w:jc w:val="left"/>
        <w:rPr>
          <w:rFonts w:ascii="黑体" w:hAnsi="仿宋" w:cs="宋体"/>
          <w:b/>
          <w:bCs/>
          <w:szCs w:val="21"/>
        </w:rPr>
      </w:pPr>
    </w:p>
    <w:p w14:paraId="47660A05">
      <w:pPr>
        <w:widowControl/>
        <w:adjustRightInd w:val="0"/>
        <w:snapToGrid w:val="0"/>
        <w:spacing w:line="360" w:lineRule="auto"/>
        <w:jc w:val="left"/>
        <w:rPr>
          <w:rFonts w:ascii="黑体" w:hAnsi="仿宋" w:cs="宋体"/>
          <w:b/>
          <w:bCs/>
          <w:szCs w:val="21"/>
        </w:rPr>
      </w:pPr>
    </w:p>
    <w:p w14:paraId="1903AA30">
      <w:pPr>
        <w:widowControl/>
        <w:adjustRightInd w:val="0"/>
        <w:snapToGrid w:val="0"/>
        <w:spacing w:line="360" w:lineRule="auto"/>
        <w:jc w:val="left"/>
        <w:rPr>
          <w:rFonts w:ascii="黑体" w:hAnsi="仿宋" w:cs="宋体"/>
          <w:b/>
          <w:bCs/>
          <w:szCs w:val="21"/>
        </w:rPr>
      </w:pPr>
    </w:p>
    <w:p w14:paraId="4A0E23A4">
      <w:pPr>
        <w:widowControl/>
        <w:adjustRightInd w:val="0"/>
        <w:snapToGrid w:val="0"/>
        <w:spacing w:line="360" w:lineRule="auto"/>
        <w:jc w:val="left"/>
        <w:rPr>
          <w:rFonts w:ascii="黑体" w:hAnsi="仿宋" w:cs="宋体"/>
          <w:b/>
          <w:bCs/>
          <w:szCs w:val="21"/>
        </w:rPr>
      </w:pPr>
    </w:p>
    <w:p w14:paraId="3C0E87BB">
      <w:pPr>
        <w:widowControl/>
        <w:adjustRightInd w:val="0"/>
        <w:snapToGrid w:val="0"/>
        <w:spacing w:line="360" w:lineRule="auto"/>
        <w:jc w:val="left"/>
        <w:rPr>
          <w:rFonts w:ascii="黑体" w:hAnsi="仿宋" w:cs="宋体"/>
          <w:b/>
          <w:bCs/>
          <w:szCs w:val="21"/>
        </w:rPr>
      </w:pPr>
    </w:p>
    <w:p w14:paraId="3A125313">
      <w:pPr>
        <w:widowControl/>
        <w:adjustRightInd w:val="0"/>
        <w:snapToGrid w:val="0"/>
        <w:spacing w:line="360" w:lineRule="auto"/>
        <w:jc w:val="left"/>
        <w:rPr>
          <w:rFonts w:ascii="黑体" w:hAnsi="仿宋" w:cs="宋体"/>
          <w:b/>
          <w:bCs/>
          <w:szCs w:val="21"/>
        </w:rPr>
      </w:pPr>
    </w:p>
    <w:p w14:paraId="14EF8E71">
      <w:pPr>
        <w:widowControl/>
        <w:adjustRightInd w:val="0"/>
        <w:snapToGrid w:val="0"/>
        <w:spacing w:line="360" w:lineRule="auto"/>
        <w:jc w:val="left"/>
        <w:rPr>
          <w:rFonts w:ascii="黑体" w:hAnsi="仿宋" w:cs="宋体"/>
          <w:b/>
          <w:bCs/>
          <w:szCs w:val="21"/>
        </w:rPr>
      </w:pPr>
    </w:p>
    <w:p w14:paraId="11DB608E">
      <w:pPr>
        <w:widowControl/>
        <w:adjustRightInd w:val="0"/>
        <w:snapToGrid w:val="0"/>
        <w:spacing w:line="360" w:lineRule="auto"/>
        <w:jc w:val="left"/>
        <w:rPr>
          <w:rFonts w:ascii="黑体" w:hAnsi="仿宋" w:cs="宋体"/>
          <w:b/>
          <w:bCs/>
          <w:szCs w:val="21"/>
        </w:rPr>
      </w:pPr>
    </w:p>
    <w:p w14:paraId="089323AA">
      <w:pPr>
        <w:widowControl/>
        <w:adjustRightInd w:val="0"/>
        <w:snapToGrid w:val="0"/>
        <w:spacing w:line="360" w:lineRule="auto"/>
        <w:jc w:val="left"/>
        <w:rPr>
          <w:rFonts w:ascii="黑体" w:hAnsi="仿宋" w:cs="宋体"/>
          <w:b/>
          <w:bCs/>
          <w:szCs w:val="21"/>
        </w:rPr>
      </w:pPr>
    </w:p>
    <w:p w14:paraId="645B840E">
      <w:pPr>
        <w:widowControl/>
        <w:adjustRightInd w:val="0"/>
        <w:snapToGrid w:val="0"/>
        <w:spacing w:line="360" w:lineRule="auto"/>
        <w:jc w:val="left"/>
        <w:rPr>
          <w:rFonts w:ascii="黑体" w:hAnsi="仿宋" w:cs="宋体"/>
          <w:b/>
          <w:bCs/>
          <w:szCs w:val="21"/>
        </w:rPr>
      </w:pPr>
    </w:p>
    <w:p w14:paraId="0A4B2573">
      <w:pPr>
        <w:spacing w:line="480" w:lineRule="exact"/>
        <w:rPr>
          <w:rFonts w:ascii="黑体" w:hAnsi="黑体" w:eastAsia="黑体"/>
          <w:sz w:val="30"/>
          <w:szCs w:val="30"/>
        </w:rPr>
      </w:pPr>
      <w:r>
        <w:rPr>
          <w:rFonts w:hint="eastAsia" w:ascii="黑体" w:hAnsi="黑体" w:eastAsia="黑体"/>
          <w:sz w:val="30"/>
          <w:szCs w:val="30"/>
        </w:rPr>
        <w:t>附件</w:t>
      </w:r>
      <w:r>
        <w:rPr>
          <w:rFonts w:ascii="黑体" w:hAnsi="黑体" w:eastAsia="黑体"/>
          <w:sz w:val="30"/>
          <w:szCs w:val="30"/>
        </w:rPr>
        <w:t xml:space="preserve">3              </w:t>
      </w:r>
      <w:r>
        <w:rPr>
          <w:rFonts w:hint="eastAsia" w:ascii="黑体" w:hAnsi="黑体" w:eastAsia="黑体"/>
          <w:sz w:val="30"/>
          <w:szCs w:val="30"/>
        </w:rPr>
        <w:t>供应商基本情况表</w:t>
      </w:r>
    </w:p>
    <w:p w14:paraId="7C5AADF6">
      <w:pPr>
        <w:spacing w:line="480" w:lineRule="exact"/>
        <w:rPr>
          <w:rFonts w:ascii="黑体" w:hAnsi="黑体" w:eastAsia="黑体"/>
          <w:sz w:val="30"/>
          <w:szCs w:val="30"/>
        </w:rPr>
      </w:pPr>
    </w:p>
    <w:p w14:paraId="3446AA31">
      <w:pPr>
        <w:adjustRightInd w:val="0"/>
        <w:snapToGrid w:val="0"/>
        <w:spacing w:line="360" w:lineRule="auto"/>
        <w:rPr>
          <w:rFonts w:ascii="宋体"/>
          <w:szCs w:val="21"/>
        </w:rPr>
      </w:pPr>
      <w:r>
        <w:rPr>
          <w:rFonts w:hint="eastAsia" w:ascii="宋体" w:hAnsi="宋体"/>
          <w:szCs w:val="21"/>
        </w:rPr>
        <w:t>盖供应商单位章</w:t>
      </w:r>
    </w:p>
    <w:tbl>
      <w:tblPr>
        <w:tblStyle w:val="4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4E368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ign w:val="center"/>
          </w:tcPr>
          <w:p w14:paraId="6932028C">
            <w:pPr>
              <w:topLinePunct/>
              <w:spacing w:line="440" w:lineRule="exact"/>
              <w:jc w:val="center"/>
              <w:rPr>
                <w:rFonts w:ascii="宋体"/>
                <w:szCs w:val="21"/>
              </w:rPr>
            </w:pPr>
            <w:r>
              <w:rPr>
                <w:rFonts w:hint="eastAsia" w:ascii="宋体" w:hAnsi="宋体"/>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ign w:val="center"/>
          </w:tcPr>
          <w:p w14:paraId="32665D85">
            <w:pPr>
              <w:topLinePunct/>
              <w:spacing w:line="440" w:lineRule="exact"/>
              <w:jc w:val="center"/>
              <w:rPr>
                <w:rFonts w:ascii="宋体"/>
                <w:szCs w:val="21"/>
              </w:rPr>
            </w:pPr>
          </w:p>
        </w:tc>
        <w:tc>
          <w:tcPr>
            <w:tcW w:w="1329" w:type="dxa"/>
            <w:tcBorders>
              <w:top w:val="double" w:color="auto" w:sz="4" w:space="0"/>
              <w:left w:val="single" w:color="auto" w:sz="6" w:space="0"/>
              <w:bottom w:val="single" w:color="auto" w:sz="6" w:space="0"/>
              <w:right w:val="single" w:color="auto" w:sz="6" w:space="0"/>
            </w:tcBorders>
            <w:noWrap/>
            <w:vAlign w:val="center"/>
          </w:tcPr>
          <w:p w14:paraId="5688D342">
            <w:pPr>
              <w:topLinePunct/>
              <w:spacing w:line="440" w:lineRule="exact"/>
              <w:jc w:val="center"/>
              <w:rPr>
                <w:rFonts w:ascii="宋体"/>
                <w:szCs w:val="21"/>
              </w:rPr>
            </w:pPr>
            <w:r>
              <w:rPr>
                <w:rFonts w:hint="eastAsia" w:ascii="宋体" w:hAnsi="宋体"/>
                <w:szCs w:val="21"/>
              </w:rPr>
              <w:t>单位负责人</w:t>
            </w:r>
          </w:p>
        </w:tc>
        <w:tc>
          <w:tcPr>
            <w:tcW w:w="1911" w:type="dxa"/>
            <w:tcBorders>
              <w:top w:val="double" w:color="auto" w:sz="4" w:space="0"/>
              <w:left w:val="single" w:color="auto" w:sz="6" w:space="0"/>
              <w:bottom w:val="single" w:color="auto" w:sz="6" w:space="0"/>
              <w:right w:val="double" w:color="auto" w:sz="4" w:space="0"/>
            </w:tcBorders>
            <w:noWrap/>
            <w:vAlign w:val="center"/>
          </w:tcPr>
          <w:p w14:paraId="078DED88">
            <w:pPr>
              <w:topLinePunct/>
              <w:spacing w:line="440" w:lineRule="exact"/>
              <w:jc w:val="center"/>
              <w:rPr>
                <w:rFonts w:ascii="宋体"/>
                <w:szCs w:val="21"/>
              </w:rPr>
            </w:pPr>
          </w:p>
        </w:tc>
      </w:tr>
      <w:tr w14:paraId="503C3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ign w:val="center"/>
          </w:tcPr>
          <w:p w14:paraId="1247C613">
            <w:pPr>
              <w:topLinePunct/>
              <w:spacing w:line="440" w:lineRule="exact"/>
              <w:jc w:val="center"/>
              <w:rPr>
                <w:rFonts w:ascii="宋体"/>
                <w:szCs w:val="21"/>
              </w:rPr>
            </w:pPr>
            <w:r>
              <w:rPr>
                <w:rFonts w:hint="eastAsia" w:ascii="宋体" w:hAnsi="宋体"/>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ign w:val="center"/>
          </w:tcPr>
          <w:p w14:paraId="296799C2">
            <w:pPr>
              <w:topLinePunct/>
              <w:spacing w:line="440" w:lineRule="exact"/>
              <w:jc w:val="center"/>
              <w:rPr>
                <w:rFonts w:ascii="宋体"/>
                <w:szCs w:val="21"/>
              </w:rPr>
            </w:pPr>
          </w:p>
        </w:tc>
        <w:tc>
          <w:tcPr>
            <w:tcW w:w="1329" w:type="dxa"/>
            <w:tcBorders>
              <w:top w:val="single" w:color="auto" w:sz="6" w:space="0"/>
              <w:left w:val="single" w:color="auto" w:sz="6" w:space="0"/>
              <w:bottom w:val="single" w:color="auto" w:sz="6" w:space="0"/>
              <w:right w:val="single" w:color="auto" w:sz="6" w:space="0"/>
            </w:tcBorders>
            <w:noWrap/>
            <w:vAlign w:val="center"/>
          </w:tcPr>
          <w:p w14:paraId="403A69D0">
            <w:pPr>
              <w:topLinePunct/>
              <w:spacing w:line="440" w:lineRule="exact"/>
              <w:jc w:val="center"/>
              <w:rPr>
                <w:rFonts w:ascii="宋体"/>
                <w:szCs w:val="21"/>
              </w:rPr>
            </w:pPr>
            <w:r>
              <w:rPr>
                <w:rFonts w:hint="eastAsia" w:ascii="宋体" w:hAnsi="宋体"/>
                <w:szCs w:val="21"/>
              </w:rPr>
              <w:t>邮政编码</w:t>
            </w:r>
          </w:p>
        </w:tc>
        <w:tc>
          <w:tcPr>
            <w:tcW w:w="1911" w:type="dxa"/>
            <w:tcBorders>
              <w:top w:val="single" w:color="auto" w:sz="6" w:space="0"/>
              <w:left w:val="single" w:color="auto" w:sz="6" w:space="0"/>
              <w:bottom w:val="single" w:color="auto" w:sz="6" w:space="0"/>
              <w:right w:val="double" w:color="auto" w:sz="4" w:space="0"/>
            </w:tcBorders>
            <w:noWrap/>
            <w:vAlign w:val="center"/>
          </w:tcPr>
          <w:p w14:paraId="00143E0F">
            <w:pPr>
              <w:topLinePunct/>
              <w:spacing w:line="440" w:lineRule="exact"/>
              <w:jc w:val="center"/>
              <w:rPr>
                <w:rFonts w:ascii="宋体"/>
                <w:szCs w:val="21"/>
              </w:rPr>
            </w:pPr>
          </w:p>
        </w:tc>
      </w:tr>
      <w:tr w14:paraId="4679B1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ign w:val="center"/>
          </w:tcPr>
          <w:p w14:paraId="2A3914F3">
            <w:pPr>
              <w:topLinePunct/>
              <w:spacing w:line="440" w:lineRule="exact"/>
              <w:jc w:val="center"/>
              <w:rPr>
                <w:rFonts w:ascii="宋体"/>
                <w:szCs w:val="21"/>
              </w:rPr>
            </w:pPr>
            <w:r>
              <w:rPr>
                <w:rFonts w:hint="eastAsia" w:ascii="宋体"/>
                <w:szCs w:val="21"/>
              </w:rPr>
              <w:t>联系电话</w:t>
            </w:r>
          </w:p>
        </w:tc>
        <w:tc>
          <w:tcPr>
            <w:tcW w:w="3960" w:type="dxa"/>
            <w:gridSpan w:val="5"/>
            <w:tcBorders>
              <w:top w:val="single" w:color="auto" w:sz="6" w:space="0"/>
              <w:left w:val="single" w:color="auto" w:sz="6" w:space="0"/>
              <w:bottom w:val="single" w:color="auto" w:sz="6" w:space="0"/>
              <w:right w:val="single" w:color="auto" w:sz="6" w:space="0"/>
            </w:tcBorders>
            <w:noWrap/>
            <w:vAlign w:val="center"/>
          </w:tcPr>
          <w:p w14:paraId="67859D76">
            <w:pPr>
              <w:topLinePunct/>
              <w:spacing w:line="440" w:lineRule="exact"/>
              <w:jc w:val="center"/>
              <w:rPr>
                <w:rFonts w:ascii="宋体"/>
                <w:szCs w:val="21"/>
              </w:rPr>
            </w:pPr>
          </w:p>
        </w:tc>
        <w:tc>
          <w:tcPr>
            <w:tcW w:w="1329" w:type="dxa"/>
            <w:tcBorders>
              <w:top w:val="single" w:color="auto" w:sz="6" w:space="0"/>
              <w:left w:val="single" w:color="auto" w:sz="6" w:space="0"/>
              <w:bottom w:val="single" w:color="auto" w:sz="6" w:space="0"/>
              <w:right w:val="single" w:color="auto" w:sz="6" w:space="0"/>
            </w:tcBorders>
            <w:noWrap/>
            <w:vAlign w:val="center"/>
          </w:tcPr>
          <w:p w14:paraId="2885076B">
            <w:pPr>
              <w:topLinePunct/>
              <w:spacing w:line="440" w:lineRule="exact"/>
              <w:jc w:val="center"/>
              <w:rPr>
                <w:rFonts w:ascii="宋体"/>
                <w:szCs w:val="21"/>
              </w:rPr>
            </w:pPr>
            <w:r>
              <w:rPr>
                <w:rFonts w:hint="eastAsia" w:ascii="宋体" w:hAnsi="宋体"/>
                <w:szCs w:val="21"/>
              </w:rPr>
              <w:t>电子邮箱</w:t>
            </w:r>
          </w:p>
        </w:tc>
        <w:tc>
          <w:tcPr>
            <w:tcW w:w="1911" w:type="dxa"/>
            <w:tcBorders>
              <w:top w:val="single" w:color="auto" w:sz="6" w:space="0"/>
              <w:left w:val="single" w:color="auto" w:sz="6" w:space="0"/>
              <w:bottom w:val="single" w:color="auto" w:sz="6" w:space="0"/>
              <w:right w:val="double" w:color="auto" w:sz="4" w:space="0"/>
            </w:tcBorders>
            <w:noWrap/>
            <w:vAlign w:val="center"/>
          </w:tcPr>
          <w:p w14:paraId="0126F2CC">
            <w:pPr>
              <w:topLinePunct/>
              <w:spacing w:line="440" w:lineRule="exact"/>
              <w:jc w:val="center"/>
              <w:rPr>
                <w:rFonts w:ascii="宋体"/>
                <w:szCs w:val="21"/>
              </w:rPr>
            </w:pPr>
          </w:p>
        </w:tc>
      </w:tr>
      <w:tr w14:paraId="5AA9A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ign w:val="center"/>
          </w:tcPr>
          <w:p w14:paraId="735D6A7E">
            <w:pPr>
              <w:topLinePunct/>
              <w:spacing w:line="440" w:lineRule="exact"/>
              <w:jc w:val="center"/>
              <w:rPr>
                <w:rFonts w:ascii="宋体"/>
                <w:szCs w:val="21"/>
              </w:rPr>
            </w:pPr>
            <w:r>
              <w:rPr>
                <w:rFonts w:hint="eastAsia" w:ascii="宋体" w:hAnsi="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ign w:val="center"/>
          </w:tcPr>
          <w:p w14:paraId="6D6DC964">
            <w:pPr>
              <w:topLinePunct/>
              <w:spacing w:line="440" w:lineRule="exact"/>
              <w:jc w:val="center"/>
              <w:rPr>
                <w:rFonts w:ascii="宋体"/>
                <w:szCs w:val="21"/>
              </w:rPr>
            </w:pPr>
          </w:p>
        </w:tc>
        <w:tc>
          <w:tcPr>
            <w:tcW w:w="1329" w:type="dxa"/>
            <w:tcBorders>
              <w:top w:val="single" w:color="auto" w:sz="6" w:space="0"/>
              <w:left w:val="single" w:color="auto" w:sz="6" w:space="0"/>
              <w:bottom w:val="single" w:color="auto" w:sz="6" w:space="0"/>
              <w:right w:val="single" w:color="auto" w:sz="6" w:space="0"/>
            </w:tcBorders>
            <w:noWrap/>
            <w:vAlign w:val="center"/>
          </w:tcPr>
          <w:p w14:paraId="41FA9C7E">
            <w:pPr>
              <w:topLinePunct/>
              <w:spacing w:line="440" w:lineRule="exact"/>
              <w:jc w:val="center"/>
              <w:rPr>
                <w:rFonts w:ascii="宋体"/>
                <w:szCs w:val="21"/>
              </w:rPr>
            </w:pPr>
            <w:r>
              <w:rPr>
                <w:rFonts w:hint="eastAsia" w:ascii="宋体" w:hAnsi="宋体"/>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ign w:val="center"/>
          </w:tcPr>
          <w:p w14:paraId="7649AC2B">
            <w:pPr>
              <w:topLinePunct/>
              <w:spacing w:line="440" w:lineRule="exact"/>
              <w:jc w:val="center"/>
              <w:rPr>
                <w:rFonts w:ascii="宋体"/>
                <w:szCs w:val="21"/>
              </w:rPr>
            </w:pPr>
          </w:p>
        </w:tc>
      </w:tr>
      <w:tr w14:paraId="4F94AF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ign w:val="center"/>
          </w:tcPr>
          <w:p w14:paraId="27517E28">
            <w:pPr>
              <w:topLinePunct/>
              <w:spacing w:line="440" w:lineRule="exact"/>
              <w:jc w:val="center"/>
              <w:rPr>
                <w:rFonts w:ascii="宋体"/>
                <w:szCs w:val="21"/>
              </w:rPr>
            </w:pPr>
            <w:r>
              <w:rPr>
                <w:rFonts w:hint="eastAsia" w:ascii="宋体" w:hAnsi="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ign w:val="center"/>
          </w:tcPr>
          <w:p w14:paraId="46728D11">
            <w:pPr>
              <w:topLinePunct/>
              <w:spacing w:line="440" w:lineRule="exact"/>
              <w:jc w:val="center"/>
              <w:rPr>
                <w:rFonts w:ascii="宋体"/>
                <w:szCs w:val="21"/>
              </w:rPr>
            </w:pPr>
            <w:r>
              <w:rPr>
                <w:rFonts w:hint="eastAsia" w:ascii="宋体" w:hAnsi="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ign w:val="center"/>
          </w:tcPr>
          <w:p w14:paraId="66E339FB">
            <w:pPr>
              <w:topLinePunct/>
              <w:spacing w:line="440" w:lineRule="exact"/>
              <w:jc w:val="center"/>
              <w:rPr>
                <w:rFonts w:ascii="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ign w:val="center"/>
          </w:tcPr>
          <w:p w14:paraId="2B7CCEC4">
            <w:pPr>
              <w:topLinePunct/>
              <w:spacing w:line="440" w:lineRule="exact"/>
              <w:jc w:val="center"/>
              <w:rPr>
                <w:rFonts w:ascii="宋体"/>
                <w:szCs w:val="21"/>
              </w:rPr>
            </w:pPr>
            <w:r>
              <w:rPr>
                <w:rFonts w:hint="eastAsia" w:ascii="宋体" w:hAnsi="宋体"/>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ign w:val="center"/>
          </w:tcPr>
          <w:p w14:paraId="600E958E">
            <w:pPr>
              <w:topLinePunct/>
              <w:spacing w:line="440" w:lineRule="exact"/>
              <w:jc w:val="center"/>
              <w:rPr>
                <w:rFonts w:ascii="宋体"/>
                <w:szCs w:val="21"/>
              </w:rPr>
            </w:pPr>
          </w:p>
        </w:tc>
      </w:tr>
      <w:tr w14:paraId="1A28C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ign w:val="center"/>
          </w:tcPr>
          <w:p w14:paraId="7174AB3E">
            <w:pPr>
              <w:topLinePunct/>
              <w:spacing w:line="440" w:lineRule="exact"/>
              <w:jc w:val="center"/>
              <w:rPr>
                <w:rFonts w:asci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ign w:val="center"/>
          </w:tcPr>
          <w:p w14:paraId="0FA0C0EC">
            <w:pPr>
              <w:topLinePunct/>
              <w:spacing w:line="440" w:lineRule="exact"/>
              <w:jc w:val="center"/>
              <w:rPr>
                <w:rFonts w:ascii="宋体"/>
                <w:szCs w:val="21"/>
              </w:rPr>
            </w:pPr>
            <w:r>
              <w:rPr>
                <w:rFonts w:hint="eastAsia" w:ascii="宋体" w:hAnsi="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ign w:val="center"/>
          </w:tcPr>
          <w:p w14:paraId="0D78392C">
            <w:pPr>
              <w:topLinePunct/>
              <w:spacing w:line="440" w:lineRule="exact"/>
              <w:jc w:val="center"/>
              <w:rPr>
                <w:rFonts w:ascii="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ign w:val="center"/>
          </w:tcPr>
          <w:p w14:paraId="18FDB464">
            <w:pPr>
              <w:topLinePunct/>
              <w:spacing w:line="440" w:lineRule="exact"/>
              <w:jc w:val="center"/>
              <w:rPr>
                <w:rFonts w:ascii="宋体"/>
                <w:szCs w:val="21"/>
              </w:rPr>
            </w:pPr>
            <w:r>
              <w:rPr>
                <w:rFonts w:hint="eastAsia" w:ascii="宋体" w:hAnsi="宋体"/>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ign w:val="center"/>
          </w:tcPr>
          <w:p w14:paraId="2E46A41E">
            <w:pPr>
              <w:topLinePunct/>
              <w:spacing w:line="440" w:lineRule="exact"/>
              <w:jc w:val="center"/>
              <w:rPr>
                <w:rFonts w:ascii="宋体"/>
                <w:szCs w:val="21"/>
              </w:rPr>
            </w:pPr>
          </w:p>
        </w:tc>
      </w:tr>
      <w:tr w14:paraId="2A8D9F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ign w:val="center"/>
          </w:tcPr>
          <w:p w14:paraId="6796604A">
            <w:pPr>
              <w:topLinePunct/>
              <w:spacing w:line="440" w:lineRule="exact"/>
              <w:jc w:val="center"/>
              <w:rPr>
                <w:rFonts w:asci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ign w:val="center"/>
          </w:tcPr>
          <w:p w14:paraId="275571A2">
            <w:pPr>
              <w:topLinePunct/>
              <w:spacing w:line="440" w:lineRule="exact"/>
              <w:jc w:val="center"/>
              <w:rPr>
                <w:rFonts w:ascii="宋体"/>
                <w:szCs w:val="21"/>
              </w:rPr>
            </w:pPr>
            <w:r>
              <w:rPr>
                <w:rFonts w:hint="eastAsia" w:ascii="宋体" w:hAnsi="宋体"/>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ign w:val="center"/>
          </w:tcPr>
          <w:p w14:paraId="0E110C4A">
            <w:pPr>
              <w:topLinePunct/>
              <w:spacing w:line="440" w:lineRule="exact"/>
              <w:jc w:val="center"/>
              <w:rPr>
                <w:rFonts w:ascii="宋体"/>
                <w:szCs w:val="21"/>
              </w:rPr>
            </w:pPr>
          </w:p>
        </w:tc>
      </w:tr>
      <w:tr w14:paraId="6EE3D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ign w:val="center"/>
          </w:tcPr>
          <w:p w14:paraId="2CFD74CA">
            <w:pPr>
              <w:topLinePunct/>
              <w:spacing w:line="440" w:lineRule="exact"/>
              <w:jc w:val="center"/>
              <w:rPr>
                <w:rFonts w:asci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ign w:val="center"/>
          </w:tcPr>
          <w:p w14:paraId="5A4E88F8">
            <w:pPr>
              <w:topLinePunct/>
              <w:spacing w:line="440" w:lineRule="exact"/>
              <w:jc w:val="center"/>
              <w:rPr>
                <w:rFonts w:ascii="宋体"/>
                <w:szCs w:val="21"/>
              </w:rPr>
            </w:pPr>
            <w:r>
              <w:rPr>
                <w:rFonts w:hint="eastAsia" w:ascii="宋体" w:hAnsi="宋体"/>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ign w:val="center"/>
          </w:tcPr>
          <w:p w14:paraId="0FC52AD8">
            <w:pPr>
              <w:topLinePunct/>
              <w:spacing w:line="440" w:lineRule="exact"/>
              <w:jc w:val="center"/>
              <w:rPr>
                <w:rFonts w:ascii="宋体"/>
                <w:szCs w:val="21"/>
              </w:rPr>
            </w:pPr>
          </w:p>
        </w:tc>
      </w:tr>
      <w:tr w14:paraId="774E7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ign w:val="center"/>
          </w:tcPr>
          <w:p w14:paraId="59E21620">
            <w:pPr>
              <w:topLinePunct/>
              <w:spacing w:line="440" w:lineRule="exact"/>
              <w:jc w:val="center"/>
              <w:rPr>
                <w:rFonts w:ascii="宋体"/>
                <w:szCs w:val="21"/>
              </w:rPr>
            </w:pPr>
            <w:r>
              <w:rPr>
                <w:rFonts w:hint="eastAsia" w:ascii="宋体" w:hAnsi="宋体"/>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ign w:val="center"/>
          </w:tcPr>
          <w:p w14:paraId="1945CC08">
            <w:pPr>
              <w:topLinePunct/>
              <w:spacing w:line="440" w:lineRule="exact"/>
              <w:jc w:val="center"/>
              <w:rPr>
                <w:rFonts w:ascii="宋体"/>
                <w:szCs w:val="21"/>
              </w:rPr>
            </w:pPr>
          </w:p>
        </w:tc>
      </w:tr>
      <w:tr w14:paraId="4BEDB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ign w:val="center"/>
          </w:tcPr>
          <w:p w14:paraId="7927FEF5">
            <w:pPr>
              <w:topLinePunct/>
              <w:spacing w:line="440" w:lineRule="exact"/>
              <w:jc w:val="center"/>
              <w:rPr>
                <w:rFonts w:ascii="宋体"/>
                <w:szCs w:val="21"/>
              </w:rPr>
            </w:pPr>
            <w:r>
              <w:rPr>
                <w:rFonts w:hint="eastAsia" w:ascii="宋体" w:hAnsi="宋体"/>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ign w:val="center"/>
          </w:tcPr>
          <w:p w14:paraId="58315997">
            <w:pPr>
              <w:topLinePunct/>
              <w:spacing w:line="440" w:lineRule="exact"/>
              <w:jc w:val="center"/>
              <w:rPr>
                <w:rFonts w:ascii="宋体"/>
                <w:szCs w:val="21"/>
              </w:rPr>
            </w:pPr>
          </w:p>
        </w:tc>
      </w:tr>
      <w:tr w14:paraId="785B4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ign w:val="center"/>
          </w:tcPr>
          <w:p w14:paraId="5FF49765">
            <w:pPr>
              <w:topLinePunct/>
              <w:spacing w:line="440" w:lineRule="exact"/>
              <w:jc w:val="center"/>
              <w:rPr>
                <w:rFonts w:ascii="宋体"/>
                <w:szCs w:val="21"/>
              </w:rPr>
            </w:pPr>
            <w:r>
              <w:rPr>
                <w:rFonts w:hint="eastAsia" w:ascii="宋体" w:hAnsi="宋体"/>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ign w:val="center"/>
          </w:tcPr>
          <w:p w14:paraId="3FA69E15">
            <w:pPr>
              <w:topLinePunct/>
              <w:spacing w:line="440" w:lineRule="exact"/>
              <w:jc w:val="center"/>
              <w:rPr>
                <w:rFonts w:ascii="宋体"/>
                <w:szCs w:val="21"/>
              </w:rPr>
            </w:pPr>
            <w:r>
              <w:rPr>
                <w:rFonts w:hint="eastAsia" w:ascii="宋体" w:hAnsi="宋体"/>
                <w:szCs w:val="21"/>
              </w:rPr>
              <w:t>等级</w:t>
            </w:r>
          </w:p>
        </w:tc>
        <w:tc>
          <w:tcPr>
            <w:tcW w:w="1083" w:type="dxa"/>
            <w:tcBorders>
              <w:top w:val="single" w:color="auto" w:sz="6" w:space="0"/>
              <w:left w:val="single" w:color="auto" w:sz="6" w:space="0"/>
              <w:bottom w:val="single" w:color="auto" w:sz="6" w:space="0"/>
              <w:right w:val="single" w:color="auto" w:sz="6" w:space="0"/>
            </w:tcBorders>
            <w:noWrap/>
            <w:vAlign w:val="center"/>
          </w:tcPr>
          <w:p w14:paraId="1264A18F">
            <w:pPr>
              <w:topLinePunct/>
              <w:spacing w:line="440" w:lineRule="exact"/>
              <w:jc w:val="center"/>
              <w:rPr>
                <w:rFonts w:ascii="宋体"/>
                <w:szCs w:val="21"/>
              </w:rPr>
            </w:pPr>
            <w:r>
              <w:rPr>
                <w:rFonts w:hint="eastAsia" w:ascii="宋体" w:hAnsi="宋体"/>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ign w:val="center"/>
          </w:tcPr>
          <w:p w14:paraId="1BB5136A">
            <w:pPr>
              <w:topLinePunct/>
              <w:spacing w:line="440" w:lineRule="exact"/>
              <w:jc w:val="center"/>
              <w:rPr>
                <w:rFonts w:ascii="宋体"/>
                <w:szCs w:val="21"/>
              </w:rPr>
            </w:pPr>
            <w:r>
              <w:rPr>
                <w:rFonts w:hint="eastAsia" w:ascii="宋体" w:hAnsi="宋体"/>
                <w:szCs w:val="21"/>
              </w:rPr>
              <w:t>有效期</w:t>
            </w:r>
          </w:p>
        </w:tc>
      </w:tr>
      <w:tr w14:paraId="3C2143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ign w:val="center"/>
          </w:tcPr>
          <w:p w14:paraId="1C0BDCF2">
            <w:pPr>
              <w:topLinePunct/>
              <w:spacing w:line="440" w:lineRule="exact"/>
              <w:jc w:val="center"/>
              <w:rPr>
                <w:rFonts w:asci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ign w:val="center"/>
          </w:tcPr>
          <w:p w14:paraId="5BACA2C6">
            <w:pPr>
              <w:topLinePunct/>
              <w:spacing w:line="440" w:lineRule="exact"/>
              <w:jc w:val="center"/>
              <w:rPr>
                <w:rFonts w:ascii="宋体"/>
                <w:szCs w:val="21"/>
              </w:rPr>
            </w:pPr>
          </w:p>
        </w:tc>
        <w:tc>
          <w:tcPr>
            <w:tcW w:w="1083" w:type="dxa"/>
            <w:tcBorders>
              <w:top w:val="single" w:color="auto" w:sz="6" w:space="0"/>
              <w:left w:val="single" w:color="auto" w:sz="6" w:space="0"/>
              <w:bottom w:val="single" w:color="auto" w:sz="6" w:space="0"/>
              <w:right w:val="single" w:color="auto" w:sz="6" w:space="0"/>
            </w:tcBorders>
            <w:noWrap/>
            <w:vAlign w:val="center"/>
          </w:tcPr>
          <w:p w14:paraId="231CA97E">
            <w:pPr>
              <w:topLinePunct/>
              <w:spacing w:line="440" w:lineRule="exact"/>
              <w:jc w:val="center"/>
              <w:rPr>
                <w:rFonts w:ascii="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ign w:val="center"/>
          </w:tcPr>
          <w:p w14:paraId="5DAB7025">
            <w:pPr>
              <w:topLinePunct/>
              <w:spacing w:line="440" w:lineRule="exact"/>
              <w:jc w:val="center"/>
              <w:rPr>
                <w:rFonts w:ascii="宋体"/>
                <w:szCs w:val="21"/>
              </w:rPr>
            </w:pPr>
          </w:p>
        </w:tc>
      </w:tr>
      <w:tr w14:paraId="2C2FE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ign w:val="center"/>
          </w:tcPr>
          <w:p w14:paraId="7B162F1C">
            <w:pPr>
              <w:topLinePunct/>
              <w:spacing w:line="440" w:lineRule="exact"/>
              <w:jc w:val="center"/>
              <w:rPr>
                <w:rFonts w:asci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ign w:val="center"/>
          </w:tcPr>
          <w:p w14:paraId="64F013CD">
            <w:pPr>
              <w:topLinePunct/>
              <w:spacing w:line="440" w:lineRule="exact"/>
              <w:jc w:val="center"/>
              <w:rPr>
                <w:rFonts w:ascii="宋体"/>
                <w:szCs w:val="21"/>
              </w:rPr>
            </w:pPr>
          </w:p>
        </w:tc>
        <w:tc>
          <w:tcPr>
            <w:tcW w:w="1083" w:type="dxa"/>
            <w:tcBorders>
              <w:top w:val="single" w:color="auto" w:sz="6" w:space="0"/>
              <w:left w:val="single" w:color="auto" w:sz="6" w:space="0"/>
              <w:bottom w:val="single" w:color="auto" w:sz="6" w:space="0"/>
              <w:right w:val="single" w:color="auto" w:sz="6" w:space="0"/>
            </w:tcBorders>
            <w:noWrap/>
            <w:vAlign w:val="center"/>
          </w:tcPr>
          <w:p w14:paraId="70553982">
            <w:pPr>
              <w:topLinePunct/>
              <w:spacing w:line="440" w:lineRule="exact"/>
              <w:jc w:val="center"/>
              <w:rPr>
                <w:rFonts w:ascii="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ign w:val="center"/>
          </w:tcPr>
          <w:p w14:paraId="5B379388">
            <w:pPr>
              <w:topLinePunct/>
              <w:spacing w:line="440" w:lineRule="exact"/>
              <w:jc w:val="center"/>
              <w:rPr>
                <w:rFonts w:ascii="宋体"/>
                <w:szCs w:val="21"/>
              </w:rPr>
            </w:pPr>
          </w:p>
        </w:tc>
      </w:tr>
      <w:tr w14:paraId="5F9C9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ign w:val="center"/>
          </w:tcPr>
          <w:p w14:paraId="1042BE43">
            <w:pPr>
              <w:topLinePunct/>
              <w:spacing w:line="440" w:lineRule="exact"/>
              <w:jc w:val="center"/>
              <w:rPr>
                <w:rFonts w:asci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ign w:val="center"/>
          </w:tcPr>
          <w:p w14:paraId="3BA9A634">
            <w:pPr>
              <w:topLinePunct/>
              <w:spacing w:line="440" w:lineRule="exact"/>
              <w:jc w:val="center"/>
              <w:rPr>
                <w:rFonts w:ascii="宋体"/>
                <w:szCs w:val="21"/>
              </w:rPr>
            </w:pPr>
          </w:p>
        </w:tc>
        <w:tc>
          <w:tcPr>
            <w:tcW w:w="1083" w:type="dxa"/>
            <w:tcBorders>
              <w:top w:val="single" w:color="auto" w:sz="6" w:space="0"/>
              <w:left w:val="single" w:color="auto" w:sz="6" w:space="0"/>
              <w:bottom w:val="single" w:color="auto" w:sz="6" w:space="0"/>
              <w:right w:val="single" w:color="auto" w:sz="6" w:space="0"/>
            </w:tcBorders>
            <w:noWrap/>
            <w:vAlign w:val="center"/>
          </w:tcPr>
          <w:p w14:paraId="407E9273">
            <w:pPr>
              <w:topLinePunct/>
              <w:spacing w:line="440" w:lineRule="exact"/>
              <w:jc w:val="center"/>
              <w:rPr>
                <w:rFonts w:ascii="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ign w:val="center"/>
          </w:tcPr>
          <w:p w14:paraId="6ED312DD">
            <w:pPr>
              <w:topLinePunct/>
              <w:spacing w:line="440" w:lineRule="exact"/>
              <w:jc w:val="center"/>
              <w:rPr>
                <w:rFonts w:ascii="宋体"/>
                <w:szCs w:val="21"/>
              </w:rPr>
            </w:pPr>
          </w:p>
        </w:tc>
      </w:tr>
      <w:tr w14:paraId="140C3A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ign w:val="center"/>
          </w:tcPr>
          <w:p w14:paraId="2D5D5491">
            <w:pPr>
              <w:topLinePunct/>
              <w:spacing w:line="440" w:lineRule="exact"/>
              <w:jc w:val="center"/>
              <w:rPr>
                <w:rFonts w:asci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ign w:val="center"/>
          </w:tcPr>
          <w:p w14:paraId="4D0E0DC3">
            <w:pPr>
              <w:topLinePunct/>
              <w:spacing w:line="440" w:lineRule="exact"/>
              <w:jc w:val="center"/>
              <w:rPr>
                <w:rFonts w:ascii="宋体"/>
                <w:szCs w:val="21"/>
              </w:rPr>
            </w:pPr>
          </w:p>
        </w:tc>
        <w:tc>
          <w:tcPr>
            <w:tcW w:w="1083" w:type="dxa"/>
            <w:tcBorders>
              <w:top w:val="single" w:color="auto" w:sz="6" w:space="0"/>
              <w:left w:val="single" w:color="auto" w:sz="6" w:space="0"/>
              <w:bottom w:val="single" w:color="auto" w:sz="6" w:space="0"/>
              <w:right w:val="single" w:color="auto" w:sz="6" w:space="0"/>
            </w:tcBorders>
            <w:noWrap/>
            <w:vAlign w:val="center"/>
          </w:tcPr>
          <w:p w14:paraId="02216D89">
            <w:pPr>
              <w:topLinePunct/>
              <w:spacing w:line="440" w:lineRule="exact"/>
              <w:jc w:val="center"/>
              <w:rPr>
                <w:rFonts w:ascii="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ign w:val="center"/>
          </w:tcPr>
          <w:p w14:paraId="5B1FFCD2">
            <w:pPr>
              <w:topLinePunct/>
              <w:spacing w:line="440" w:lineRule="exact"/>
              <w:jc w:val="center"/>
              <w:rPr>
                <w:rFonts w:ascii="宋体"/>
                <w:szCs w:val="21"/>
              </w:rPr>
            </w:pPr>
          </w:p>
        </w:tc>
      </w:tr>
      <w:tr w14:paraId="28861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258" w:type="dxa"/>
            <w:gridSpan w:val="2"/>
            <w:tcBorders>
              <w:top w:val="single" w:color="auto" w:sz="6" w:space="0"/>
              <w:left w:val="double" w:color="auto" w:sz="4" w:space="0"/>
              <w:bottom w:val="double" w:color="auto" w:sz="4" w:space="0"/>
              <w:right w:val="single" w:color="auto" w:sz="6" w:space="0"/>
            </w:tcBorders>
            <w:noWrap/>
            <w:vAlign w:val="center"/>
          </w:tcPr>
          <w:p w14:paraId="2CFE5123">
            <w:pPr>
              <w:topLinePunct/>
              <w:spacing w:line="440" w:lineRule="exact"/>
              <w:jc w:val="center"/>
              <w:rPr>
                <w:rFonts w:ascii="宋体"/>
                <w:szCs w:val="21"/>
              </w:rPr>
            </w:pPr>
            <w:r>
              <w:rPr>
                <w:rFonts w:hint="eastAsia" w:ascii="宋体" w:hAnsi="宋体"/>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ign w:val="center"/>
          </w:tcPr>
          <w:p w14:paraId="276477D4">
            <w:pPr>
              <w:topLinePunct/>
              <w:spacing w:line="440" w:lineRule="exact"/>
              <w:rPr>
                <w:rFonts w:ascii="黑体" w:hAnsi="宋体" w:eastAsia="黑体"/>
                <w:szCs w:val="21"/>
              </w:rPr>
            </w:pPr>
            <w:r>
              <w:rPr>
                <w:rFonts w:hint="eastAsia" w:ascii="黑体" w:hAnsi="宋体" w:eastAsia="黑体"/>
                <w:szCs w:val="21"/>
              </w:rPr>
              <w:t>附《营业执照》（副本）复印件</w:t>
            </w:r>
          </w:p>
        </w:tc>
      </w:tr>
    </w:tbl>
    <w:p w14:paraId="2A04A298">
      <w:pPr>
        <w:widowControl/>
        <w:adjustRightInd w:val="0"/>
        <w:snapToGrid w:val="0"/>
        <w:spacing w:line="360" w:lineRule="auto"/>
        <w:jc w:val="left"/>
        <w:rPr>
          <w:rFonts w:ascii="黑体" w:hAnsi="仿宋" w:cs="宋体"/>
          <w:b/>
          <w:bCs/>
          <w:szCs w:val="21"/>
        </w:rPr>
      </w:pPr>
    </w:p>
    <w:p w14:paraId="1D573F3D">
      <w:pPr>
        <w:widowControl/>
        <w:adjustRightInd w:val="0"/>
        <w:snapToGrid w:val="0"/>
        <w:spacing w:line="360" w:lineRule="auto"/>
        <w:jc w:val="left"/>
        <w:rPr>
          <w:rFonts w:ascii="黑体" w:hAnsi="仿宋" w:cs="宋体"/>
          <w:b/>
          <w:bCs/>
          <w:szCs w:val="21"/>
        </w:rPr>
      </w:pPr>
    </w:p>
    <w:p w14:paraId="066B709F">
      <w:pPr>
        <w:widowControl/>
        <w:adjustRightInd w:val="0"/>
        <w:snapToGrid w:val="0"/>
        <w:spacing w:line="360" w:lineRule="auto"/>
        <w:jc w:val="left"/>
        <w:rPr>
          <w:rFonts w:ascii="黑体" w:hAnsi="仿宋" w:cs="宋体"/>
          <w:b/>
          <w:bCs/>
          <w:szCs w:val="21"/>
        </w:rPr>
      </w:pPr>
    </w:p>
    <w:p w14:paraId="0B2C519E">
      <w:pPr>
        <w:widowControl/>
        <w:adjustRightInd w:val="0"/>
        <w:snapToGrid w:val="0"/>
        <w:spacing w:line="360" w:lineRule="auto"/>
        <w:jc w:val="left"/>
        <w:rPr>
          <w:rFonts w:ascii="黑体" w:hAnsi="仿宋" w:cs="宋体"/>
          <w:b/>
          <w:bCs/>
          <w:szCs w:val="21"/>
        </w:rPr>
      </w:pPr>
    </w:p>
    <w:p w14:paraId="39F98412">
      <w:pPr>
        <w:widowControl/>
        <w:adjustRightInd w:val="0"/>
        <w:snapToGrid w:val="0"/>
        <w:spacing w:line="360" w:lineRule="auto"/>
        <w:jc w:val="left"/>
        <w:rPr>
          <w:rFonts w:ascii="黑体" w:hAnsi="仿宋" w:cs="宋体"/>
          <w:b/>
          <w:bCs/>
          <w:szCs w:val="21"/>
        </w:rPr>
      </w:pPr>
    </w:p>
    <w:p w14:paraId="6C02EE03">
      <w:pPr>
        <w:widowControl/>
        <w:adjustRightInd w:val="0"/>
        <w:snapToGrid w:val="0"/>
        <w:spacing w:line="360" w:lineRule="auto"/>
        <w:jc w:val="left"/>
        <w:rPr>
          <w:rFonts w:ascii="黑体" w:hAnsi="仿宋" w:cs="宋体"/>
          <w:b/>
          <w:bCs/>
          <w:szCs w:val="21"/>
        </w:rPr>
      </w:pPr>
      <w:r>
        <w:rPr>
          <w:rFonts w:hint="eastAsia" w:ascii="黑体" w:hAnsi="仿宋" w:cs="宋体"/>
          <w:b/>
          <w:bCs/>
          <w:szCs w:val="21"/>
        </w:rPr>
        <w:t xml:space="preserve">附件4-1 </w:t>
      </w:r>
      <w:bookmarkEnd w:id="132"/>
    </w:p>
    <w:p w14:paraId="4D050612">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1879F12D">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647BD1F1">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注：</w:t>
      </w:r>
    </w:p>
    <w:p w14:paraId="4AF1AB28">
      <w:pPr>
        <w:adjustRightInd w:val="0"/>
        <w:snapToGrid w:val="0"/>
        <w:spacing w:beforeLines="50" w:line="360" w:lineRule="auto"/>
        <w:ind w:firstLine="420" w:firstLineChars="200"/>
        <w:rPr>
          <w:rFonts w:ascii="宋体" w:hAnsi="宋体"/>
        </w:rPr>
      </w:pPr>
      <w:r>
        <w:rPr>
          <w:rFonts w:hint="eastAsia" w:ascii="宋体" w:hAnsi="宋体" w:cs="宋体"/>
          <w:szCs w:val="21"/>
        </w:rPr>
        <w:t>（1）</w:t>
      </w:r>
      <w:r>
        <w:rPr>
          <w:rFonts w:hint="eastAsia" w:ascii="宋体" w:hAnsi="宋体"/>
        </w:rPr>
        <w:t>投标人为法人的，应提交营业执照或法人登记证书的扫描件</w:t>
      </w:r>
    </w:p>
    <w:p w14:paraId="3F7221AB">
      <w:pPr>
        <w:adjustRightInd w:val="0"/>
        <w:snapToGrid w:val="0"/>
        <w:spacing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4A2ABB98">
      <w:pPr>
        <w:adjustRightInd w:val="0"/>
        <w:snapToGrid w:val="0"/>
        <w:spacing w:beforeLines="50" w:line="360" w:lineRule="auto"/>
        <w:ind w:firstLine="420" w:firstLineChars="200"/>
        <w:rPr>
          <w:rFonts w:hint="eastAsia" w:ascii="宋体" w:hAnsi="宋体" w:eastAsia="宋体" w:cs="Times New Roman"/>
        </w:rPr>
      </w:pPr>
      <w:r>
        <w:rPr>
          <w:rFonts w:hint="eastAsia" w:ascii="宋体" w:hAnsi="宋体" w:cs="宋体"/>
          <w:szCs w:val="21"/>
        </w:rPr>
        <w:t>（3）</w:t>
      </w:r>
      <w:r>
        <w:rPr>
          <w:rFonts w:hint="eastAsia" w:ascii="宋体" w:hAnsi="宋体"/>
        </w:rPr>
        <w:t>投标人</w:t>
      </w:r>
      <w:r>
        <w:rPr>
          <w:rFonts w:hint="eastAsia" w:ascii="宋体" w:hAnsi="宋体" w:eastAsia="宋体" w:cs="Times New Roman"/>
        </w:rPr>
        <w:t>为个体工商户的，应提交个体工商户营业执照扫描件；</w:t>
      </w:r>
    </w:p>
    <w:p w14:paraId="28495174">
      <w:pPr>
        <w:adjustRightInd w:val="0"/>
        <w:snapToGrid w:val="0"/>
        <w:spacing w:beforeLines="50" w:line="360" w:lineRule="auto"/>
        <w:ind w:firstLine="420" w:firstLineChars="200"/>
        <w:rPr>
          <w:rFonts w:hint="eastAsia" w:ascii="宋体" w:hAnsi="宋体" w:eastAsia="宋体" w:cs="Times New Roman"/>
        </w:rPr>
      </w:pPr>
      <w:r>
        <w:rPr>
          <w:rFonts w:hint="eastAsia" w:ascii="宋体" w:hAnsi="宋体" w:eastAsia="宋体" w:cs="Times New Roman"/>
        </w:rPr>
        <w:t>（4）投标人为自然人的，应提交自然人的身份证明扫描件。</w:t>
      </w:r>
    </w:p>
    <w:p w14:paraId="2B3EBC5E">
      <w:pPr>
        <w:adjustRightInd w:val="0"/>
        <w:snapToGrid w:val="0"/>
        <w:spacing w:beforeLines="50" w:line="360" w:lineRule="auto"/>
        <w:ind w:firstLine="420" w:firstLineChars="200"/>
        <w:rPr>
          <w:rFonts w:hint="eastAsia" w:ascii="宋体" w:hAnsi="宋体" w:eastAsia="宋体" w:cs="Times New Roman"/>
        </w:rPr>
      </w:pPr>
      <w:bookmarkStart w:id="133" w:name="_Toc12795"/>
      <w:bookmarkStart w:id="134" w:name="_Toc32023"/>
      <w:bookmarkStart w:id="135" w:name="_Toc20918"/>
      <w:r>
        <w:rPr>
          <w:rFonts w:hint="eastAsia" w:ascii="宋体" w:hAnsi="宋体" w:eastAsia="宋体" w:cs="Times New Roman"/>
          <w:lang w:eastAsia="zh-CN"/>
        </w:rPr>
        <w:t>（</w:t>
      </w:r>
      <w:r>
        <w:rPr>
          <w:rFonts w:hint="eastAsia" w:ascii="宋体" w:hAnsi="宋体" w:eastAsia="宋体" w:cs="Times New Roman"/>
          <w:lang w:val="en-US" w:eastAsia="zh-CN"/>
        </w:rPr>
        <w:t>5</w:t>
      </w:r>
      <w:r>
        <w:rPr>
          <w:rFonts w:hint="eastAsia" w:ascii="宋体" w:hAnsi="宋体" w:eastAsia="宋体" w:cs="Times New Roman"/>
          <w:lang w:eastAsia="zh-CN"/>
        </w:rPr>
        <w:t>）</w:t>
      </w:r>
      <w:r>
        <w:rPr>
          <w:rFonts w:hint="eastAsia" w:ascii="宋体" w:hAnsi="宋体" w:eastAsia="宋体" w:cs="Times New Roman"/>
        </w:rPr>
        <w:t>具有履行本项目采购合同所必须的设备和专业技术能力证明材料</w:t>
      </w:r>
      <w:bookmarkEnd w:id="133"/>
      <w:bookmarkEnd w:id="134"/>
      <w:bookmarkEnd w:id="135"/>
    </w:p>
    <w:p w14:paraId="3B1B5913">
      <w:pPr>
        <w:adjustRightInd w:val="0"/>
        <w:snapToGrid w:val="0"/>
        <w:spacing w:beforeLines="50" w:line="360" w:lineRule="auto"/>
        <w:ind w:firstLine="420" w:firstLineChars="200"/>
        <w:rPr>
          <w:rFonts w:ascii="宋体" w:hAnsi="宋体"/>
        </w:rPr>
      </w:pPr>
    </w:p>
    <w:p w14:paraId="156E0CAA">
      <w:pPr>
        <w:adjustRightInd w:val="0"/>
        <w:snapToGrid w:val="0"/>
        <w:spacing w:beforeLines="50" w:line="360" w:lineRule="auto"/>
        <w:ind w:firstLine="420" w:firstLineChars="200"/>
        <w:rPr>
          <w:rFonts w:ascii="宋体" w:hAnsi="宋体"/>
        </w:rPr>
      </w:pPr>
    </w:p>
    <w:p w14:paraId="0572B499">
      <w:pPr>
        <w:adjustRightInd w:val="0"/>
        <w:snapToGrid w:val="0"/>
        <w:spacing w:beforeLines="50" w:line="360" w:lineRule="auto"/>
        <w:ind w:firstLine="420" w:firstLineChars="200"/>
        <w:rPr>
          <w:rFonts w:ascii="宋体" w:hAnsi="宋体"/>
        </w:rPr>
      </w:pPr>
    </w:p>
    <w:p w14:paraId="402A8BC0">
      <w:pPr>
        <w:adjustRightInd w:val="0"/>
        <w:snapToGrid w:val="0"/>
        <w:spacing w:beforeLines="50" w:line="360" w:lineRule="auto"/>
        <w:ind w:firstLine="420" w:firstLineChars="200"/>
        <w:rPr>
          <w:rFonts w:ascii="宋体" w:hAnsi="宋体"/>
        </w:rPr>
      </w:pPr>
    </w:p>
    <w:p w14:paraId="0D2D0BE8">
      <w:pPr>
        <w:adjustRightInd w:val="0"/>
        <w:snapToGrid w:val="0"/>
        <w:spacing w:beforeLines="50" w:line="360" w:lineRule="auto"/>
        <w:ind w:firstLine="420" w:firstLineChars="200"/>
        <w:rPr>
          <w:rFonts w:ascii="宋体" w:hAnsi="宋体"/>
        </w:rPr>
      </w:pPr>
    </w:p>
    <w:p w14:paraId="7AB29CAE">
      <w:pPr>
        <w:adjustRightInd w:val="0"/>
        <w:snapToGrid w:val="0"/>
        <w:spacing w:beforeLines="50" w:line="360" w:lineRule="auto"/>
        <w:ind w:firstLine="420" w:firstLineChars="200"/>
        <w:rPr>
          <w:rFonts w:ascii="宋体" w:hAnsi="宋体"/>
        </w:rPr>
      </w:pPr>
    </w:p>
    <w:p w14:paraId="6505199A">
      <w:pPr>
        <w:adjustRightInd w:val="0"/>
        <w:snapToGrid w:val="0"/>
        <w:spacing w:beforeLines="50" w:line="360" w:lineRule="auto"/>
        <w:ind w:firstLine="420" w:firstLineChars="200"/>
        <w:rPr>
          <w:rFonts w:ascii="宋体" w:hAnsi="宋体"/>
        </w:rPr>
      </w:pPr>
    </w:p>
    <w:p w14:paraId="46B27944">
      <w:pPr>
        <w:adjustRightInd w:val="0"/>
        <w:snapToGrid w:val="0"/>
        <w:spacing w:beforeLines="50" w:line="360" w:lineRule="auto"/>
        <w:ind w:firstLine="420" w:firstLineChars="200"/>
        <w:rPr>
          <w:rFonts w:ascii="宋体" w:hAnsi="宋体"/>
        </w:rPr>
      </w:pPr>
    </w:p>
    <w:p w14:paraId="7FB2BDB2">
      <w:pPr>
        <w:adjustRightInd w:val="0"/>
        <w:snapToGrid w:val="0"/>
        <w:spacing w:beforeLines="50" w:line="360" w:lineRule="auto"/>
        <w:ind w:firstLine="420" w:firstLineChars="200"/>
        <w:rPr>
          <w:rFonts w:ascii="宋体" w:hAnsi="宋体"/>
        </w:rPr>
      </w:pPr>
    </w:p>
    <w:p w14:paraId="28E70B20">
      <w:pPr>
        <w:adjustRightInd w:val="0"/>
        <w:snapToGrid w:val="0"/>
        <w:spacing w:beforeLines="50" w:line="360" w:lineRule="auto"/>
        <w:ind w:firstLine="420" w:firstLineChars="200"/>
        <w:rPr>
          <w:rFonts w:ascii="宋体" w:hAnsi="宋体"/>
        </w:rPr>
      </w:pPr>
    </w:p>
    <w:p w14:paraId="2F801AB0">
      <w:pPr>
        <w:adjustRightInd w:val="0"/>
        <w:snapToGrid w:val="0"/>
        <w:spacing w:beforeLines="50" w:line="360" w:lineRule="auto"/>
        <w:ind w:firstLine="420" w:firstLineChars="200"/>
        <w:rPr>
          <w:rFonts w:ascii="宋体" w:hAnsi="宋体"/>
        </w:rPr>
      </w:pPr>
    </w:p>
    <w:p w14:paraId="6F261A01">
      <w:pPr>
        <w:adjustRightInd w:val="0"/>
        <w:snapToGrid w:val="0"/>
        <w:spacing w:beforeLines="50" w:line="360" w:lineRule="auto"/>
        <w:ind w:firstLine="420" w:firstLineChars="200"/>
        <w:rPr>
          <w:rFonts w:ascii="宋体" w:hAnsi="宋体"/>
        </w:rPr>
      </w:pPr>
    </w:p>
    <w:p w14:paraId="2BB92B53">
      <w:pPr>
        <w:adjustRightInd w:val="0"/>
        <w:snapToGrid w:val="0"/>
        <w:spacing w:beforeLines="50" w:line="360" w:lineRule="auto"/>
        <w:ind w:firstLine="420" w:firstLineChars="200"/>
        <w:rPr>
          <w:rFonts w:ascii="宋体" w:hAnsi="宋体"/>
        </w:rPr>
      </w:pPr>
    </w:p>
    <w:p w14:paraId="7985361F">
      <w:pPr>
        <w:adjustRightInd w:val="0"/>
        <w:snapToGrid w:val="0"/>
        <w:spacing w:beforeLines="50" w:line="360" w:lineRule="auto"/>
        <w:ind w:firstLine="420" w:firstLineChars="200"/>
        <w:rPr>
          <w:rFonts w:ascii="宋体" w:hAnsi="宋体"/>
        </w:rPr>
      </w:pPr>
    </w:p>
    <w:p w14:paraId="6FBDAAEC">
      <w:pPr>
        <w:adjustRightInd w:val="0"/>
        <w:snapToGrid w:val="0"/>
        <w:spacing w:beforeLines="50" w:line="360" w:lineRule="auto"/>
        <w:ind w:firstLine="420" w:firstLineChars="200"/>
        <w:rPr>
          <w:rFonts w:ascii="宋体" w:hAnsi="宋体"/>
        </w:rPr>
      </w:pPr>
    </w:p>
    <w:p w14:paraId="3039856C">
      <w:pPr>
        <w:widowControl/>
        <w:jc w:val="left"/>
        <w:rPr>
          <w:rFonts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0FCB2CA4">
      <w:pPr>
        <w:widowControl/>
        <w:jc w:val="left"/>
        <w:rPr>
          <w:rFonts w:ascii="黑体" w:hAnsi="仿宋" w:cs="宋体"/>
          <w:b/>
          <w:szCs w:val="21"/>
        </w:rPr>
      </w:pPr>
    </w:p>
    <w:p w14:paraId="210FB1E2">
      <w:pPr>
        <w:pStyle w:val="35"/>
        <w:spacing w:before="0" w:beforeAutospacing="0" w:after="0" w:afterAutospacing="0" w:line="560" w:lineRule="atLeast"/>
        <w:jc w:val="center"/>
        <w:rPr>
          <w:rFonts w:ascii="方正小标宋_GBK" w:hAnsi="方正小标宋_GBK" w:eastAsia="方正小标宋_GBK" w:cs="方正小标宋_GBK"/>
          <w:sz w:val="36"/>
          <w:szCs w:val="36"/>
        </w:rPr>
      </w:pPr>
    </w:p>
    <w:p w14:paraId="69316656">
      <w:pPr>
        <w:pStyle w:val="35"/>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7C2A33BC">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5D9FF2B">
      <w:pPr>
        <w:adjustRightInd w:val="0"/>
        <w:snapToGrid w:val="0"/>
        <w:spacing w:beforeLines="50" w:line="360" w:lineRule="auto"/>
        <w:ind w:firstLine="420" w:firstLineChars="200"/>
        <w:rPr>
          <w:rFonts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59461F3A">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0CF76222">
      <w:pPr>
        <w:adjustRightInd w:val="0"/>
        <w:snapToGrid w:val="0"/>
        <w:spacing w:beforeLines="50" w:line="360" w:lineRule="auto"/>
        <w:ind w:firstLine="420" w:firstLineChars="200"/>
        <w:rPr>
          <w:rFonts w:ascii="宋体" w:hAnsi="宋体" w:cs="宋体"/>
          <w:szCs w:val="21"/>
        </w:rPr>
      </w:pPr>
      <w:r>
        <w:rPr>
          <w:rFonts w:ascii="宋体" w:hAnsi="宋体" w:cs="宋体"/>
          <w:szCs w:val="21"/>
        </w:rPr>
        <w:t>公司（单位）名称（盖章）</w:t>
      </w:r>
    </w:p>
    <w:p w14:paraId="618A5918">
      <w:pPr>
        <w:adjustRightInd w:val="0"/>
        <w:snapToGrid w:val="0"/>
        <w:spacing w:beforeLines="50" w:line="360" w:lineRule="auto"/>
        <w:ind w:firstLine="420" w:firstLineChars="200"/>
        <w:jc w:val="right"/>
        <w:rPr>
          <w:rFonts w:ascii="宋体" w:hAnsi="宋体" w:cs="宋体"/>
          <w:szCs w:val="21"/>
        </w:rPr>
      </w:pPr>
      <w:r>
        <w:rPr>
          <w:rFonts w:ascii="宋体" w:hAnsi="宋体" w:cs="宋体"/>
          <w:szCs w:val="21"/>
        </w:rPr>
        <w:t> </w:t>
      </w:r>
      <w:r>
        <w:rPr>
          <w:rFonts w:hint="eastAsia" w:ascii="宋体" w:hAnsi="宋体" w:cs="宋体"/>
          <w:szCs w:val="21"/>
        </w:rPr>
        <w:t xml:space="preserve">        </w:t>
      </w:r>
      <w:r>
        <w:rPr>
          <w:rFonts w:ascii="宋体" w:hAnsi="宋体" w:cs="宋体"/>
          <w:szCs w:val="21"/>
        </w:rPr>
        <w:t>年   月   日   </w:t>
      </w:r>
    </w:p>
    <w:p w14:paraId="3A0CBD17">
      <w:pPr>
        <w:adjustRightInd w:val="0"/>
        <w:snapToGrid w:val="0"/>
        <w:spacing w:beforeLines="50" w:line="360" w:lineRule="auto"/>
        <w:ind w:firstLine="420" w:firstLineChars="200"/>
        <w:jc w:val="right"/>
        <w:rPr>
          <w:rFonts w:ascii="宋体" w:hAnsi="宋体" w:cs="宋体"/>
          <w:szCs w:val="21"/>
        </w:rPr>
      </w:pPr>
    </w:p>
    <w:tbl>
      <w:tblPr>
        <w:tblStyle w:val="4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554"/>
        <w:gridCol w:w="2138"/>
        <w:gridCol w:w="2006"/>
        <w:gridCol w:w="2340"/>
      </w:tblGrid>
      <w:tr w14:paraId="6BB273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25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830F80">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统一社会机构代码</w:t>
            </w:r>
          </w:p>
        </w:tc>
        <w:tc>
          <w:tcPr>
            <w:tcW w:w="213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ADF7C7">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 </w:t>
            </w:r>
          </w:p>
        </w:tc>
        <w:tc>
          <w:tcPr>
            <w:tcW w:w="20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E2A5D9">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注册资本</w:t>
            </w:r>
          </w:p>
        </w:tc>
        <w:tc>
          <w:tcPr>
            <w:tcW w:w="23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7086ED">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 </w:t>
            </w:r>
          </w:p>
        </w:tc>
      </w:tr>
      <w:tr w14:paraId="06F86D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25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2E3194">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注册登记机构</w:t>
            </w:r>
          </w:p>
        </w:tc>
        <w:tc>
          <w:tcPr>
            <w:tcW w:w="21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EDECF7">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 </w:t>
            </w:r>
          </w:p>
        </w:tc>
        <w:tc>
          <w:tcPr>
            <w:tcW w:w="200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BB03F42">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登记日期</w:t>
            </w:r>
          </w:p>
        </w:tc>
        <w:tc>
          <w:tcPr>
            <w:tcW w:w="23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8D95CD">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 </w:t>
            </w:r>
          </w:p>
        </w:tc>
      </w:tr>
      <w:tr w14:paraId="5F3544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25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818E60">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有效期</w:t>
            </w:r>
          </w:p>
        </w:tc>
        <w:tc>
          <w:tcPr>
            <w:tcW w:w="21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37EE01">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 </w:t>
            </w:r>
          </w:p>
        </w:tc>
        <w:tc>
          <w:tcPr>
            <w:tcW w:w="200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C9D083">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经济行业</w:t>
            </w:r>
          </w:p>
        </w:tc>
        <w:tc>
          <w:tcPr>
            <w:tcW w:w="23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C34B67">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 </w:t>
            </w:r>
          </w:p>
        </w:tc>
      </w:tr>
      <w:tr w14:paraId="2D5662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25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CB44F0">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经济性质</w:t>
            </w:r>
          </w:p>
        </w:tc>
        <w:tc>
          <w:tcPr>
            <w:tcW w:w="648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80FEB6">
            <w:pPr>
              <w:widowControl/>
              <w:spacing w:before="100" w:beforeAutospacing="1" w:after="100" w:afterAutospacing="1" w:line="420" w:lineRule="atLeast"/>
              <w:jc w:val="center"/>
              <w:rPr>
                <w:rFonts w:ascii="宋体" w:hAnsi="宋体" w:cs="宋体"/>
                <w:color w:val="000000"/>
                <w:szCs w:val="21"/>
              </w:rPr>
            </w:pPr>
            <w:r>
              <w:rPr>
                <w:rFonts w:hint="eastAsia" w:ascii="宋体" w:hAnsi="宋体" w:cs="宋体"/>
                <w:color w:val="000000"/>
                <w:kern w:val="0"/>
                <w:szCs w:val="21"/>
              </w:rPr>
              <w:t> </w:t>
            </w:r>
          </w:p>
        </w:tc>
      </w:tr>
      <w:tr w14:paraId="5B1948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9038"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7CCA04">
            <w:pPr>
              <w:widowControl/>
              <w:spacing w:before="100" w:beforeAutospacing="1" w:after="100" w:afterAutospacing="1" w:line="420" w:lineRule="atLeast"/>
              <w:jc w:val="left"/>
              <w:rPr>
                <w:rFonts w:ascii="宋体" w:hAnsi="宋体" w:cs="宋体"/>
                <w:color w:val="000000"/>
                <w:szCs w:val="21"/>
              </w:rPr>
            </w:pPr>
            <w:r>
              <w:rPr>
                <w:rFonts w:hint="eastAsia" w:ascii="宋体" w:hAnsi="宋体" w:cs="宋体"/>
                <w:color w:val="000000"/>
                <w:kern w:val="0"/>
                <w:szCs w:val="21"/>
              </w:rPr>
              <w:t>法定代表人（负责人）签字：</w:t>
            </w:r>
          </w:p>
        </w:tc>
      </w:tr>
      <w:tr w14:paraId="5C3CDA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9038"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411568">
            <w:pPr>
              <w:widowControl/>
              <w:spacing w:before="100" w:beforeAutospacing="1" w:after="100" w:afterAutospacing="1" w:line="420" w:lineRule="atLeast"/>
              <w:jc w:val="left"/>
              <w:rPr>
                <w:rFonts w:ascii="宋体" w:hAnsi="宋体" w:cs="宋体"/>
                <w:color w:val="000000"/>
                <w:szCs w:val="21"/>
              </w:rPr>
            </w:pPr>
            <w:r>
              <w:rPr>
                <w:rFonts w:hint="eastAsia" w:ascii="宋体" w:hAnsi="宋体" w:cs="宋体"/>
                <w:color w:val="000000"/>
                <w:kern w:val="0"/>
                <w:szCs w:val="21"/>
              </w:rPr>
              <w:t>法定代表人身份证号：</w:t>
            </w:r>
          </w:p>
        </w:tc>
      </w:tr>
      <w:tr w14:paraId="72175B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9038"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7EE257">
            <w:pPr>
              <w:widowControl/>
              <w:spacing w:before="100" w:beforeAutospacing="1" w:after="100" w:afterAutospacing="1" w:line="420" w:lineRule="atLeast"/>
              <w:jc w:val="left"/>
              <w:rPr>
                <w:rFonts w:ascii="宋体" w:hAnsi="宋体" w:cs="宋体"/>
                <w:color w:val="000000"/>
                <w:szCs w:val="21"/>
              </w:rPr>
            </w:pPr>
            <w:r>
              <w:rPr>
                <w:rFonts w:hint="eastAsia" w:ascii="宋体" w:hAnsi="宋体" w:cs="宋体"/>
                <w:color w:val="000000"/>
                <w:kern w:val="0"/>
                <w:szCs w:val="21"/>
              </w:rPr>
              <w:t>法定代表人手机号：</w:t>
            </w:r>
          </w:p>
        </w:tc>
      </w:tr>
      <w:tr w14:paraId="638206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9038"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E89D73">
            <w:pPr>
              <w:widowControl/>
              <w:spacing w:before="100" w:beforeAutospacing="1" w:after="100" w:afterAutospacing="1" w:line="420" w:lineRule="atLeast"/>
              <w:jc w:val="left"/>
              <w:rPr>
                <w:rFonts w:ascii="宋体" w:hAnsi="宋体" w:cs="宋体"/>
                <w:color w:val="000000"/>
                <w:szCs w:val="21"/>
              </w:rPr>
            </w:pPr>
            <w:r>
              <w:rPr>
                <w:rFonts w:hint="eastAsia" w:ascii="宋体" w:hAnsi="宋体" w:cs="宋体"/>
                <w:color w:val="000000"/>
                <w:kern w:val="0"/>
                <w:szCs w:val="21"/>
              </w:rPr>
              <w:t>授权代表人姓名（签字）：</w:t>
            </w:r>
          </w:p>
        </w:tc>
      </w:tr>
      <w:tr w14:paraId="667B8C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3" w:hRule="atLeast"/>
          <w:jc w:val="center"/>
        </w:trPr>
        <w:tc>
          <w:tcPr>
            <w:tcW w:w="9038"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FB400F">
            <w:pPr>
              <w:widowControl/>
              <w:spacing w:before="100" w:beforeAutospacing="1" w:after="100" w:afterAutospacing="1" w:line="420" w:lineRule="atLeast"/>
              <w:jc w:val="left"/>
              <w:rPr>
                <w:rFonts w:ascii="宋体" w:hAnsi="宋体" w:cs="宋体"/>
                <w:color w:val="000000"/>
                <w:szCs w:val="21"/>
              </w:rPr>
            </w:pPr>
            <w:r>
              <w:rPr>
                <w:rFonts w:hint="eastAsia" w:ascii="宋体" w:hAnsi="宋体" w:cs="宋体"/>
                <w:color w:val="000000"/>
                <w:kern w:val="0"/>
                <w:szCs w:val="21"/>
              </w:rPr>
              <w:t>授权代表人身份证号：</w:t>
            </w:r>
          </w:p>
        </w:tc>
      </w:tr>
      <w:tr w14:paraId="45977E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0" w:hRule="atLeast"/>
          <w:jc w:val="center"/>
        </w:trPr>
        <w:tc>
          <w:tcPr>
            <w:tcW w:w="9038"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9A5A68">
            <w:pPr>
              <w:widowControl/>
              <w:spacing w:before="100" w:beforeAutospacing="1" w:after="100" w:afterAutospacing="1" w:line="420" w:lineRule="atLeast"/>
              <w:jc w:val="left"/>
              <w:rPr>
                <w:rFonts w:ascii="宋体" w:hAnsi="宋体" w:cs="宋体"/>
                <w:color w:val="000000"/>
                <w:szCs w:val="21"/>
              </w:rPr>
            </w:pPr>
            <w:r>
              <w:rPr>
                <w:rFonts w:hint="eastAsia" w:ascii="宋体" w:hAnsi="宋体" w:cs="宋体"/>
                <w:color w:val="000000"/>
                <w:kern w:val="0"/>
                <w:szCs w:val="21"/>
              </w:rPr>
              <w:t>授权代表人手机号：</w:t>
            </w:r>
          </w:p>
        </w:tc>
      </w:tr>
    </w:tbl>
    <w:p w14:paraId="0B1AA71F">
      <w:pPr>
        <w:adjustRightInd w:val="0"/>
        <w:snapToGrid w:val="0"/>
        <w:spacing w:beforeLines="50" w:line="360" w:lineRule="auto"/>
        <w:rPr>
          <w:rFonts w:ascii="宋体" w:hAnsi="宋体" w:cs="宋体"/>
          <w:szCs w:val="21"/>
        </w:rPr>
      </w:pPr>
    </w:p>
    <w:p w14:paraId="7891F31D">
      <w:pPr>
        <w:pStyle w:val="5"/>
        <w:adjustRightInd w:val="0"/>
        <w:snapToGrid w:val="0"/>
        <w:spacing w:beforeLines="50" w:after="0" w:line="360" w:lineRule="auto"/>
        <w:rPr>
          <w:rFonts w:ascii="黑体" w:hAnsi="仿宋" w:cs="宋体"/>
          <w:b w:val="0"/>
          <w:sz w:val="21"/>
          <w:szCs w:val="21"/>
        </w:rPr>
      </w:pPr>
      <w:bookmarkStart w:id="136" w:name="_Toc20651250"/>
      <w:r>
        <w:rPr>
          <w:rFonts w:hint="eastAsia" w:ascii="黑体" w:hAnsi="仿宋" w:cs="宋体"/>
          <w:bCs w:val="0"/>
          <w:sz w:val="21"/>
          <w:szCs w:val="21"/>
        </w:rPr>
        <w:t>附件4-2</w:t>
      </w:r>
      <w:r>
        <w:rPr>
          <w:rFonts w:hint="eastAsia" w:ascii="黑体" w:hAnsi="仿宋" w:cs="宋体"/>
          <w:b w:val="0"/>
          <w:sz w:val="21"/>
          <w:szCs w:val="21"/>
        </w:rPr>
        <w:t xml:space="preserve"> </w:t>
      </w:r>
      <w:bookmarkEnd w:id="136"/>
    </w:p>
    <w:p w14:paraId="7AC1D5EC">
      <w:pPr>
        <w:widowControl/>
        <w:adjustRightInd w:val="0"/>
        <w:snapToGrid w:val="0"/>
        <w:spacing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54CCDEDA">
      <w:pPr>
        <w:widowControl/>
        <w:adjustRightInd w:val="0"/>
        <w:snapToGrid w:val="0"/>
        <w:spacing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77E5385B">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22D74106">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0A7E27D7">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299F5189">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13D38FD8">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4251B92E">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59FA9ED8">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7B4851F1">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671852FC">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48D2D34F">
      <w:pPr>
        <w:widowControl/>
        <w:adjustRightInd w:val="0"/>
        <w:snapToGrid w:val="0"/>
        <w:spacing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527CEDD2">
      <w:pPr>
        <w:adjustRightInd w:val="0"/>
        <w:snapToGrid w:val="0"/>
        <w:spacing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0B0B8222">
      <w:pPr>
        <w:adjustRightInd w:val="0"/>
        <w:snapToGrid w:val="0"/>
        <w:spacing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23350495">
      <w:pPr>
        <w:adjustRightInd w:val="0"/>
        <w:snapToGrid w:val="0"/>
        <w:spacing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14691976">
      <w:pPr>
        <w:widowControl/>
        <w:adjustRightInd w:val="0"/>
        <w:snapToGrid w:val="0"/>
        <w:spacing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11E1D5DD">
      <w:pPr>
        <w:widowControl/>
        <w:adjustRightInd w:val="0"/>
        <w:snapToGrid w:val="0"/>
        <w:spacing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7ADFB4A8">
      <w:pPr>
        <w:widowControl/>
        <w:adjustRightInd w:val="0"/>
        <w:snapToGrid w:val="0"/>
        <w:spacing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6EE0907B">
      <w:pPr>
        <w:widowControl/>
        <w:adjustRightInd w:val="0"/>
        <w:snapToGrid w:val="0"/>
        <w:spacing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71C62F90">
      <w:pPr>
        <w:widowControl/>
        <w:adjustRightInd w:val="0"/>
        <w:snapToGrid w:val="0"/>
        <w:spacing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43A1D8CD">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7610A9CD">
      <w:pPr>
        <w:widowControl/>
        <w:adjustRightInd w:val="0"/>
        <w:snapToGrid w:val="0"/>
        <w:spacing w:beforeLines="50" w:line="360" w:lineRule="auto"/>
        <w:jc w:val="left"/>
        <w:rPr>
          <w:rFonts w:ascii="宋体" w:hAnsi="宋体" w:cs="宋体"/>
          <w:szCs w:val="21"/>
        </w:rPr>
      </w:pPr>
    </w:p>
    <w:p w14:paraId="34D05DE4">
      <w:pPr>
        <w:widowControl/>
        <w:adjustRightInd w:val="0"/>
        <w:snapToGrid w:val="0"/>
        <w:spacing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751F9C6D">
      <w:pPr>
        <w:widowControl/>
        <w:adjustRightInd w:val="0"/>
        <w:snapToGrid w:val="0"/>
        <w:spacing w:beforeLines="50" w:line="360" w:lineRule="auto"/>
        <w:jc w:val="left"/>
        <w:rPr>
          <w:rFonts w:ascii="宋体" w:hAnsi="宋体" w:cs="宋体"/>
          <w:szCs w:val="21"/>
        </w:rPr>
      </w:pPr>
    </w:p>
    <w:p w14:paraId="3C8F44EC">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535EFC81">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04F3805A">
      <w:pPr>
        <w:widowControl/>
        <w:adjustRightInd w:val="0"/>
        <w:snapToGrid w:val="0"/>
        <w:spacing w:line="360" w:lineRule="auto"/>
        <w:jc w:val="lef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4F9EE64">
      <w:pPr>
        <w:widowControl/>
        <w:jc w:val="left"/>
        <w:rPr>
          <w:rFonts w:ascii="黑体" w:hAnsi="仿宋" w:cs="宋体"/>
          <w:szCs w:val="21"/>
        </w:rPr>
      </w:pPr>
      <w:r>
        <w:rPr>
          <w:rFonts w:ascii="黑体" w:hAnsi="仿宋" w:cs="宋体"/>
          <w:b/>
          <w:szCs w:val="21"/>
        </w:rPr>
        <w:br w:type="page"/>
      </w:r>
      <w:bookmarkStart w:id="137" w:name="_Toc20651251"/>
      <w:r>
        <w:rPr>
          <w:rFonts w:hint="eastAsia" w:ascii="黑体" w:hAnsi="仿宋" w:cs="宋体"/>
          <w:b/>
          <w:bCs/>
          <w:szCs w:val="21"/>
        </w:rPr>
        <w:t>附件4-3</w:t>
      </w:r>
      <w:r>
        <w:rPr>
          <w:rFonts w:hint="eastAsia" w:ascii="黑体" w:hAnsi="仿宋" w:cs="宋体"/>
          <w:szCs w:val="21"/>
        </w:rPr>
        <w:t xml:space="preserve"> </w:t>
      </w:r>
      <w:bookmarkEnd w:id="137"/>
    </w:p>
    <w:p w14:paraId="0B54F43D">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0FD0A95C">
      <w:pPr>
        <w:widowControl/>
        <w:adjustRightInd w:val="0"/>
        <w:snapToGrid w:val="0"/>
        <w:spacing w:line="360" w:lineRule="auto"/>
        <w:ind w:firstLine="560" w:firstLineChars="200"/>
        <w:jc w:val="left"/>
        <w:rPr>
          <w:rFonts w:ascii="黑体" w:hAnsi="仿宋" w:eastAsia="黑体" w:cs="宋体"/>
          <w:sz w:val="28"/>
          <w:szCs w:val="28"/>
        </w:rPr>
      </w:pPr>
    </w:p>
    <w:p w14:paraId="41AEED19">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651DA453">
      <w:pPr>
        <w:widowControl/>
        <w:jc w:val="left"/>
        <w:rPr>
          <w:rFonts w:ascii="黑体" w:hAnsi="宋体" w:cs="宋体"/>
          <w:kern w:val="0"/>
          <w:szCs w:val="21"/>
        </w:rPr>
      </w:pPr>
      <w:r>
        <w:rPr>
          <w:rFonts w:ascii="黑体" w:hAnsi="仿宋" w:eastAsia="黑体" w:cs="宋体"/>
          <w:szCs w:val="21"/>
        </w:rPr>
        <w:br w:type="page"/>
      </w:r>
      <w:bookmarkStart w:id="138" w:name="_Toc20651252"/>
      <w:r>
        <w:rPr>
          <w:rFonts w:hint="eastAsia" w:ascii="黑体" w:hAnsi="仿宋" w:cs="宋体"/>
          <w:b/>
          <w:bCs/>
          <w:szCs w:val="21"/>
        </w:rPr>
        <w:t>附件4-4 联合体协议书（格式）</w:t>
      </w:r>
      <w:bookmarkEnd w:id="138"/>
    </w:p>
    <w:p w14:paraId="2B444543">
      <w:pPr>
        <w:adjustRightInd w:val="0"/>
        <w:snapToGrid w:val="0"/>
        <w:spacing w:line="360" w:lineRule="auto"/>
        <w:jc w:val="center"/>
        <w:rPr>
          <w:rFonts w:ascii="宋体" w:hAnsi="宋体"/>
          <w:b/>
          <w:szCs w:val="21"/>
        </w:rPr>
      </w:pPr>
      <w:r>
        <w:rPr>
          <w:rFonts w:hint="eastAsia" w:ascii="黑体" w:hAnsi="仿宋" w:eastAsia="黑体" w:cs="宋体"/>
          <w:b/>
          <w:sz w:val="28"/>
          <w:szCs w:val="28"/>
        </w:rPr>
        <w:t>联合体协议书（格式）</w:t>
      </w:r>
    </w:p>
    <w:p w14:paraId="340466C8">
      <w:pPr>
        <w:adjustRightInd w:val="0"/>
        <w:snapToGrid w:val="0"/>
        <w:spacing w:line="360" w:lineRule="auto"/>
        <w:rPr>
          <w:rFonts w:ascii="宋体" w:hAnsi="宋体"/>
          <w:szCs w:val="21"/>
        </w:rPr>
      </w:pPr>
    </w:p>
    <w:p w14:paraId="57DC8125">
      <w:pPr>
        <w:adjustRightInd w:val="0"/>
        <w:snapToGrid w:val="0"/>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14:paraId="291DE1F0">
      <w:pPr>
        <w:adjustRightInd w:val="0"/>
        <w:snapToGrid w:val="0"/>
        <w:spacing w:line="360" w:lineRule="auto"/>
        <w:ind w:firstLine="420" w:firstLineChars="200"/>
        <w:rPr>
          <w:rFonts w:ascii="宋体" w:hAnsi="宋体"/>
          <w:szCs w:val="21"/>
        </w:rPr>
      </w:pPr>
      <w:r>
        <w:rPr>
          <w:rFonts w:hint="eastAsia" w:ascii="宋体" w:hAnsi="宋体"/>
          <w:szCs w:val="21"/>
        </w:rPr>
        <w:t>经研究，我们决定自愿组成联合体共同参加</w:t>
      </w:r>
      <w:r>
        <w:rPr>
          <w:rFonts w:hint="eastAsia" w:ascii="宋体" w:hAnsi="宋体"/>
          <w:szCs w:val="21"/>
          <w:u w:val="single"/>
        </w:rPr>
        <w:t xml:space="preserve">                    </w:t>
      </w:r>
      <w:r>
        <w:rPr>
          <w:rFonts w:hint="eastAsia" w:ascii="宋体" w:hAnsi="宋体"/>
          <w:szCs w:val="21"/>
        </w:rPr>
        <w:t>（项目名称</w:t>
      </w:r>
      <w:r>
        <w:rPr>
          <w:rFonts w:ascii="宋体" w:hAnsi="宋体"/>
          <w:szCs w:val="21"/>
        </w:rPr>
        <w:t>）</w:t>
      </w: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）项目的投标。现就联合体投标事宜订立如下协议：</w:t>
      </w:r>
    </w:p>
    <w:p w14:paraId="013EB5D6">
      <w:pPr>
        <w:adjustRightInd w:val="0"/>
        <w:snapToGrid w:val="0"/>
        <w:spacing w:line="360" w:lineRule="auto"/>
        <w:ind w:firstLine="420" w:firstLineChars="200"/>
        <w:rPr>
          <w:rFonts w:ascii="宋体" w:hAnsi="宋体"/>
          <w:szCs w:val="21"/>
          <w:u w:val="single"/>
        </w:rPr>
      </w:pPr>
      <w:r>
        <w:rPr>
          <w:rFonts w:hint="eastAsia" w:ascii="宋体" w:hAnsi="宋体"/>
          <w:szCs w:val="21"/>
        </w:rPr>
        <w:t>一、联合体基本信息：</w:t>
      </w:r>
      <w:r>
        <w:rPr>
          <w:rFonts w:hint="eastAsia" w:ascii="宋体" w:hAnsi="宋体"/>
          <w:szCs w:val="21"/>
          <w:u w:val="single"/>
        </w:rPr>
        <w:t xml:space="preserve">                </w:t>
      </w:r>
      <w:r>
        <w:rPr>
          <w:rFonts w:hint="eastAsia" w:ascii="宋体" w:hAnsi="宋体"/>
          <w:szCs w:val="21"/>
        </w:rPr>
        <w:t>（各方公司名称、地址、注册资金、营业执照、</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姓名）</w:t>
      </w:r>
    </w:p>
    <w:p w14:paraId="3F4A6B30">
      <w:pPr>
        <w:adjustRightInd w:val="0"/>
        <w:snapToGrid w:val="0"/>
        <w:spacing w:line="360" w:lineRule="auto"/>
        <w:ind w:firstLine="420" w:firstLineChars="200"/>
        <w:rPr>
          <w:rFonts w:ascii="宋体" w:hAnsi="宋体"/>
          <w:szCs w:val="21"/>
        </w:rPr>
      </w:pPr>
      <w:r>
        <w:rPr>
          <w:rFonts w:hint="eastAsia" w:ascii="宋体" w:hAnsi="宋体"/>
          <w:szCs w:val="21"/>
        </w:rPr>
        <w:t>二、</w:t>
      </w:r>
      <w:r>
        <w:rPr>
          <w:rFonts w:hint="eastAsia" w:ascii="宋体" w:hAnsi="宋体"/>
          <w:szCs w:val="21"/>
          <w:u w:val="single"/>
        </w:rPr>
        <w:t xml:space="preserve">       </w:t>
      </w:r>
      <w:r>
        <w:rPr>
          <w:rFonts w:hint="eastAsia" w:ascii="宋体" w:hAnsi="宋体"/>
          <w:szCs w:val="21"/>
        </w:rPr>
        <w:t>（某成员单位名称）为</w:t>
      </w:r>
      <w:r>
        <w:rPr>
          <w:rFonts w:hint="eastAsia" w:ascii="宋体" w:hAnsi="宋体"/>
          <w:szCs w:val="21"/>
          <w:u w:val="single"/>
        </w:rPr>
        <w:t xml:space="preserve">        </w:t>
      </w:r>
      <w:r>
        <w:rPr>
          <w:rFonts w:hint="eastAsia" w:ascii="宋体" w:hAnsi="宋体"/>
          <w:szCs w:val="21"/>
        </w:rPr>
        <w:t>（联合体名称）牵头人。</w:t>
      </w:r>
    </w:p>
    <w:p w14:paraId="20F9EA79">
      <w:pPr>
        <w:adjustRightInd w:val="0"/>
        <w:snapToGrid w:val="0"/>
        <w:spacing w:line="360" w:lineRule="auto"/>
        <w:ind w:firstLine="420" w:firstLineChars="200"/>
        <w:rPr>
          <w:rFonts w:ascii="宋体" w:hAnsi="宋体"/>
          <w:szCs w:val="21"/>
        </w:rPr>
      </w:pPr>
      <w:r>
        <w:rPr>
          <w:rFonts w:hint="eastAsia" w:ascii="宋体" w:hAnsi="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38E91772">
      <w:pPr>
        <w:adjustRightInd w:val="0"/>
        <w:snapToGrid w:val="0"/>
        <w:spacing w:line="360" w:lineRule="auto"/>
        <w:ind w:firstLine="420" w:firstLineChars="200"/>
        <w:rPr>
          <w:rFonts w:ascii="宋体" w:hAnsi="宋体"/>
          <w:szCs w:val="21"/>
        </w:rPr>
      </w:pPr>
      <w:r>
        <w:rPr>
          <w:rFonts w:hint="eastAsia" w:ascii="宋体" w:hAnsi="宋体"/>
          <w:szCs w:val="21"/>
        </w:rPr>
        <w:t>四．联合体将严格按照招标文件的各项要求，递交投标文件，参加投标，履行中标义务和中标后的合同，并向采购人承担连带责任。</w:t>
      </w:r>
    </w:p>
    <w:p w14:paraId="490AB52C">
      <w:pPr>
        <w:adjustRightInd w:val="0"/>
        <w:snapToGrid w:val="0"/>
        <w:spacing w:line="360" w:lineRule="auto"/>
        <w:ind w:firstLine="420" w:firstLineChars="200"/>
        <w:rPr>
          <w:rFonts w:ascii="宋体" w:hAnsi="宋体"/>
          <w:szCs w:val="21"/>
          <w:u w:val="single"/>
        </w:rPr>
      </w:pPr>
      <w:r>
        <w:rPr>
          <w:rFonts w:hint="eastAsia" w:ascii="宋体" w:hAnsi="宋体"/>
          <w:szCs w:val="21"/>
        </w:rPr>
        <w:t>五、联合体各成员单位内部的职责分工如下：</w:t>
      </w:r>
      <w:r>
        <w:rPr>
          <w:rFonts w:hint="eastAsia" w:ascii="宋体" w:hAnsi="宋体"/>
          <w:szCs w:val="21"/>
          <w:u w:val="single"/>
        </w:rPr>
        <w:t xml:space="preserve">             </w:t>
      </w:r>
      <w:r>
        <w:rPr>
          <w:rFonts w:hint="eastAsia" w:ascii="宋体" w:hAnsi="宋体"/>
          <w:szCs w:val="21"/>
        </w:rPr>
        <w:t>。按照本条上述分工，联合体各成员的协议合同金额占联合体协议合同总金额比例如下：</w:t>
      </w:r>
      <w:r>
        <w:rPr>
          <w:rFonts w:hint="eastAsia" w:ascii="宋体" w:hAnsi="宋体"/>
          <w:szCs w:val="21"/>
          <w:u w:val="single"/>
        </w:rPr>
        <w:t xml:space="preserve">               </w:t>
      </w:r>
      <w:r>
        <w:rPr>
          <w:rFonts w:hint="eastAsia" w:ascii="宋体" w:hAnsi="宋体"/>
          <w:szCs w:val="21"/>
        </w:rPr>
        <w:t>。</w:t>
      </w:r>
    </w:p>
    <w:p w14:paraId="6FF80491">
      <w:pPr>
        <w:adjustRightInd w:val="0"/>
        <w:snapToGrid w:val="0"/>
        <w:spacing w:line="360" w:lineRule="auto"/>
        <w:ind w:firstLine="420" w:firstLineChars="200"/>
        <w:rPr>
          <w:rFonts w:ascii="宋体" w:hAnsi="宋体"/>
          <w:szCs w:val="21"/>
        </w:rPr>
      </w:pPr>
      <w:r>
        <w:rPr>
          <w:rFonts w:hint="eastAsia" w:ascii="宋体" w:hAnsi="宋体"/>
          <w:szCs w:val="21"/>
        </w:rPr>
        <w:t>六、本协议书自签署之日起生效，合同履行完毕后自动失效。</w:t>
      </w:r>
    </w:p>
    <w:p w14:paraId="0269E2C4">
      <w:pPr>
        <w:adjustRightInd w:val="0"/>
        <w:snapToGrid w:val="0"/>
        <w:spacing w:line="360" w:lineRule="auto"/>
        <w:ind w:firstLine="420" w:firstLineChars="200"/>
        <w:rPr>
          <w:rFonts w:ascii="宋体" w:hAnsi="宋体"/>
          <w:szCs w:val="21"/>
        </w:rPr>
      </w:pPr>
      <w:r>
        <w:rPr>
          <w:rFonts w:hint="eastAsia" w:ascii="宋体" w:hAnsi="宋体"/>
          <w:szCs w:val="21"/>
        </w:rPr>
        <w:t>七、本协议书一式</w:t>
      </w:r>
      <w:r>
        <w:rPr>
          <w:rFonts w:hint="eastAsia" w:ascii="宋体" w:hAnsi="宋体"/>
          <w:szCs w:val="21"/>
          <w:u w:val="single"/>
        </w:rPr>
        <w:t xml:space="preserve">    </w:t>
      </w:r>
      <w:r>
        <w:rPr>
          <w:rFonts w:hint="eastAsia" w:ascii="宋体" w:hAnsi="宋体"/>
          <w:szCs w:val="21"/>
        </w:rPr>
        <w:t>份，联合体成员和采购人各执一份。</w:t>
      </w:r>
    </w:p>
    <w:p w14:paraId="1BE3CD78">
      <w:pPr>
        <w:adjustRightInd w:val="0"/>
        <w:snapToGrid w:val="0"/>
        <w:spacing w:line="360" w:lineRule="auto"/>
        <w:rPr>
          <w:rFonts w:ascii="宋体" w:hAnsi="宋体"/>
          <w:szCs w:val="21"/>
        </w:rPr>
      </w:pPr>
    </w:p>
    <w:p w14:paraId="74C189E0">
      <w:pPr>
        <w:adjustRightInd w:val="0"/>
        <w:snapToGrid w:val="0"/>
        <w:spacing w:line="360" w:lineRule="auto"/>
        <w:rPr>
          <w:rFonts w:ascii="宋体" w:hAnsi="宋体"/>
          <w:szCs w:val="21"/>
        </w:rPr>
      </w:pPr>
      <w:r>
        <w:rPr>
          <w:rFonts w:hint="eastAsia" w:ascii="宋体" w:hAnsi="宋体"/>
          <w:szCs w:val="21"/>
        </w:rPr>
        <w:t>牵头人名称（盖单位章）：</w:t>
      </w:r>
    </w:p>
    <w:p w14:paraId="7EF3AF5E">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94211C1">
      <w:pPr>
        <w:adjustRightInd w:val="0"/>
        <w:snapToGrid w:val="0"/>
        <w:spacing w:line="360" w:lineRule="auto"/>
        <w:rPr>
          <w:rFonts w:ascii="宋体" w:hAnsi="宋体"/>
          <w:szCs w:val="21"/>
        </w:rPr>
      </w:pPr>
    </w:p>
    <w:p w14:paraId="5A86A99F">
      <w:pPr>
        <w:adjustRightInd w:val="0"/>
        <w:snapToGrid w:val="0"/>
        <w:spacing w:line="360" w:lineRule="auto"/>
        <w:rPr>
          <w:rFonts w:ascii="宋体" w:hAnsi="宋体"/>
          <w:szCs w:val="21"/>
        </w:rPr>
      </w:pPr>
      <w:r>
        <w:rPr>
          <w:rFonts w:hint="eastAsia" w:ascii="宋体" w:hAnsi="宋体"/>
          <w:szCs w:val="21"/>
        </w:rPr>
        <w:t>成员1名称（盖单位章）：</w:t>
      </w:r>
    </w:p>
    <w:p w14:paraId="66FFC63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28181A72">
      <w:pPr>
        <w:adjustRightInd w:val="0"/>
        <w:snapToGrid w:val="0"/>
        <w:spacing w:line="360" w:lineRule="auto"/>
        <w:rPr>
          <w:rFonts w:ascii="宋体" w:hAnsi="宋体"/>
          <w:szCs w:val="21"/>
        </w:rPr>
      </w:pPr>
      <w:r>
        <w:rPr>
          <w:rFonts w:hint="eastAsia" w:ascii="宋体" w:hAnsi="宋体"/>
          <w:szCs w:val="21"/>
        </w:rPr>
        <w:t>成员2名称（盖单位章）：</w:t>
      </w:r>
    </w:p>
    <w:p w14:paraId="1C2CCD47">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24A4086D">
      <w:pPr>
        <w:adjustRightInd w:val="0"/>
        <w:snapToGrid w:val="0"/>
        <w:spacing w:line="360" w:lineRule="auto"/>
        <w:rPr>
          <w:rFonts w:ascii="宋体" w:hAnsi="宋体"/>
          <w:szCs w:val="21"/>
        </w:rPr>
      </w:pPr>
      <w:r>
        <w:rPr>
          <w:rFonts w:ascii="宋体" w:hAnsi="宋体"/>
          <w:szCs w:val="21"/>
        </w:rPr>
        <w:t>…</w:t>
      </w:r>
    </w:p>
    <w:p w14:paraId="592D827B">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516B0428">
      <w:pPr>
        <w:widowControl/>
        <w:adjustRightInd w:val="0"/>
        <w:snapToGrid w:val="0"/>
        <w:spacing w:line="360" w:lineRule="auto"/>
        <w:ind w:firstLine="422" w:firstLineChars="200"/>
        <w:jc w:val="left"/>
        <w:rPr>
          <w:rFonts w:ascii="宋体" w:hAnsi="宋体"/>
          <w:szCs w:val="21"/>
        </w:rPr>
      </w:pPr>
      <w:r>
        <w:rPr>
          <w:rFonts w:hint="eastAsia" w:ascii="宋体" w:hAnsi="宋体"/>
          <w:b/>
          <w:szCs w:val="21"/>
        </w:rPr>
        <w:t>注</w:t>
      </w:r>
      <w:r>
        <w:rPr>
          <w:rFonts w:hint="eastAsia" w:ascii="宋体" w:hAnsi="宋体"/>
          <w:szCs w:val="21"/>
        </w:rPr>
        <w:t>：1、本协议书由委托代理人签字的，应附法定代表人（单位负责人）授权委托书。</w:t>
      </w:r>
    </w:p>
    <w:p w14:paraId="5ECCB800">
      <w:pPr>
        <w:pStyle w:val="38"/>
        <w:ind w:firstLine="840" w:firstLineChars="400"/>
        <w:rPr>
          <w:rFonts w:ascii="宋体" w:hAnsi="宋体"/>
          <w:kern w:val="2"/>
          <w:sz w:val="21"/>
          <w:szCs w:val="21"/>
        </w:rPr>
      </w:pPr>
      <w:r>
        <w:rPr>
          <w:rFonts w:hint="eastAsia" w:ascii="宋体" w:hAnsi="宋体"/>
          <w:kern w:val="2"/>
          <w:sz w:val="21"/>
          <w:szCs w:val="21"/>
        </w:rPr>
        <w:t>2、投标人在提交投标文件的截止时间前修改“开标一览表”中的投标报价，影响本协议书第五条的，应同时修改本协议书第五条。否则，评审时价格评审优惠不予以考虑。</w:t>
      </w:r>
    </w:p>
    <w:p w14:paraId="5A8CCE88">
      <w:pPr>
        <w:jc w:val="center"/>
        <w:rPr>
          <w:rFonts w:ascii="黑体" w:eastAsia="黑体"/>
          <w:sz w:val="32"/>
          <w:szCs w:val="32"/>
        </w:rPr>
      </w:pPr>
    </w:p>
    <w:p w14:paraId="3D6E4C58">
      <w:pPr>
        <w:jc w:val="center"/>
        <w:rPr>
          <w:rFonts w:ascii="黑体" w:eastAsia="黑体"/>
          <w:sz w:val="32"/>
          <w:szCs w:val="32"/>
        </w:rPr>
      </w:pPr>
    </w:p>
    <w:p w14:paraId="696A7178">
      <w:pPr>
        <w:pStyle w:val="38"/>
        <w:ind w:firstLine="200"/>
      </w:pPr>
    </w:p>
    <w:p w14:paraId="10F46715">
      <w:pPr>
        <w:pStyle w:val="38"/>
        <w:ind w:firstLine="200"/>
      </w:pPr>
    </w:p>
    <w:p w14:paraId="47416D66">
      <w:pPr>
        <w:pStyle w:val="38"/>
        <w:ind w:firstLine="200"/>
      </w:pPr>
    </w:p>
    <w:p w14:paraId="1BD6B550">
      <w:pPr>
        <w:jc w:val="center"/>
        <w:rPr>
          <w:rFonts w:ascii="华文中宋" w:hAnsi="华文中宋" w:eastAsia="华文中宋"/>
          <w:bCs/>
          <w:sz w:val="84"/>
          <w:szCs w:val="84"/>
        </w:rPr>
      </w:pPr>
      <w:r>
        <w:rPr>
          <w:rFonts w:hint="eastAsia" w:ascii="华文中宋" w:hAnsi="华文中宋" w:eastAsia="华文中宋"/>
          <w:bCs/>
          <w:sz w:val="84"/>
          <w:szCs w:val="84"/>
        </w:rPr>
        <w:t>岳阳政府采购</w:t>
      </w:r>
    </w:p>
    <w:p w14:paraId="3AEDC9FB">
      <w:pPr>
        <w:jc w:val="center"/>
        <w:rPr>
          <w:rFonts w:ascii="华文中宋" w:hAnsi="华文中宋" w:eastAsia="华文中宋"/>
          <w:bCs/>
          <w:sz w:val="84"/>
          <w:szCs w:val="84"/>
        </w:rPr>
      </w:pPr>
      <w:r>
        <w:rPr>
          <w:rFonts w:hint="eastAsia" w:ascii="华文中宋" w:hAnsi="华文中宋" w:eastAsia="华文中宋"/>
          <w:bCs/>
          <w:sz w:val="84"/>
          <w:szCs w:val="84"/>
        </w:rPr>
        <w:t>公开招标电子投标文件</w:t>
      </w:r>
    </w:p>
    <w:p w14:paraId="2CC5CD86">
      <w:pPr>
        <w:pStyle w:val="5"/>
      </w:pPr>
    </w:p>
    <w:p w14:paraId="7708D34B">
      <w:pPr>
        <w:pStyle w:val="3"/>
        <w:adjustRightInd w:val="0"/>
        <w:snapToGrid w:val="0"/>
        <w:jc w:val="center"/>
        <w:rPr>
          <w:rFonts w:ascii="黑体" w:hAnsi="黑体" w:eastAsia="黑体"/>
          <w:sz w:val="44"/>
          <w:szCs w:val="44"/>
        </w:rPr>
      </w:pPr>
      <w:r>
        <w:rPr>
          <w:rFonts w:hint="eastAsia" w:ascii="黑体" w:hAnsi="黑体" w:eastAsia="黑体"/>
          <w:sz w:val="44"/>
          <w:szCs w:val="44"/>
        </w:rPr>
        <w:t>第二部分 商务技术文件</w:t>
      </w:r>
    </w:p>
    <w:p w14:paraId="387B568E">
      <w:pPr>
        <w:adjustRightInd w:val="0"/>
        <w:snapToGrid w:val="0"/>
        <w:spacing w:line="360" w:lineRule="auto"/>
        <w:rPr>
          <w:rFonts w:ascii="宋体" w:hAnsi="宋体"/>
          <w:b/>
          <w:sz w:val="30"/>
          <w:szCs w:val="30"/>
        </w:rPr>
      </w:pPr>
      <w:r>
        <w:rPr>
          <w:rFonts w:hint="eastAsia" w:ascii="宋体" w:hAnsi="宋体"/>
          <w:b/>
          <w:sz w:val="32"/>
          <w:szCs w:val="32"/>
        </w:rPr>
        <w:t xml:space="preserve">                     </w:t>
      </w:r>
    </w:p>
    <w:p w14:paraId="522F2776">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0D405B87">
      <w:pPr>
        <w:pStyle w:val="25"/>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5FF1A002">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739B441E">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1F5B603D">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E2BD65E">
      <w:pPr>
        <w:adjustRightInd w:val="0"/>
        <w:snapToGrid w:val="0"/>
        <w:spacing w:line="360" w:lineRule="auto"/>
        <w:rPr>
          <w:rFonts w:ascii="黑体" w:hAnsi="黑体" w:eastAsia="黑体"/>
          <w:sz w:val="30"/>
          <w:szCs w:val="30"/>
        </w:rPr>
      </w:pPr>
    </w:p>
    <w:p w14:paraId="76578F90">
      <w:pPr>
        <w:adjustRightInd w:val="0"/>
        <w:snapToGrid w:val="0"/>
        <w:spacing w:line="360" w:lineRule="auto"/>
        <w:rPr>
          <w:rFonts w:ascii="黑体" w:hAnsi="宋体" w:eastAsia="黑体"/>
          <w:sz w:val="30"/>
          <w:szCs w:val="30"/>
        </w:rPr>
      </w:pPr>
    </w:p>
    <w:p w14:paraId="2564B07F">
      <w:pPr>
        <w:adjustRightInd w:val="0"/>
        <w:snapToGrid w:val="0"/>
        <w:spacing w:line="360" w:lineRule="auto"/>
        <w:rPr>
          <w:rFonts w:ascii="黑体" w:hAnsi="宋体" w:eastAsia="黑体"/>
          <w:sz w:val="30"/>
          <w:szCs w:val="30"/>
        </w:rPr>
      </w:pPr>
    </w:p>
    <w:p w14:paraId="5C24C0F4">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4F21EEAA">
      <w:pPr>
        <w:pStyle w:val="4"/>
        <w:spacing w:before="0" w:after="0"/>
        <w:jc w:val="center"/>
        <w:rPr>
          <w:rFonts w:ascii="黑体" w:hAnsi="宋体" w:eastAsia="黑体"/>
        </w:rPr>
      </w:pPr>
    </w:p>
    <w:p w14:paraId="2CE0D359">
      <w:pPr>
        <w:pStyle w:val="4"/>
        <w:spacing w:before="0" w:after="0"/>
        <w:jc w:val="center"/>
        <w:rPr>
          <w:rFonts w:ascii="黑体" w:hAnsi="宋体" w:eastAsia="黑体"/>
        </w:rPr>
      </w:pPr>
      <w:r>
        <w:rPr>
          <w:rFonts w:hint="eastAsia" w:ascii="黑体" w:hAnsi="宋体" w:eastAsia="黑体"/>
        </w:rPr>
        <w:t>年  月  日</w:t>
      </w:r>
    </w:p>
    <w:p w14:paraId="1899823A">
      <w:pPr>
        <w:pStyle w:val="4"/>
        <w:spacing w:before="0" w:after="0"/>
        <w:jc w:val="center"/>
        <w:rPr>
          <w:rFonts w:ascii="黑体" w:hAnsi="宋体" w:eastAsia="黑体"/>
        </w:rPr>
        <w:sectPr>
          <w:pgSz w:w="11906" w:h="16838"/>
          <w:pgMar w:top="1213" w:right="1080" w:bottom="1213" w:left="1080" w:header="737" w:footer="907" w:gutter="0"/>
          <w:pgBorders>
            <w:top w:val="none" w:sz="0" w:space="0"/>
            <w:left w:val="none" w:sz="0" w:space="0"/>
            <w:bottom w:val="none" w:sz="0" w:space="0"/>
            <w:right w:val="none" w:sz="0" w:space="0"/>
          </w:pgBorders>
          <w:cols w:space="720" w:num="1"/>
          <w:docGrid w:type="lines" w:linePitch="312" w:charSpace="0"/>
        </w:sectPr>
      </w:pPr>
    </w:p>
    <w:p w14:paraId="0B3DCD1A">
      <w:pPr>
        <w:pStyle w:val="4"/>
        <w:spacing w:before="0" w:after="0"/>
        <w:jc w:val="center"/>
        <w:rPr>
          <w:rFonts w:ascii="黑体" w:hAnsi="宋体" w:eastAsia="黑体"/>
          <w:sz w:val="28"/>
          <w:szCs w:val="28"/>
        </w:rPr>
      </w:pPr>
      <w:r>
        <w:rPr>
          <w:rFonts w:hint="eastAsia" w:ascii="黑体" w:hAnsi="宋体" w:eastAsia="黑体"/>
          <w:sz w:val="28"/>
          <w:szCs w:val="28"/>
        </w:rPr>
        <w:t>五、投标函</w:t>
      </w:r>
    </w:p>
    <w:p w14:paraId="44760A45">
      <w:pPr>
        <w:adjustRightInd w:val="0"/>
        <w:snapToGrid w:val="0"/>
        <w:spacing w:beforeLines="50"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14:paraId="059977CA">
      <w:pPr>
        <w:adjustRightInd w:val="0"/>
        <w:snapToGrid w:val="0"/>
        <w:spacing w:beforeLines="50" w:line="360" w:lineRule="auto"/>
        <w:ind w:firstLine="420" w:firstLineChars="200"/>
        <w:rPr>
          <w:rFonts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（项目名称）的投标邀请（</w:t>
      </w:r>
      <w:r>
        <w:rPr>
          <w:rFonts w:hint="eastAsia" w:ascii="宋体" w:hAnsi="宋体"/>
        </w:rPr>
        <w:t>政府</w:t>
      </w:r>
      <w:r>
        <w:rPr>
          <w:rFonts w:hint="eastAsia" w:ascii="宋体" w:hAnsi="宋体"/>
          <w:iCs/>
        </w:rPr>
        <w:t>采购编号：</w:t>
      </w:r>
      <w:r>
        <w:rPr>
          <w:rFonts w:hint="eastAsia" w:ascii="宋体" w:hAnsi="宋体"/>
          <w:iCs/>
          <w:u w:val="single"/>
        </w:rPr>
        <w:t xml:space="preserve">      </w:t>
      </w:r>
      <w:r>
        <w:rPr>
          <w:rFonts w:hint="eastAsia" w:ascii="宋体" w:hAnsi="宋体"/>
          <w:iCs/>
        </w:rPr>
        <w:t xml:space="preserve"> ，</w:t>
      </w: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），签字代表 </w:t>
      </w:r>
      <w:r>
        <w:rPr>
          <w:rFonts w:hint="eastAsia" w:ascii="宋体" w:hAnsi="宋体"/>
          <w:szCs w:val="21"/>
          <w:u w:val="single"/>
        </w:rPr>
        <w:t xml:space="preserve">      </w:t>
      </w:r>
      <w:r>
        <w:rPr>
          <w:rFonts w:hint="eastAsia" w:ascii="宋体" w:hAnsi="宋体"/>
          <w:szCs w:val="21"/>
        </w:rPr>
        <w:t>（姓名、职务）经正式授权并代表投标人</w:t>
      </w:r>
      <w:r>
        <w:rPr>
          <w:rFonts w:hint="eastAsia" w:ascii="宋体" w:hAnsi="宋体"/>
          <w:szCs w:val="21"/>
          <w:u w:val="single"/>
        </w:rPr>
        <w:t xml:space="preserve">       </w:t>
      </w:r>
      <w:r>
        <w:rPr>
          <w:rFonts w:hint="eastAsia" w:ascii="宋体" w:hAnsi="宋体"/>
          <w:szCs w:val="21"/>
        </w:rPr>
        <w:t xml:space="preserve"> （投标人名称）提交包含下述内容的电子投标文件一份至交易平台，参加采购项目投标，并在此声明，所递交的投标文件内容完整、真实。</w:t>
      </w:r>
    </w:p>
    <w:p w14:paraId="6CA2FDBB">
      <w:pPr>
        <w:adjustRightInd w:val="0"/>
        <w:snapToGrid w:val="0"/>
        <w:spacing w:beforeLines="50" w:line="360" w:lineRule="auto"/>
        <w:ind w:firstLine="422" w:firstLineChars="200"/>
        <w:rPr>
          <w:rFonts w:ascii="宋体" w:hAnsi="宋体"/>
          <w:b/>
          <w:szCs w:val="21"/>
        </w:rPr>
      </w:pPr>
      <w:r>
        <w:rPr>
          <w:rFonts w:hint="eastAsia" w:ascii="宋体" w:hAnsi="宋体"/>
          <w:b/>
          <w:szCs w:val="21"/>
        </w:rPr>
        <w:t>第一部分 资格证明文件</w:t>
      </w:r>
    </w:p>
    <w:p w14:paraId="50EA2CF7">
      <w:pPr>
        <w:adjustRightInd w:val="0"/>
        <w:snapToGrid w:val="0"/>
        <w:spacing w:beforeLines="50" w:line="360" w:lineRule="auto"/>
        <w:ind w:firstLine="630" w:firstLineChars="300"/>
        <w:rPr>
          <w:rFonts w:ascii="宋体" w:hAnsi="宋体"/>
          <w:szCs w:val="21"/>
        </w:rPr>
      </w:pPr>
      <w:r>
        <w:rPr>
          <w:rFonts w:hint="eastAsia" w:ascii="宋体" w:hAnsi="宋体"/>
          <w:szCs w:val="21"/>
        </w:rPr>
        <w:t>一、开标一览表</w:t>
      </w:r>
    </w:p>
    <w:p w14:paraId="4C71E592">
      <w:pPr>
        <w:adjustRightInd w:val="0"/>
        <w:snapToGrid w:val="0"/>
        <w:spacing w:beforeLines="50" w:line="360" w:lineRule="auto"/>
        <w:ind w:firstLine="630" w:firstLineChars="300"/>
        <w:rPr>
          <w:rFonts w:ascii="宋体" w:hAnsi="宋体"/>
          <w:szCs w:val="21"/>
        </w:rPr>
      </w:pPr>
      <w:r>
        <w:rPr>
          <w:rFonts w:hint="eastAsia" w:ascii="宋体" w:hAnsi="宋体"/>
          <w:szCs w:val="21"/>
        </w:rPr>
        <w:t>二、法定代表人（单位负责人）身份证明</w:t>
      </w:r>
    </w:p>
    <w:p w14:paraId="20B2601B">
      <w:pPr>
        <w:adjustRightInd w:val="0"/>
        <w:snapToGrid w:val="0"/>
        <w:spacing w:beforeLines="50" w:line="360" w:lineRule="auto"/>
        <w:ind w:firstLine="630" w:firstLineChars="300"/>
        <w:rPr>
          <w:rFonts w:ascii="宋体" w:hAnsi="宋体"/>
          <w:szCs w:val="21"/>
        </w:rPr>
      </w:pPr>
      <w:r>
        <w:rPr>
          <w:rFonts w:hint="eastAsia" w:ascii="宋体" w:hAnsi="宋体"/>
          <w:szCs w:val="21"/>
        </w:rPr>
        <w:t>三、授权委托书</w:t>
      </w:r>
    </w:p>
    <w:p w14:paraId="688844FE">
      <w:pPr>
        <w:adjustRightInd w:val="0"/>
        <w:snapToGrid w:val="0"/>
        <w:spacing w:beforeLines="50" w:line="360" w:lineRule="auto"/>
        <w:ind w:firstLine="630" w:firstLineChars="300"/>
        <w:rPr>
          <w:rFonts w:ascii="宋体" w:hAnsi="宋体"/>
          <w:szCs w:val="21"/>
        </w:rPr>
      </w:pPr>
      <w:r>
        <w:rPr>
          <w:rFonts w:hint="eastAsia" w:ascii="宋体" w:hAnsi="宋体"/>
          <w:szCs w:val="21"/>
        </w:rPr>
        <w:t>四、投标人提供的资格证明文件</w:t>
      </w:r>
    </w:p>
    <w:p w14:paraId="365F2D33">
      <w:pPr>
        <w:adjustRightInd w:val="0"/>
        <w:snapToGrid w:val="0"/>
        <w:spacing w:beforeLines="50" w:line="360" w:lineRule="auto"/>
        <w:ind w:firstLine="422" w:firstLineChars="200"/>
        <w:rPr>
          <w:rFonts w:ascii="宋体" w:hAnsi="宋体"/>
          <w:b/>
          <w:szCs w:val="21"/>
        </w:rPr>
      </w:pPr>
      <w:r>
        <w:rPr>
          <w:rFonts w:hint="eastAsia" w:ascii="宋体" w:hAnsi="宋体"/>
          <w:b/>
          <w:szCs w:val="21"/>
        </w:rPr>
        <w:t>第二部分 商务技术文件</w:t>
      </w:r>
    </w:p>
    <w:p w14:paraId="4B8BF449">
      <w:pPr>
        <w:adjustRightInd w:val="0"/>
        <w:snapToGrid w:val="0"/>
        <w:spacing w:beforeLines="50" w:line="360" w:lineRule="auto"/>
        <w:ind w:firstLine="630" w:firstLineChars="300"/>
        <w:rPr>
          <w:rFonts w:ascii="宋体" w:hAnsi="宋体"/>
          <w:szCs w:val="21"/>
        </w:rPr>
      </w:pPr>
      <w:r>
        <w:rPr>
          <w:rFonts w:hint="eastAsia" w:ascii="宋体" w:hAnsi="宋体"/>
          <w:szCs w:val="21"/>
        </w:rPr>
        <w:t>五、投标函</w:t>
      </w:r>
    </w:p>
    <w:p w14:paraId="4EEC9F0F">
      <w:pPr>
        <w:adjustRightInd w:val="0"/>
        <w:snapToGrid w:val="0"/>
        <w:spacing w:beforeLines="50" w:line="360" w:lineRule="auto"/>
        <w:ind w:firstLine="630" w:firstLineChars="300"/>
        <w:rPr>
          <w:rFonts w:ascii="宋体" w:hAnsi="宋体"/>
          <w:szCs w:val="21"/>
        </w:rPr>
      </w:pPr>
      <w:r>
        <w:rPr>
          <w:rFonts w:hint="eastAsia" w:ascii="宋体" w:hAnsi="宋体"/>
          <w:szCs w:val="21"/>
        </w:rPr>
        <w:t>六、分项报价</w:t>
      </w:r>
    </w:p>
    <w:p w14:paraId="74DCCC66">
      <w:pPr>
        <w:adjustRightInd w:val="0"/>
        <w:snapToGrid w:val="0"/>
        <w:spacing w:beforeLines="50" w:line="360" w:lineRule="auto"/>
        <w:ind w:firstLine="630" w:firstLineChars="300"/>
        <w:rPr>
          <w:rFonts w:ascii="宋体" w:hAnsi="宋体"/>
          <w:szCs w:val="21"/>
        </w:rPr>
      </w:pPr>
      <w:r>
        <w:rPr>
          <w:rFonts w:hint="eastAsia" w:ascii="宋体" w:hAnsi="宋体"/>
          <w:szCs w:val="21"/>
        </w:rPr>
        <w:t>七、采购需求响应</w:t>
      </w:r>
    </w:p>
    <w:p w14:paraId="1B75FCDE">
      <w:pPr>
        <w:adjustRightInd w:val="0"/>
        <w:snapToGrid w:val="0"/>
        <w:spacing w:beforeLines="50" w:line="360" w:lineRule="auto"/>
        <w:ind w:firstLine="630" w:firstLineChars="300"/>
        <w:rPr>
          <w:rFonts w:ascii="宋体" w:hAnsi="宋体"/>
          <w:szCs w:val="21"/>
        </w:rPr>
      </w:pPr>
      <w:r>
        <w:rPr>
          <w:rFonts w:hint="eastAsia" w:ascii="宋体" w:hAnsi="宋体"/>
          <w:szCs w:val="21"/>
        </w:rPr>
        <w:t>八、合同条款偏离表</w:t>
      </w:r>
    </w:p>
    <w:p w14:paraId="1D0107AB">
      <w:pPr>
        <w:adjustRightInd w:val="0"/>
        <w:snapToGrid w:val="0"/>
        <w:spacing w:beforeLines="50" w:line="360" w:lineRule="auto"/>
        <w:ind w:firstLine="630" w:firstLineChars="300"/>
        <w:rPr>
          <w:rFonts w:ascii="宋体" w:hAnsi="宋体"/>
          <w:szCs w:val="21"/>
        </w:rPr>
      </w:pPr>
      <w:r>
        <w:rPr>
          <w:rFonts w:hint="eastAsia" w:ascii="宋体" w:hAnsi="宋体"/>
          <w:szCs w:val="21"/>
        </w:rPr>
        <w:t>九、采购需求偏离表</w:t>
      </w:r>
    </w:p>
    <w:p w14:paraId="24F93601">
      <w:pPr>
        <w:adjustRightInd w:val="0"/>
        <w:snapToGrid w:val="0"/>
        <w:spacing w:beforeLines="50" w:line="360" w:lineRule="auto"/>
        <w:ind w:firstLine="630" w:firstLineChars="300"/>
        <w:rPr>
          <w:rFonts w:ascii="宋体" w:hAnsi="宋体"/>
          <w:szCs w:val="21"/>
        </w:rPr>
      </w:pPr>
      <w:r>
        <w:rPr>
          <w:rFonts w:hint="eastAsia" w:ascii="宋体" w:hAnsi="宋体"/>
          <w:szCs w:val="21"/>
        </w:rPr>
        <w:t>十、享受政府采购政策优惠的证明资料</w:t>
      </w:r>
    </w:p>
    <w:p w14:paraId="332070D5">
      <w:pPr>
        <w:adjustRightInd w:val="0"/>
        <w:snapToGrid w:val="0"/>
        <w:spacing w:beforeLines="50" w:line="360" w:lineRule="auto"/>
        <w:ind w:firstLine="630" w:firstLineChars="300"/>
        <w:rPr>
          <w:rFonts w:ascii="宋体" w:hAnsi="宋体"/>
          <w:szCs w:val="21"/>
        </w:rPr>
      </w:pPr>
      <w:r>
        <w:rPr>
          <w:rFonts w:hint="eastAsia" w:ascii="宋体" w:hAnsi="宋体"/>
          <w:szCs w:val="21"/>
        </w:rPr>
        <w:t>十一、投标人认为需提供的其他资料</w:t>
      </w:r>
    </w:p>
    <w:p w14:paraId="26FDFF47">
      <w:pPr>
        <w:adjustRightInd w:val="0"/>
        <w:snapToGrid w:val="0"/>
        <w:spacing w:beforeLines="50" w:line="360" w:lineRule="auto"/>
        <w:ind w:firstLine="420" w:firstLineChars="200"/>
        <w:rPr>
          <w:rFonts w:ascii="宋体" w:hAnsi="宋体"/>
          <w:szCs w:val="21"/>
        </w:rPr>
      </w:pPr>
      <w:r>
        <w:rPr>
          <w:rFonts w:hint="eastAsia" w:ascii="宋体" w:hAnsi="宋体"/>
          <w:szCs w:val="21"/>
        </w:rPr>
        <w:t>在此，签字代表宣布同意如下：</w:t>
      </w:r>
    </w:p>
    <w:p w14:paraId="181F7FFA">
      <w:pPr>
        <w:adjustRightInd w:val="0"/>
        <w:snapToGrid w:val="0"/>
        <w:spacing w:beforeLines="50" w:line="360" w:lineRule="auto"/>
        <w:ind w:firstLine="420" w:firstLineChars="200"/>
        <w:rPr>
          <w:rFonts w:ascii="宋体" w:hAnsi="宋体"/>
          <w:szCs w:val="21"/>
        </w:rPr>
      </w:pPr>
      <w:r>
        <w:rPr>
          <w:rFonts w:hint="eastAsia" w:ascii="宋体" w:hAnsi="宋体"/>
          <w:szCs w:val="21"/>
        </w:rPr>
        <w:t>1、投标人严格按照招标文件的规定报价，见《开标一览表》。</w:t>
      </w:r>
    </w:p>
    <w:p w14:paraId="4FEFD429">
      <w:pPr>
        <w:adjustRightInd w:val="0"/>
        <w:snapToGrid w:val="0"/>
        <w:spacing w:beforeLines="50" w:line="360" w:lineRule="auto"/>
        <w:ind w:firstLine="420" w:firstLineChars="200"/>
        <w:rPr>
          <w:rFonts w:ascii="宋体" w:hAnsi="宋体"/>
          <w:szCs w:val="21"/>
        </w:rPr>
      </w:pPr>
      <w:r>
        <w:rPr>
          <w:rFonts w:hint="eastAsia" w:ascii="宋体" w:hAnsi="宋体"/>
          <w:szCs w:val="21"/>
        </w:rPr>
        <w:t>2、投标人将按招标文件的规定履行合同责任和义务。</w:t>
      </w:r>
    </w:p>
    <w:p w14:paraId="6438009C">
      <w:pPr>
        <w:adjustRightInd w:val="0"/>
        <w:snapToGrid w:val="0"/>
        <w:spacing w:beforeLines="50" w:line="360" w:lineRule="auto"/>
        <w:ind w:firstLine="420" w:firstLineChars="200"/>
        <w:rPr>
          <w:rFonts w:ascii="宋体" w:hAnsi="宋体"/>
          <w:szCs w:val="21"/>
        </w:rPr>
      </w:pPr>
      <w:r>
        <w:rPr>
          <w:rFonts w:hint="eastAsia" w:ascii="宋体" w:hAnsi="宋体"/>
          <w:szCs w:val="21"/>
        </w:rPr>
        <w:t>3、投标人已详细审查招标文件。我们完全理解并同意放弃对这方面有不明及误解的权力。</w:t>
      </w:r>
    </w:p>
    <w:p w14:paraId="617DAA73">
      <w:pPr>
        <w:adjustRightInd w:val="0"/>
        <w:snapToGrid w:val="0"/>
        <w:spacing w:beforeLines="50" w:line="360" w:lineRule="auto"/>
        <w:ind w:firstLine="420" w:firstLineChars="200"/>
        <w:rPr>
          <w:rFonts w:ascii="宋体" w:hAnsi="宋体"/>
        </w:rPr>
      </w:pPr>
      <w:r>
        <w:rPr>
          <w:rFonts w:hint="eastAsia" w:ascii="宋体" w:hAnsi="宋体"/>
          <w:szCs w:val="21"/>
        </w:rPr>
        <w:t>4、本投标有效期为自招标文件规定的提交投标文件截止之日起</w:t>
      </w:r>
      <w:r>
        <w:rPr>
          <w:rFonts w:hint="eastAsia" w:ascii="宋体" w:hAnsi="宋体"/>
          <w:szCs w:val="21"/>
          <w:u w:val="single"/>
        </w:rPr>
        <w:t xml:space="preserve">  </w:t>
      </w:r>
      <w:r>
        <w:rPr>
          <w:rFonts w:hint="eastAsia" w:ascii="宋体" w:hAnsi="宋体"/>
          <w:szCs w:val="21"/>
        </w:rPr>
        <w:t>个日历日。在投标有效期内，</w:t>
      </w:r>
      <w:r>
        <w:rPr>
          <w:rFonts w:hint="eastAsia" w:ascii="宋体" w:hAnsi="宋体"/>
        </w:rPr>
        <w:t>投标人同意遵守本</w:t>
      </w:r>
      <w:r>
        <w:rPr>
          <w:rFonts w:hint="eastAsia" w:ascii="宋体" w:hAnsi="宋体"/>
          <w:szCs w:val="21"/>
        </w:rPr>
        <w:t>投标</w:t>
      </w:r>
      <w:r>
        <w:rPr>
          <w:rFonts w:hint="eastAsia" w:ascii="宋体" w:hAnsi="宋体"/>
        </w:rPr>
        <w:t>文件中的承诺且在此期限期满之前</w:t>
      </w:r>
      <w:r>
        <w:rPr>
          <w:rFonts w:hint="eastAsia" w:ascii="宋体" w:hAnsi="宋体"/>
          <w:szCs w:val="21"/>
        </w:rPr>
        <w:t>投标</w:t>
      </w:r>
      <w:r>
        <w:rPr>
          <w:rFonts w:hint="eastAsia" w:ascii="宋体" w:hAnsi="宋体"/>
        </w:rPr>
        <w:t>文件</w:t>
      </w:r>
      <w:r>
        <w:rPr>
          <w:rFonts w:hint="eastAsia" w:ascii="宋体" w:hAnsi="宋体"/>
          <w:szCs w:val="21"/>
        </w:rPr>
        <w:t>对我方具有法律约束力</w:t>
      </w:r>
      <w:r>
        <w:rPr>
          <w:rFonts w:hint="eastAsia" w:ascii="宋体" w:hAnsi="宋体"/>
        </w:rPr>
        <w:t>。</w:t>
      </w:r>
    </w:p>
    <w:p w14:paraId="3DDC3295">
      <w:pPr>
        <w:adjustRightInd w:val="0"/>
        <w:snapToGrid w:val="0"/>
        <w:spacing w:beforeLines="50" w:line="360" w:lineRule="auto"/>
        <w:ind w:firstLine="420" w:firstLineChars="200"/>
        <w:rPr>
          <w:rFonts w:ascii="宋体" w:hAnsi="宋体"/>
        </w:rPr>
      </w:pPr>
      <w:r>
        <w:rPr>
          <w:rFonts w:hint="eastAsia" w:ascii="宋体" w:hAnsi="宋体"/>
        </w:rPr>
        <w:t>5、</w:t>
      </w:r>
      <w:r>
        <w:rPr>
          <w:rFonts w:hint="eastAsia" w:ascii="宋体" w:hAnsi="宋体"/>
          <w:szCs w:val="21"/>
        </w:rPr>
        <w:t>同意提供贵方可能要求的与其投标有关的一切数据或资料。</w:t>
      </w:r>
    </w:p>
    <w:p w14:paraId="1FF0FC40">
      <w:pPr>
        <w:adjustRightInd w:val="0"/>
        <w:snapToGrid w:val="0"/>
        <w:spacing w:beforeLines="50" w:line="360" w:lineRule="auto"/>
        <w:ind w:firstLine="420" w:firstLineChars="200"/>
        <w:rPr>
          <w:rFonts w:ascii="宋体" w:hAnsi="宋体"/>
          <w:szCs w:val="21"/>
        </w:rPr>
      </w:pPr>
      <w:r>
        <w:rPr>
          <w:rFonts w:hint="eastAsia" w:ascii="宋体" w:hAnsi="宋体"/>
          <w:szCs w:val="21"/>
        </w:rPr>
        <w:t>6、与本投标有关的一切正式往来信函请寄：</w:t>
      </w:r>
    </w:p>
    <w:p w14:paraId="4C3A347F">
      <w:pPr>
        <w:adjustRightInd w:val="0"/>
        <w:snapToGrid w:val="0"/>
        <w:spacing w:beforeLines="50"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r>
        <w:rPr>
          <w:rFonts w:hint="eastAsia" w:ascii="宋体" w:hAnsi="宋体"/>
          <w:szCs w:val="21"/>
        </w:rPr>
        <w:t>；电子邮箱：</w:t>
      </w:r>
      <w:r>
        <w:rPr>
          <w:rFonts w:hint="eastAsia" w:ascii="宋体" w:hAnsi="宋体"/>
          <w:szCs w:val="21"/>
          <w:u w:val="single"/>
        </w:rPr>
        <w:t xml:space="preserve">        </w:t>
      </w:r>
      <w:r>
        <w:rPr>
          <w:rFonts w:hint="eastAsia" w:ascii="宋体" w:hAnsi="宋体"/>
          <w:szCs w:val="21"/>
        </w:rPr>
        <w:t xml:space="preserve"> 。</w:t>
      </w:r>
    </w:p>
    <w:p w14:paraId="748AAF4A">
      <w:pPr>
        <w:adjustRightInd w:val="0"/>
        <w:snapToGrid w:val="0"/>
        <w:spacing w:beforeLines="50" w:line="360" w:lineRule="auto"/>
        <w:ind w:firstLine="420" w:firstLineChars="200"/>
        <w:rPr>
          <w:rFonts w:ascii="宋体" w:hAnsi="宋体"/>
          <w:szCs w:val="21"/>
        </w:rPr>
      </w:pPr>
    </w:p>
    <w:p w14:paraId="1546C960">
      <w:pPr>
        <w:pStyle w:val="25"/>
        <w:adjustRightInd w:val="0"/>
        <w:snapToGrid w:val="0"/>
        <w:spacing w:beforeLines="50" w:line="360" w:lineRule="auto"/>
        <w:rPr>
          <w:rFonts w:hAnsi="宋体"/>
        </w:rPr>
      </w:pPr>
    </w:p>
    <w:p w14:paraId="0145FD11">
      <w:pPr>
        <w:pStyle w:val="25"/>
        <w:spacing w:line="360" w:lineRule="auto"/>
        <w:rPr>
          <w:rFonts w:hAnsi="宋体"/>
        </w:rPr>
      </w:pPr>
      <w:r>
        <w:rPr>
          <w:rFonts w:hint="eastAsia" w:hAnsi="宋体"/>
        </w:rPr>
        <w:t xml:space="preserve">投标人名称（盖单位章）：                       </w:t>
      </w:r>
    </w:p>
    <w:p w14:paraId="78504085">
      <w:pPr>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2E6F3A2">
      <w:pPr>
        <w:spacing w:line="360" w:lineRule="auto"/>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D739E2D">
      <w:pPr>
        <w:adjustRightInd w:val="0"/>
        <w:snapToGrid w:val="0"/>
        <w:spacing w:line="360" w:lineRule="auto"/>
        <w:rPr>
          <w:rFonts w:ascii="宋体" w:hAnsi="宋体"/>
          <w:szCs w:val="21"/>
        </w:rPr>
      </w:pPr>
    </w:p>
    <w:p w14:paraId="0028B587">
      <w:pPr>
        <w:pStyle w:val="4"/>
        <w:adjustRightInd w:val="0"/>
        <w:snapToGrid w:val="0"/>
        <w:spacing w:before="0" w:after="0" w:line="360" w:lineRule="auto"/>
        <w:jc w:val="center"/>
        <w:rPr>
          <w:rFonts w:ascii="黑体" w:hAnsi="宋体" w:eastAsia="黑体"/>
          <w:sz w:val="28"/>
          <w:szCs w:val="28"/>
        </w:rPr>
      </w:pPr>
      <w:bookmarkStart w:id="139" w:name="_Toc20651257"/>
    </w:p>
    <w:p w14:paraId="71F1C48B">
      <w:pPr>
        <w:pStyle w:val="4"/>
        <w:adjustRightInd w:val="0"/>
        <w:snapToGrid w:val="0"/>
        <w:spacing w:before="0" w:after="0" w:line="360" w:lineRule="auto"/>
        <w:jc w:val="center"/>
        <w:rPr>
          <w:rFonts w:ascii="黑体" w:hAnsi="宋体" w:eastAsia="黑体"/>
          <w:sz w:val="28"/>
          <w:szCs w:val="28"/>
        </w:rPr>
      </w:pPr>
    </w:p>
    <w:p w14:paraId="2D40FE52">
      <w:pPr>
        <w:pStyle w:val="4"/>
        <w:adjustRightInd w:val="0"/>
        <w:snapToGrid w:val="0"/>
        <w:spacing w:before="0" w:after="0" w:line="360" w:lineRule="auto"/>
        <w:jc w:val="center"/>
        <w:rPr>
          <w:rFonts w:ascii="黑体" w:hAnsi="宋体" w:eastAsia="黑体"/>
          <w:sz w:val="28"/>
          <w:szCs w:val="28"/>
        </w:rPr>
      </w:pPr>
    </w:p>
    <w:p w14:paraId="61B69DDF">
      <w:pPr>
        <w:pStyle w:val="4"/>
        <w:adjustRightInd w:val="0"/>
        <w:snapToGrid w:val="0"/>
        <w:spacing w:before="0" w:after="0" w:line="360" w:lineRule="auto"/>
        <w:jc w:val="center"/>
        <w:rPr>
          <w:rFonts w:ascii="黑体" w:hAnsi="宋体" w:eastAsia="黑体"/>
          <w:sz w:val="28"/>
          <w:szCs w:val="28"/>
        </w:rPr>
      </w:pPr>
    </w:p>
    <w:p w14:paraId="26D80155">
      <w:pPr>
        <w:pStyle w:val="4"/>
        <w:adjustRightInd w:val="0"/>
        <w:snapToGrid w:val="0"/>
        <w:spacing w:before="0" w:after="0" w:line="360" w:lineRule="auto"/>
        <w:jc w:val="center"/>
        <w:rPr>
          <w:rFonts w:ascii="黑体" w:hAnsi="宋体" w:eastAsia="黑体"/>
          <w:sz w:val="28"/>
          <w:szCs w:val="28"/>
        </w:rPr>
      </w:pPr>
    </w:p>
    <w:p w14:paraId="5C031A00">
      <w:pPr>
        <w:pStyle w:val="4"/>
        <w:adjustRightInd w:val="0"/>
        <w:snapToGrid w:val="0"/>
        <w:spacing w:before="0" w:after="0" w:line="360" w:lineRule="auto"/>
        <w:jc w:val="center"/>
        <w:rPr>
          <w:rFonts w:ascii="黑体" w:hAnsi="宋体" w:eastAsia="黑体"/>
          <w:sz w:val="28"/>
          <w:szCs w:val="28"/>
        </w:rPr>
      </w:pPr>
    </w:p>
    <w:p w14:paraId="6E617154">
      <w:pPr>
        <w:pStyle w:val="4"/>
        <w:adjustRightInd w:val="0"/>
        <w:snapToGrid w:val="0"/>
        <w:spacing w:before="0" w:after="0" w:line="360" w:lineRule="auto"/>
        <w:jc w:val="center"/>
        <w:rPr>
          <w:rFonts w:ascii="黑体" w:hAnsi="宋体" w:eastAsia="黑体"/>
          <w:sz w:val="28"/>
          <w:szCs w:val="28"/>
        </w:rPr>
      </w:pPr>
    </w:p>
    <w:p w14:paraId="32DC0E1C">
      <w:pPr>
        <w:pStyle w:val="4"/>
        <w:adjustRightInd w:val="0"/>
        <w:snapToGrid w:val="0"/>
        <w:spacing w:before="0" w:after="0" w:line="360" w:lineRule="auto"/>
        <w:jc w:val="center"/>
        <w:rPr>
          <w:rFonts w:ascii="黑体" w:hAnsi="宋体" w:eastAsia="黑体"/>
          <w:sz w:val="28"/>
          <w:szCs w:val="28"/>
        </w:rPr>
      </w:pPr>
    </w:p>
    <w:p w14:paraId="6699857E">
      <w:pPr>
        <w:pStyle w:val="4"/>
        <w:adjustRightInd w:val="0"/>
        <w:snapToGrid w:val="0"/>
        <w:spacing w:before="0" w:after="0" w:line="360" w:lineRule="auto"/>
        <w:jc w:val="center"/>
        <w:rPr>
          <w:rFonts w:ascii="黑体" w:hAnsi="宋体" w:eastAsia="黑体"/>
          <w:sz w:val="28"/>
          <w:szCs w:val="28"/>
        </w:rPr>
      </w:pPr>
    </w:p>
    <w:p w14:paraId="7E1DDFEB">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 xml:space="preserve"> </w:t>
      </w:r>
    </w:p>
    <w:p w14:paraId="2F31A17D">
      <w:pPr>
        <w:pStyle w:val="4"/>
        <w:adjustRightInd w:val="0"/>
        <w:snapToGrid w:val="0"/>
        <w:spacing w:before="0" w:after="0" w:line="360" w:lineRule="auto"/>
        <w:jc w:val="center"/>
        <w:rPr>
          <w:rFonts w:ascii="黑体" w:hAnsi="宋体" w:eastAsia="黑体"/>
          <w:sz w:val="28"/>
          <w:szCs w:val="28"/>
        </w:rPr>
      </w:pPr>
    </w:p>
    <w:p w14:paraId="74338F29">
      <w:pPr>
        <w:pStyle w:val="4"/>
        <w:adjustRightInd w:val="0"/>
        <w:snapToGrid w:val="0"/>
        <w:spacing w:before="0" w:after="0" w:line="360" w:lineRule="auto"/>
        <w:jc w:val="center"/>
        <w:rPr>
          <w:rFonts w:ascii="黑体" w:hAnsi="宋体" w:eastAsia="黑体"/>
          <w:sz w:val="28"/>
          <w:szCs w:val="28"/>
        </w:rPr>
      </w:pPr>
    </w:p>
    <w:p w14:paraId="6323F9A6">
      <w:pPr>
        <w:pStyle w:val="4"/>
        <w:adjustRightInd w:val="0"/>
        <w:snapToGrid w:val="0"/>
        <w:spacing w:before="0" w:after="0" w:line="360" w:lineRule="auto"/>
        <w:jc w:val="center"/>
        <w:rPr>
          <w:rFonts w:ascii="黑体" w:hAnsi="宋体" w:eastAsia="黑体"/>
          <w:sz w:val="28"/>
          <w:szCs w:val="28"/>
        </w:rPr>
      </w:pPr>
    </w:p>
    <w:p w14:paraId="688DF858">
      <w:pPr>
        <w:pStyle w:val="4"/>
        <w:adjustRightInd w:val="0"/>
        <w:snapToGrid w:val="0"/>
        <w:spacing w:before="0" w:after="0" w:line="360" w:lineRule="auto"/>
        <w:jc w:val="center"/>
        <w:rPr>
          <w:rFonts w:ascii="黑体" w:hAnsi="宋体" w:eastAsia="黑体"/>
          <w:sz w:val="28"/>
          <w:szCs w:val="28"/>
        </w:rPr>
      </w:pPr>
    </w:p>
    <w:bookmarkEnd w:id="139"/>
    <w:p w14:paraId="7BBCA689">
      <w:pPr>
        <w:autoSpaceDE w:val="0"/>
        <w:autoSpaceDN w:val="0"/>
        <w:adjustRightInd w:val="0"/>
        <w:snapToGrid w:val="0"/>
        <w:spacing w:line="360" w:lineRule="auto"/>
        <w:jc w:val="center"/>
        <w:rPr>
          <w:rFonts w:ascii="黑体" w:hAnsi="宋体" w:eastAsia="黑体" w:cs="微软雅黑"/>
          <w:b/>
          <w:spacing w:val="-2"/>
          <w:kern w:val="0"/>
          <w:sz w:val="28"/>
          <w:szCs w:val="28"/>
        </w:rPr>
      </w:pPr>
    </w:p>
    <w:p w14:paraId="2D298A94">
      <w:pPr>
        <w:autoSpaceDE w:val="0"/>
        <w:autoSpaceDN w:val="0"/>
        <w:adjustRightInd w:val="0"/>
        <w:snapToGrid w:val="0"/>
        <w:spacing w:line="360" w:lineRule="auto"/>
        <w:jc w:val="center"/>
        <w:rPr>
          <w:rFonts w:ascii="黑体" w:hAnsi="宋体" w:eastAsia="黑体" w:cs="微软雅黑"/>
          <w:b/>
          <w:spacing w:val="-2"/>
          <w:kern w:val="0"/>
          <w:sz w:val="28"/>
          <w:szCs w:val="28"/>
        </w:rPr>
      </w:pPr>
    </w:p>
    <w:p w14:paraId="048FEBB4">
      <w:pPr>
        <w:autoSpaceDE w:val="0"/>
        <w:autoSpaceDN w:val="0"/>
        <w:adjustRightInd w:val="0"/>
        <w:snapToGrid w:val="0"/>
        <w:spacing w:line="360" w:lineRule="auto"/>
        <w:jc w:val="center"/>
        <w:rPr>
          <w:rFonts w:ascii="黑体" w:hAnsi="宋体" w:eastAsia="黑体" w:cs="微软雅黑"/>
          <w:b/>
          <w:spacing w:val="-2"/>
          <w:kern w:val="0"/>
          <w:sz w:val="28"/>
          <w:szCs w:val="28"/>
        </w:rPr>
      </w:pPr>
    </w:p>
    <w:p w14:paraId="6BABCF64">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六、分项报价</w:t>
      </w:r>
    </w:p>
    <w:p w14:paraId="2A49D750">
      <w:pPr>
        <w:keepNext/>
        <w:keepLines/>
        <w:widowControl w:val="0"/>
        <w:spacing w:before="280" w:after="290" w:line="376" w:lineRule="auto"/>
        <w:jc w:val="left"/>
        <w:outlineLvl w:val="3"/>
        <w:rPr>
          <w:rFonts w:ascii="黑体" w:hAnsi="宋体" w:eastAsia="黑体" w:cs="微软雅黑"/>
          <w:b w:val="0"/>
          <w:bCs/>
          <w:color w:val="auto"/>
          <w:kern w:val="0"/>
          <w:sz w:val="21"/>
          <w:szCs w:val="21"/>
          <w:lang w:val="en-US" w:eastAsia="zh-CN" w:bidi="ar-SA"/>
        </w:rPr>
      </w:pPr>
      <w:bookmarkStart w:id="140" w:name="_Toc7214"/>
      <w:r>
        <w:rPr>
          <w:rFonts w:hint="eastAsia" w:ascii="黑体" w:hAnsi="华文中宋" w:eastAsia="黑体" w:cs="宋体"/>
          <w:b w:val="0"/>
          <w:bCs w:val="0"/>
          <w:color w:val="auto"/>
          <w:spacing w:val="6"/>
          <w:kern w:val="0"/>
          <w:sz w:val="21"/>
          <w:szCs w:val="21"/>
          <w:lang w:val="en-US" w:eastAsia="zh-CN" w:bidi="ar-SA"/>
        </w:rPr>
        <w:t xml:space="preserve">附件6-1 </w:t>
      </w:r>
      <w:r>
        <w:rPr>
          <w:rFonts w:hint="eastAsia" w:ascii="黑体" w:hAnsi="宋体" w:eastAsia="黑体" w:cs="微软雅黑"/>
          <w:b w:val="0"/>
          <w:bCs/>
          <w:color w:val="auto"/>
          <w:spacing w:val="-2"/>
          <w:kern w:val="0"/>
          <w:sz w:val="21"/>
          <w:szCs w:val="21"/>
          <w:lang w:val="en-US" w:eastAsia="zh-CN" w:bidi="ar-SA"/>
        </w:rPr>
        <w:t>分</w:t>
      </w:r>
      <w:r>
        <w:rPr>
          <w:rFonts w:hint="eastAsia" w:ascii="黑体" w:hAnsi="宋体" w:eastAsia="黑体" w:cs="微软雅黑"/>
          <w:b w:val="0"/>
          <w:bCs/>
          <w:color w:val="auto"/>
          <w:kern w:val="0"/>
          <w:sz w:val="21"/>
          <w:szCs w:val="21"/>
          <w:lang w:val="en-US" w:eastAsia="zh-CN" w:bidi="ar-SA"/>
        </w:rPr>
        <w:t>项</w:t>
      </w:r>
      <w:r>
        <w:rPr>
          <w:rFonts w:hint="eastAsia" w:ascii="黑体" w:hAnsi="宋体" w:eastAsia="黑体" w:cs="微软雅黑"/>
          <w:b w:val="0"/>
          <w:bCs/>
          <w:color w:val="auto"/>
          <w:spacing w:val="-2"/>
          <w:kern w:val="0"/>
          <w:sz w:val="21"/>
          <w:szCs w:val="21"/>
          <w:lang w:val="en-US" w:eastAsia="zh-CN" w:bidi="ar-SA"/>
        </w:rPr>
        <w:t>报</w:t>
      </w:r>
      <w:r>
        <w:rPr>
          <w:rFonts w:hint="eastAsia" w:ascii="黑体" w:hAnsi="宋体" w:eastAsia="黑体" w:cs="微软雅黑"/>
          <w:b w:val="0"/>
          <w:bCs/>
          <w:color w:val="auto"/>
          <w:kern w:val="0"/>
          <w:sz w:val="21"/>
          <w:szCs w:val="21"/>
          <w:lang w:val="en-US" w:eastAsia="zh-CN" w:bidi="ar-SA"/>
        </w:rPr>
        <w:t>价说明</w:t>
      </w:r>
      <w:bookmarkEnd w:id="140"/>
      <w:r>
        <w:rPr>
          <w:rFonts w:hint="eastAsia" w:ascii="黑体" w:hAnsi="宋体" w:eastAsia="黑体" w:cs="微软雅黑"/>
          <w:b w:val="0"/>
          <w:bCs/>
          <w:color w:val="auto"/>
          <w:kern w:val="0"/>
          <w:sz w:val="21"/>
          <w:szCs w:val="21"/>
          <w:lang w:val="en-US" w:eastAsia="zh-CN" w:bidi="ar-SA"/>
        </w:rPr>
        <w:t xml:space="preserve">  </w:t>
      </w:r>
    </w:p>
    <w:p w14:paraId="32A14D13">
      <w:pPr>
        <w:autoSpaceDE w:val="0"/>
        <w:autoSpaceDN w:val="0"/>
        <w:adjustRightInd w:val="0"/>
        <w:snapToGrid w:val="0"/>
        <w:spacing w:line="360" w:lineRule="auto"/>
        <w:jc w:val="center"/>
        <w:rPr>
          <w:rFonts w:ascii="黑体" w:hAnsi="宋体" w:eastAsia="黑体" w:cs="微软雅黑"/>
          <w:b/>
          <w:color w:val="auto"/>
          <w:kern w:val="0"/>
          <w:sz w:val="28"/>
          <w:szCs w:val="28"/>
        </w:rPr>
      </w:pPr>
      <w:r>
        <w:rPr>
          <w:rFonts w:hint="eastAsia" w:ascii="黑体" w:hAnsi="宋体" w:eastAsia="黑体" w:cs="微软雅黑"/>
          <w:b/>
          <w:color w:val="auto"/>
          <w:spacing w:val="-2"/>
          <w:kern w:val="0"/>
          <w:sz w:val="28"/>
          <w:szCs w:val="28"/>
        </w:rPr>
        <w:t>分</w:t>
      </w:r>
      <w:r>
        <w:rPr>
          <w:rFonts w:hint="eastAsia" w:ascii="黑体" w:hAnsi="宋体" w:eastAsia="黑体" w:cs="微软雅黑"/>
          <w:b/>
          <w:color w:val="auto"/>
          <w:kern w:val="0"/>
          <w:sz w:val="28"/>
          <w:szCs w:val="28"/>
        </w:rPr>
        <w:t>项</w:t>
      </w:r>
      <w:r>
        <w:rPr>
          <w:rFonts w:hint="eastAsia" w:ascii="黑体" w:hAnsi="宋体" w:eastAsia="黑体" w:cs="微软雅黑"/>
          <w:b/>
          <w:color w:val="auto"/>
          <w:spacing w:val="-2"/>
          <w:kern w:val="0"/>
          <w:sz w:val="28"/>
          <w:szCs w:val="28"/>
        </w:rPr>
        <w:t>报</w:t>
      </w:r>
      <w:r>
        <w:rPr>
          <w:rFonts w:hint="eastAsia" w:ascii="黑体" w:hAnsi="宋体" w:eastAsia="黑体" w:cs="微软雅黑"/>
          <w:b/>
          <w:color w:val="auto"/>
          <w:kern w:val="0"/>
          <w:sz w:val="28"/>
          <w:szCs w:val="28"/>
        </w:rPr>
        <w:t>价说明</w:t>
      </w:r>
    </w:p>
    <w:p w14:paraId="3084EE00">
      <w:pPr>
        <w:autoSpaceDE w:val="0"/>
        <w:autoSpaceDN w:val="0"/>
        <w:adjustRightInd w:val="0"/>
        <w:snapToGrid w:val="0"/>
        <w:spacing w:line="360" w:lineRule="auto"/>
        <w:jc w:val="left"/>
        <w:rPr>
          <w:rFonts w:ascii="宋体" w:hAnsi="宋体" w:eastAsia="宋体" w:cs="微软雅黑"/>
          <w:color w:val="auto"/>
          <w:kern w:val="0"/>
          <w:szCs w:val="21"/>
        </w:rPr>
      </w:pPr>
      <w:r>
        <w:rPr>
          <w:rFonts w:hint="eastAsia" w:ascii="宋体" w:hAnsi="宋体" w:eastAsia="宋体" w:cs="微软雅黑"/>
          <w:color w:val="auto"/>
          <w:kern w:val="0"/>
          <w:szCs w:val="21"/>
        </w:rPr>
        <w:t>备注：投标人应按招标文件第二章相关要求，对本节</w:t>
      </w:r>
      <w:r>
        <w:rPr>
          <w:rFonts w:hint="eastAsia" w:ascii="宋体" w:hAnsi="宋体" w:eastAsia="宋体" w:cs="Times New Roman"/>
          <w:bCs/>
          <w:color w:val="auto"/>
          <w:szCs w:val="21"/>
        </w:rPr>
        <w:t>“</w:t>
      </w:r>
      <w:r>
        <w:rPr>
          <w:rFonts w:hint="eastAsia" w:ascii="宋体" w:hAnsi="宋体" w:eastAsia="宋体" w:cs="微软雅黑"/>
          <w:color w:val="auto"/>
          <w:kern w:val="0"/>
          <w:szCs w:val="21"/>
        </w:rPr>
        <w:t>分项报价明细表</w:t>
      </w:r>
      <w:r>
        <w:rPr>
          <w:rFonts w:hint="eastAsia" w:ascii="宋体" w:hAnsi="宋体" w:eastAsia="宋体" w:cs="Times New Roman"/>
          <w:bCs/>
          <w:color w:val="auto"/>
          <w:szCs w:val="21"/>
        </w:rPr>
        <w:t>”进行</w:t>
      </w:r>
      <w:r>
        <w:rPr>
          <w:rFonts w:hint="eastAsia" w:ascii="宋体" w:hAnsi="宋体" w:eastAsia="宋体" w:cs="微软雅黑"/>
          <w:color w:val="auto"/>
          <w:kern w:val="0"/>
          <w:szCs w:val="21"/>
        </w:rPr>
        <w:t>编制，并说明。</w:t>
      </w:r>
    </w:p>
    <w:p w14:paraId="3958889A">
      <w:pPr>
        <w:rPr>
          <w:rFonts w:ascii="Times New Roman" w:hAnsi="Times New Roman" w:eastAsia="宋体" w:cs="Times New Roman"/>
          <w:color w:val="auto"/>
        </w:rPr>
      </w:pPr>
    </w:p>
    <w:p w14:paraId="46D94DD6">
      <w:pPr>
        <w:keepNext/>
        <w:keepLines/>
        <w:widowControl w:val="0"/>
        <w:spacing w:before="280" w:after="290" w:line="376" w:lineRule="auto"/>
        <w:jc w:val="left"/>
        <w:outlineLvl w:val="3"/>
        <w:rPr>
          <w:rFonts w:ascii="黑体" w:hAnsi="宋体" w:eastAsia="黑体" w:cs="微软雅黑"/>
          <w:b w:val="0"/>
          <w:bCs/>
          <w:color w:val="auto"/>
          <w:kern w:val="0"/>
          <w:sz w:val="21"/>
          <w:szCs w:val="21"/>
          <w:lang w:val="en-US" w:eastAsia="zh-CN" w:bidi="ar-SA"/>
        </w:rPr>
      </w:pPr>
      <w:bookmarkStart w:id="141" w:name="_Toc30480"/>
      <w:r>
        <w:rPr>
          <w:rFonts w:hint="eastAsia" w:ascii="黑体" w:hAnsi="华文中宋" w:eastAsia="黑体" w:cs="宋体"/>
          <w:b w:val="0"/>
          <w:bCs w:val="0"/>
          <w:color w:val="auto"/>
          <w:spacing w:val="6"/>
          <w:kern w:val="0"/>
          <w:sz w:val="21"/>
          <w:szCs w:val="21"/>
          <w:lang w:val="en-US" w:eastAsia="zh-CN" w:bidi="ar-SA"/>
        </w:rPr>
        <w:t xml:space="preserve">附件6-2 </w:t>
      </w:r>
      <w:r>
        <w:rPr>
          <w:rFonts w:hint="eastAsia" w:ascii="黑体" w:hAnsi="宋体" w:eastAsia="黑体" w:cs="微软雅黑"/>
          <w:b w:val="0"/>
          <w:bCs/>
          <w:color w:val="auto"/>
          <w:spacing w:val="-2"/>
          <w:kern w:val="0"/>
          <w:position w:val="-3"/>
          <w:sz w:val="21"/>
          <w:szCs w:val="21"/>
          <w:lang w:val="en-US" w:eastAsia="zh-CN" w:bidi="ar-SA"/>
        </w:rPr>
        <w:t>分</w:t>
      </w:r>
      <w:r>
        <w:rPr>
          <w:rFonts w:hint="eastAsia" w:ascii="黑体" w:hAnsi="宋体" w:eastAsia="黑体" w:cs="微软雅黑"/>
          <w:b w:val="0"/>
          <w:bCs/>
          <w:color w:val="auto"/>
          <w:kern w:val="0"/>
          <w:position w:val="-3"/>
          <w:sz w:val="21"/>
          <w:szCs w:val="21"/>
          <w:lang w:val="en-US" w:eastAsia="zh-CN" w:bidi="ar-SA"/>
        </w:rPr>
        <w:t>项</w:t>
      </w:r>
      <w:r>
        <w:rPr>
          <w:rFonts w:hint="eastAsia" w:ascii="黑体" w:hAnsi="宋体" w:eastAsia="黑体" w:cs="微软雅黑"/>
          <w:b w:val="0"/>
          <w:bCs/>
          <w:color w:val="auto"/>
          <w:spacing w:val="-2"/>
          <w:kern w:val="0"/>
          <w:position w:val="-3"/>
          <w:sz w:val="21"/>
          <w:szCs w:val="21"/>
          <w:lang w:val="en-US" w:eastAsia="zh-CN" w:bidi="ar-SA"/>
        </w:rPr>
        <w:t>报</w:t>
      </w:r>
      <w:r>
        <w:rPr>
          <w:rFonts w:hint="eastAsia" w:ascii="黑体" w:hAnsi="宋体" w:eastAsia="黑体" w:cs="微软雅黑"/>
          <w:b w:val="0"/>
          <w:bCs/>
          <w:color w:val="auto"/>
          <w:kern w:val="0"/>
          <w:position w:val="-3"/>
          <w:sz w:val="21"/>
          <w:szCs w:val="21"/>
          <w:lang w:val="en-US" w:eastAsia="zh-CN" w:bidi="ar-SA"/>
        </w:rPr>
        <w:t>价明细表</w:t>
      </w:r>
      <w:bookmarkEnd w:id="141"/>
    </w:p>
    <w:p w14:paraId="02E66922">
      <w:pPr>
        <w:adjustRightInd w:val="0"/>
        <w:snapToGrid w:val="0"/>
        <w:spacing w:line="360" w:lineRule="auto"/>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w:t>
      </w:r>
    </w:p>
    <w:p w14:paraId="0FDC4A97">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lang w:val="en-US" w:eastAsia="zh-CN"/>
        </w:rPr>
        <w:t>采购计划编号/委托代理编号</w:t>
      </w:r>
      <w:r>
        <w:rPr>
          <w:rFonts w:hint="eastAsia" w:ascii="宋体" w:hAnsi="宋体" w:eastAsia="宋体" w:cs="Times New Roman"/>
          <w:color w:val="auto"/>
          <w:szCs w:val="21"/>
        </w:rPr>
        <w:t>：</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项目名称：</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p w14:paraId="5F0E14D7">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包号：</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包名称：</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tbl>
      <w:tblPr>
        <w:tblStyle w:val="40"/>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D8E18D4">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283201B6">
            <w:pPr>
              <w:autoSpaceDE w:val="0"/>
              <w:autoSpaceDN w:val="0"/>
              <w:adjustRightInd w:val="0"/>
              <w:snapToGrid w:val="0"/>
              <w:spacing w:line="360" w:lineRule="auto"/>
              <w:ind w:right="-20"/>
              <w:jc w:val="center"/>
              <w:rPr>
                <w:rFonts w:hint="default" w:ascii="宋体" w:hAnsi="宋体" w:eastAsia="宋体" w:cs="微软雅黑"/>
                <w:color w:val="auto"/>
                <w:kern w:val="0"/>
                <w:position w:val="-1"/>
                <w:szCs w:val="21"/>
                <w:lang w:val="en-US" w:eastAsia="zh-CN"/>
              </w:rPr>
            </w:pPr>
            <w:r>
              <w:rPr>
                <w:rFonts w:hint="eastAsia" w:ascii="宋体" w:hAnsi="宋体" w:eastAsia="宋体" w:cs="微软雅黑"/>
                <w:color w:val="auto"/>
                <w:kern w:val="0"/>
                <w:position w:val="-1"/>
                <w:szCs w:val="21"/>
                <w:lang w:val="en-US" w:eastAsia="zh-CN"/>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4C398C05">
            <w:pPr>
              <w:autoSpaceDE w:val="0"/>
              <w:autoSpaceDN w:val="0"/>
              <w:adjustRightInd w:val="0"/>
              <w:snapToGrid w:val="0"/>
              <w:spacing w:line="360" w:lineRule="auto"/>
              <w:ind w:right="-20"/>
              <w:jc w:val="center"/>
              <w:rPr>
                <w:rFonts w:ascii="宋体" w:hAnsi="宋体" w:eastAsia="宋体" w:cs="Times New Roman"/>
                <w:color w:val="auto"/>
                <w:szCs w:val="21"/>
              </w:rPr>
            </w:pPr>
            <w:r>
              <w:rPr>
                <w:rFonts w:hint="eastAsia" w:ascii="宋体" w:hAnsi="宋体" w:eastAsia="宋体" w:cs="Times New Roman"/>
                <w:color w:val="auto"/>
                <w:szCs w:val="21"/>
              </w:rPr>
              <w:t>规格型号</w:t>
            </w:r>
          </w:p>
          <w:p w14:paraId="42D8F3BE">
            <w:pPr>
              <w:autoSpaceDE w:val="0"/>
              <w:autoSpaceDN w:val="0"/>
              <w:adjustRightInd w:val="0"/>
              <w:snapToGrid w:val="0"/>
              <w:spacing w:line="360" w:lineRule="auto"/>
              <w:ind w:right="-20"/>
              <w:jc w:val="center"/>
              <w:rPr>
                <w:rFonts w:ascii="宋体" w:hAnsi="宋体" w:eastAsia="宋体" w:cs="Times New Roman"/>
                <w:color w:val="auto"/>
                <w:szCs w:val="21"/>
              </w:rPr>
            </w:pPr>
            <w:r>
              <w:rPr>
                <w:rFonts w:hint="eastAsia" w:ascii="宋体" w:hAnsi="宋体" w:eastAsia="宋体" w:cs="Times New Roman"/>
                <w:color w:val="auto"/>
                <w:szCs w:val="21"/>
              </w:rPr>
              <w:t>（或项目特征描述</w:t>
            </w:r>
            <w:r>
              <w:rPr>
                <w:rFonts w:ascii="宋体" w:hAnsi="宋体" w:eastAsia="宋体" w:cs="Times New Roman"/>
                <w:color w:val="auto"/>
                <w:szCs w:val="21"/>
              </w:rPr>
              <w:t>）</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72729657">
            <w:pPr>
              <w:autoSpaceDE w:val="0"/>
              <w:autoSpaceDN w:val="0"/>
              <w:adjustRightInd w:val="0"/>
              <w:snapToGrid w:val="0"/>
              <w:spacing w:line="360" w:lineRule="auto"/>
              <w:ind w:right="-20"/>
              <w:jc w:val="center"/>
              <w:rPr>
                <w:rFonts w:ascii="宋体" w:hAnsi="宋体" w:eastAsia="宋体" w:cs="Times New Roman"/>
                <w:color w:val="auto"/>
                <w:szCs w:val="21"/>
              </w:rPr>
            </w:pPr>
            <w:r>
              <w:rPr>
                <w:rFonts w:hint="eastAsia" w:ascii="宋体" w:hAnsi="宋体" w:eastAsia="宋体" w:cs="Times New Roman"/>
                <w:color w:val="auto"/>
                <w:szCs w:val="21"/>
              </w:rPr>
              <w:t>品牌/产地</w:t>
            </w:r>
          </w:p>
        </w:tc>
        <w:tc>
          <w:tcPr>
            <w:tcW w:w="1092" w:type="dxa"/>
            <w:vMerge w:val="restart"/>
            <w:tcBorders>
              <w:top w:val="double" w:color="auto" w:sz="4" w:space="0"/>
              <w:left w:val="single" w:color="auto" w:sz="6" w:space="0"/>
              <w:right w:val="single" w:color="auto" w:sz="4" w:space="0"/>
            </w:tcBorders>
            <w:noWrap w:val="0"/>
            <w:vAlign w:val="center"/>
          </w:tcPr>
          <w:p w14:paraId="10C2F173">
            <w:pPr>
              <w:autoSpaceDE w:val="0"/>
              <w:autoSpaceDN w:val="0"/>
              <w:adjustRightInd w:val="0"/>
              <w:snapToGrid w:val="0"/>
              <w:spacing w:line="360" w:lineRule="auto"/>
              <w:ind w:right="-20"/>
              <w:jc w:val="center"/>
              <w:rPr>
                <w:rFonts w:ascii="宋体" w:hAnsi="宋体" w:eastAsia="宋体" w:cs="微软雅黑"/>
                <w:color w:val="auto"/>
                <w:kern w:val="0"/>
                <w:position w:val="-1"/>
                <w:szCs w:val="21"/>
              </w:rPr>
            </w:pPr>
            <w:r>
              <w:rPr>
                <w:rFonts w:hint="eastAsia" w:ascii="宋体" w:hAnsi="宋体" w:eastAsia="宋体" w:cs="Times New Roman"/>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2D1EA576">
            <w:pPr>
              <w:autoSpaceDE w:val="0"/>
              <w:autoSpaceDN w:val="0"/>
              <w:adjustRightInd w:val="0"/>
              <w:snapToGrid w:val="0"/>
              <w:spacing w:line="360" w:lineRule="auto"/>
              <w:ind w:right="-20"/>
              <w:jc w:val="center"/>
              <w:rPr>
                <w:rFonts w:ascii="宋体" w:hAnsi="宋体" w:eastAsia="宋体" w:cs="微软雅黑"/>
                <w:color w:val="auto"/>
                <w:kern w:val="0"/>
                <w:position w:val="-1"/>
                <w:szCs w:val="21"/>
              </w:rPr>
            </w:pPr>
            <w:r>
              <w:rPr>
                <w:rFonts w:hint="eastAsia" w:ascii="宋体" w:hAnsi="宋体" w:eastAsia="宋体" w:cs="微软雅黑"/>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4A5E97AA">
            <w:pPr>
              <w:autoSpaceDE w:val="0"/>
              <w:autoSpaceDN w:val="0"/>
              <w:adjustRightInd w:val="0"/>
              <w:snapToGrid w:val="0"/>
              <w:spacing w:line="360" w:lineRule="auto"/>
              <w:ind w:right="-20"/>
              <w:jc w:val="center"/>
              <w:rPr>
                <w:rFonts w:ascii="宋体" w:hAnsi="宋体" w:eastAsia="宋体" w:cs="微软雅黑"/>
                <w:color w:val="auto"/>
                <w:kern w:val="0"/>
                <w:position w:val="-1"/>
                <w:szCs w:val="21"/>
              </w:rPr>
            </w:pPr>
            <w:r>
              <w:rPr>
                <w:rFonts w:hint="eastAsia" w:ascii="宋体" w:hAnsi="宋体" w:eastAsia="宋体" w:cs="微软雅黑"/>
                <w:color w:val="auto"/>
                <w:kern w:val="0"/>
                <w:position w:val="-1"/>
                <w:szCs w:val="21"/>
              </w:rPr>
              <w:t>备注</w:t>
            </w:r>
          </w:p>
        </w:tc>
      </w:tr>
      <w:tr w14:paraId="752D38B4">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14C2E730">
            <w:pPr>
              <w:autoSpaceDE w:val="0"/>
              <w:autoSpaceDN w:val="0"/>
              <w:adjustRightInd w:val="0"/>
              <w:snapToGrid w:val="0"/>
              <w:spacing w:line="360" w:lineRule="auto"/>
              <w:ind w:left="352" w:right="-20"/>
              <w:jc w:val="left"/>
              <w:rPr>
                <w:rFonts w:ascii="宋体" w:hAnsi="宋体" w:eastAsia="宋体" w:cs="Times New Roman"/>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7A35121E">
            <w:pPr>
              <w:autoSpaceDE w:val="0"/>
              <w:autoSpaceDN w:val="0"/>
              <w:adjustRightInd w:val="0"/>
              <w:snapToGrid w:val="0"/>
              <w:spacing w:line="360" w:lineRule="auto"/>
              <w:ind w:right="-20"/>
              <w:jc w:val="center"/>
              <w:rPr>
                <w:rFonts w:ascii="宋体" w:hAnsi="宋体" w:eastAsia="宋体" w:cs="Times New Roman"/>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50CAB8DC">
            <w:pPr>
              <w:autoSpaceDE w:val="0"/>
              <w:autoSpaceDN w:val="0"/>
              <w:adjustRightInd w:val="0"/>
              <w:snapToGrid w:val="0"/>
              <w:spacing w:line="360" w:lineRule="auto"/>
              <w:ind w:right="-20"/>
              <w:jc w:val="center"/>
              <w:rPr>
                <w:rFonts w:ascii="宋体" w:hAnsi="宋体" w:eastAsia="宋体" w:cs="Times New Roman"/>
                <w:color w:val="auto"/>
                <w:kern w:val="0"/>
                <w:szCs w:val="21"/>
              </w:rPr>
            </w:pPr>
          </w:p>
        </w:tc>
        <w:tc>
          <w:tcPr>
            <w:tcW w:w="1092" w:type="dxa"/>
            <w:vMerge w:val="continue"/>
            <w:tcBorders>
              <w:left w:val="single" w:color="auto" w:sz="6" w:space="0"/>
              <w:bottom w:val="single" w:color="auto" w:sz="6" w:space="0"/>
              <w:right w:val="single" w:color="auto" w:sz="4" w:space="0"/>
            </w:tcBorders>
            <w:noWrap w:val="0"/>
            <w:vAlign w:val="center"/>
          </w:tcPr>
          <w:p w14:paraId="514B514C">
            <w:pPr>
              <w:autoSpaceDE w:val="0"/>
              <w:autoSpaceDN w:val="0"/>
              <w:adjustRightInd w:val="0"/>
              <w:snapToGrid w:val="0"/>
              <w:spacing w:line="360" w:lineRule="auto"/>
              <w:ind w:right="-20"/>
              <w:jc w:val="center"/>
              <w:rPr>
                <w:rFonts w:ascii="宋体" w:hAnsi="宋体"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06D49F76">
            <w:pPr>
              <w:autoSpaceDE w:val="0"/>
              <w:autoSpaceDN w:val="0"/>
              <w:adjustRightInd w:val="0"/>
              <w:snapToGrid w:val="0"/>
              <w:spacing w:line="360" w:lineRule="auto"/>
              <w:ind w:right="-20"/>
              <w:jc w:val="center"/>
              <w:rPr>
                <w:rFonts w:ascii="宋体" w:hAnsi="宋体" w:eastAsia="宋体" w:cs="Times New Roman"/>
                <w:color w:val="auto"/>
                <w:kern w:val="0"/>
                <w:szCs w:val="21"/>
              </w:rPr>
            </w:pPr>
            <w:r>
              <w:rPr>
                <w:rFonts w:hint="eastAsia" w:ascii="宋体" w:hAnsi="宋体" w:eastAsia="宋体" w:cs="微软雅黑"/>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02C8202A">
            <w:pPr>
              <w:autoSpaceDE w:val="0"/>
              <w:autoSpaceDN w:val="0"/>
              <w:adjustRightInd w:val="0"/>
              <w:snapToGrid w:val="0"/>
              <w:spacing w:line="360" w:lineRule="auto"/>
              <w:ind w:left="70" w:right="-20"/>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1FE6E01E">
            <w:pPr>
              <w:autoSpaceDE w:val="0"/>
              <w:autoSpaceDN w:val="0"/>
              <w:adjustRightInd w:val="0"/>
              <w:snapToGrid w:val="0"/>
              <w:spacing w:line="360" w:lineRule="auto"/>
              <w:ind w:left="422" w:right="-20"/>
              <w:jc w:val="left"/>
              <w:rPr>
                <w:rFonts w:ascii="宋体" w:hAnsi="宋体" w:eastAsia="宋体" w:cs="Times New Roman"/>
                <w:color w:val="auto"/>
                <w:kern w:val="0"/>
                <w:szCs w:val="21"/>
              </w:rPr>
            </w:pPr>
          </w:p>
        </w:tc>
      </w:tr>
      <w:tr w14:paraId="469116FB">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72F76CF1">
            <w:pPr>
              <w:jc w:val="center"/>
              <w:rPr>
                <w:rFonts w:ascii="宋体" w:hAnsi="宋体" w:eastAsia="宋体" w:cs="宋体"/>
                <w:color w:val="auto"/>
              </w:rPr>
            </w:pPr>
            <w:r>
              <w:rPr>
                <w:rFonts w:hint="eastAsia" w:ascii="宋体" w:hAnsi="宋体" w:eastAsia="宋体" w:cs="宋体"/>
                <w:color w:val="auto"/>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07B6268">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E0F5770">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3E71B183">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FEDDD04">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463AC100">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43A55F86">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71A46E77">
            <w:pPr>
              <w:autoSpaceDE w:val="0"/>
              <w:autoSpaceDN w:val="0"/>
              <w:adjustRightInd w:val="0"/>
              <w:snapToGrid w:val="0"/>
              <w:spacing w:line="360" w:lineRule="auto"/>
              <w:jc w:val="left"/>
              <w:rPr>
                <w:rFonts w:ascii="宋体" w:hAnsi="宋体" w:eastAsia="宋体" w:cs="Times New Roman"/>
                <w:color w:val="auto"/>
                <w:kern w:val="0"/>
                <w:szCs w:val="21"/>
              </w:rPr>
            </w:pPr>
          </w:p>
        </w:tc>
      </w:tr>
      <w:tr w14:paraId="4006892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71054204">
            <w:pPr>
              <w:jc w:val="center"/>
              <w:rPr>
                <w:rFonts w:ascii="宋体" w:hAnsi="宋体" w:eastAsia="宋体" w:cs="宋体"/>
                <w:color w:val="auto"/>
              </w:rPr>
            </w:pPr>
            <w:r>
              <w:rPr>
                <w:rFonts w:hint="eastAsia" w:ascii="宋体" w:hAnsi="宋体" w:eastAsia="宋体" w:cs="宋体"/>
                <w:color w:val="auto"/>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7A25F3D7">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3B69914">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15446501">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4D103C8">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68F9C6DF">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6802DBBC">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5163737">
            <w:pPr>
              <w:autoSpaceDE w:val="0"/>
              <w:autoSpaceDN w:val="0"/>
              <w:adjustRightInd w:val="0"/>
              <w:snapToGrid w:val="0"/>
              <w:spacing w:line="360" w:lineRule="auto"/>
              <w:jc w:val="left"/>
              <w:rPr>
                <w:rFonts w:ascii="宋体" w:hAnsi="宋体" w:eastAsia="宋体" w:cs="Times New Roman"/>
                <w:color w:val="auto"/>
                <w:kern w:val="0"/>
                <w:szCs w:val="21"/>
              </w:rPr>
            </w:pPr>
          </w:p>
        </w:tc>
      </w:tr>
      <w:tr w14:paraId="5BCA132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185C8D6">
            <w:pPr>
              <w:jc w:val="center"/>
              <w:rPr>
                <w:rFonts w:ascii="宋体" w:hAnsi="宋体" w:eastAsia="宋体" w:cs="宋体"/>
                <w:color w:val="auto"/>
              </w:rPr>
            </w:pPr>
            <w:r>
              <w:rPr>
                <w:rFonts w:hint="eastAsia" w:ascii="宋体" w:hAnsi="宋体" w:eastAsia="宋体" w:cs="宋体"/>
                <w:color w:val="auto"/>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0860B390">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5F721A0">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6C708044">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6A36F134">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656BA9AF">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31965B9">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1E2086B">
            <w:pPr>
              <w:autoSpaceDE w:val="0"/>
              <w:autoSpaceDN w:val="0"/>
              <w:adjustRightInd w:val="0"/>
              <w:snapToGrid w:val="0"/>
              <w:spacing w:line="360" w:lineRule="auto"/>
              <w:jc w:val="left"/>
              <w:rPr>
                <w:rFonts w:ascii="宋体" w:hAnsi="宋体" w:eastAsia="宋体" w:cs="Times New Roman"/>
                <w:color w:val="auto"/>
                <w:kern w:val="0"/>
                <w:szCs w:val="21"/>
              </w:rPr>
            </w:pPr>
          </w:p>
        </w:tc>
      </w:tr>
      <w:tr w14:paraId="6D0BEF5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29272B9">
            <w:pPr>
              <w:jc w:val="center"/>
              <w:rPr>
                <w:rFonts w:ascii="宋体" w:hAnsi="宋体" w:eastAsia="宋体" w:cs="宋体"/>
                <w:color w:val="auto"/>
              </w:rPr>
            </w:pPr>
            <w:r>
              <w:rPr>
                <w:rFonts w:hint="eastAsia" w:ascii="宋体" w:hAnsi="宋体" w:eastAsia="宋体" w:cs="宋体"/>
                <w:color w:val="auto"/>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F91FD93">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4DAF902">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0D4E715D">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0088AEF8">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5AA34C3B">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B4A7ADF">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A359100">
            <w:pPr>
              <w:autoSpaceDE w:val="0"/>
              <w:autoSpaceDN w:val="0"/>
              <w:adjustRightInd w:val="0"/>
              <w:snapToGrid w:val="0"/>
              <w:spacing w:line="360" w:lineRule="auto"/>
              <w:jc w:val="left"/>
              <w:rPr>
                <w:rFonts w:ascii="宋体" w:hAnsi="宋体" w:eastAsia="宋体" w:cs="Times New Roman"/>
                <w:color w:val="auto"/>
                <w:kern w:val="0"/>
                <w:szCs w:val="21"/>
              </w:rPr>
            </w:pPr>
          </w:p>
        </w:tc>
      </w:tr>
      <w:tr w14:paraId="768FE5B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7916458B">
            <w:pPr>
              <w:jc w:val="center"/>
              <w:rPr>
                <w:rFonts w:ascii="宋体" w:hAnsi="宋体" w:eastAsia="宋体" w:cs="宋体"/>
                <w:color w:val="auto"/>
              </w:rPr>
            </w:pPr>
            <w:r>
              <w:rPr>
                <w:rFonts w:hint="eastAsia" w:ascii="宋体" w:hAnsi="宋体" w:eastAsia="宋体" w:cs="宋体"/>
                <w:color w:val="auto"/>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7B922745">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A66E5A4">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5DAAE4CB">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73857B2">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37877954">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57A515E">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69221CD">
            <w:pPr>
              <w:autoSpaceDE w:val="0"/>
              <w:autoSpaceDN w:val="0"/>
              <w:adjustRightInd w:val="0"/>
              <w:snapToGrid w:val="0"/>
              <w:spacing w:line="360" w:lineRule="auto"/>
              <w:jc w:val="left"/>
              <w:rPr>
                <w:rFonts w:ascii="宋体" w:hAnsi="宋体" w:eastAsia="宋体" w:cs="Times New Roman"/>
                <w:color w:val="auto"/>
                <w:kern w:val="0"/>
                <w:szCs w:val="21"/>
              </w:rPr>
            </w:pPr>
          </w:p>
        </w:tc>
      </w:tr>
      <w:tr w14:paraId="5B91564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60C65D6">
            <w:pPr>
              <w:jc w:val="center"/>
              <w:rPr>
                <w:rFonts w:ascii="Times New Roman" w:hAnsi="Times New Roman" w:eastAsia="宋体" w:cs="Times New Roman"/>
                <w:color w:val="auto"/>
              </w:rPr>
            </w:pPr>
            <w:r>
              <w:rPr>
                <w:rFonts w:ascii="Times New Roman" w:hAnsi="Times New Roman" w:eastAsia="宋体" w:cs="Times New Roman"/>
                <w:color w:val="auto"/>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48E9383C">
            <w:pPr>
              <w:autoSpaceDE w:val="0"/>
              <w:autoSpaceDN w:val="0"/>
              <w:adjustRightInd w:val="0"/>
              <w:snapToGrid w:val="0"/>
              <w:spacing w:line="360" w:lineRule="auto"/>
              <w:ind w:left="527" w:right="507"/>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2D54E46C">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1D1639F2">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9031BFF">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2E299C13">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219A43F">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420D037">
            <w:pPr>
              <w:autoSpaceDE w:val="0"/>
              <w:autoSpaceDN w:val="0"/>
              <w:adjustRightInd w:val="0"/>
              <w:snapToGrid w:val="0"/>
              <w:spacing w:line="360" w:lineRule="auto"/>
              <w:jc w:val="left"/>
              <w:rPr>
                <w:rFonts w:ascii="宋体" w:hAnsi="宋体" w:eastAsia="宋体" w:cs="Times New Roman"/>
                <w:color w:val="auto"/>
                <w:kern w:val="0"/>
                <w:szCs w:val="21"/>
              </w:rPr>
            </w:pPr>
          </w:p>
        </w:tc>
      </w:tr>
      <w:tr w14:paraId="24F1AA76">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01D983C9">
            <w:pPr>
              <w:autoSpaceDE w:val="0"/>
              <w:autoSpaceDN w:val="0"/>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微软雅黑"/>
                <w:color w:val="auto"/>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03BA934E">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43BA3908">
            <w:pPr>
              <w:autoSpaceDE w:val="0"/>
              <w:autoSpaceDN w:val="0"/>
              <w:adjustRightInd w:val="0"/>
              <w:snapToGrid w:val="0"/>
              <w:spacing w:line="360" w:lineRule="auto"/>
              <w:jc w:val="left"/>
              <w:rPr>
                <w:rFonts w:ascii="宋体" w:hAnsi="宋体" w:eastAsia="宋体" w:cs="Times New Roman"/>
                <w:color w:val="auto"/>
                <w:kern w:val="0"/>
                <w:szCs w:val="21"/>
              </w:rPr>
            </w:pPr>
          </w:p>
        </w:tc>
      </w:tr>
    </w:tbl>
    <w:p w14:paraId="440188C0">
      <w:pPr>
        <w:adjustRightInd w:val="0"/>
        <w:snapToGrid w:val="0"/>
        <w:spacing w:line="360" w:lineRule="auto"/>
        <w:ind w:firstLine="420" w:firstLineChars="20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备注：</w:t>
      </w:r>
    </w:p>
    <w:p w14:paraId="5314B695">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lang w:val="en-US" w:eastAsia="zh-CN"/>
        </w:rPr>
        <w:t>（1）</w:t>
      </w:r>
      <w:r>
        <w:rPr>
          <w:rFonts w:hint="eastAsia" w:ascii="宋体" w:hAnsi="宋体" w:eastAsia="宋体" w:cs="Times New Roman"/>
          <w:b/>
          <w:color w:val="auto"/>
          <w:szCs w:val="21"/>
        </w:rPr>
        <w:t>本表应对应</w:t>
      </w:r>
      <w:r>
        <w:rPr>
          <w:rFonts w:hint="eastAsia" w:ascii="宋体" w:hAnsi="宋体" w:eastAsia="宋体" w:cs="Times New Roman"/>
          <w:color w:val="auto"/>
          <w:szCs w:val="21"/>
        </w:rPr>
        <w:t>“</w:t>
      </w:r>
      <w:r>
        <w:rPr>
          <w:rFonts w:hint="eastAsia" w:ascii="宋体" w:hAnsi="宋体" w:eastAsia="宋体" w:cs="Times New Roman"/>
          <w:b/>
          <w:color w:val="auto"/>
          <w:szCs w:val="21"/>
        </w:rPr>
        <w:t>开标一览表</w:t>
      </w:r>
      <w:r>
        <w:rPr>
          <w:rFonts w:hint="eastAsia" w:ascii="宋体" w:hAnsi="宋体" w:eastAsia="宋体" w:cs="Times New Roman"/>
          <w:color w:val="auto"/>
          <w:szCs w:val="21"/>
        </w:rPr>
        <w:t>”</w:t>
      </w:r>
      <w:r>
        <w:rPr>
          <w:rFonts w:hint="eastAsia" w:ascii="宋体" w:hAnsi="宋体" w:eastAsia="宋体" w:cs="Times New Roman"/>
          <w:b/>
          <w:color w:val="auto"/>
          <w:szCs w:val="21"/>
        </w:rPr>
        <w:t>，按包填写</w:t>
      </w:r>
      <w:r>
        <w:rPr>
          <w:rFonts w:hint="eastAsia" w:ascii="宋体" w:hAnsi="宋体" w:eastAsia="宋体" w:cs="Times New Roman"/>
          <w:color w:val="auto"/>
          <w:szCs w:val="21"/>
        </w:rPr>
        <w:t>。投标人如果不提供分项报价明细表，其</w:t>
      </w:r>
      <w:r>
        <w:rPr>
          <w:rFonts w:hint="eastAsia" w:ascii="宋体" w:hAnsi="宋体" w:eastAsia="宋体" w:cs="Times New Roman"/>
          <w:b/>
          <w:color w:val="auto"/>
          <w:szCs w:val="21"/>
        </w:rPr>
        <w:t>投标无效</w:t>
      </w:r>
      <w:r>
        <w:rPr>
          <w:rFonts w:hint="eastAsia" w:ascii="宋体" w:hAnsi="宋体" w:eastAsia="宋体" w:cs="Times New Roman"/>
          <w:color w:val="auto"/>
          <w:szCs w:val="21"/>
        </w:rPr>
        <w:t>。</w:t>
      </w:r>
    </w:p>
    <w:p w14:paraId="2FEBB3C4">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不得填写“免费”或“赠与”，也不得进行“零”报价，否则</w:t>
      </w:r>
      <w:r>
        <w:rPr>
          <w:rFonts w:hint="eastAsia" w:ascii="宋体" w:hAnsi="宋体" w:eastAsia="宋体" w:cs="Times New Roman"/>
          <w:b/>
          <w:color w:val="auto"/>
          <w:szCs w:val="21"/>
        </w:rPr>
        <w:t>投标无效</w:t>
      </w:r>
      <w:r>
        <w:rPr>
          <w:rFonts w:hint="eastAsia" w:ascii="宋体" w:hAnsi="宋体" w:eastAsia="宋体" w:cs="Times New Roman"/>
          <w:color w:val="auto"/>
          <w:szCs w:val="21"/>
        </w:rPr>
        <w:t>。</w:t>
      </w:r>
    </w:p>
    <w:p w14:paraId="10BF1C36">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lang w:val="en-US" w:eastAsia="zh-CN"/>
        </w:rPr>
        <w:t>（3）</w:t>
      </w:r>
      <w:r>
        <w:rPr>
          <w:rFonts w:hint="eastAsia" w:ascii="宋体" w:hAnsi="宋体" w:eastAsia="宋体" w:cs="Times New Roman"/>
          <w:color w:val="auto"/>
          <w:szCs w:val="21"/>
        </w:rPr>
        <w:t>如果开标一览表内容与本表内容不一致的，以开标一览表内容为准。</w:t>
      </w:r>
    </w:p>
    <w:p w14:paraId="6C4508CF">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lang w:val="en-US" w:eastAsia="zh-CN"/>
        </w:rPr>
        <w:t>（4）</w:t>
      </w:r>
      <w:r>
        <w:rPr>
          <w:rFonts w:hint="eastAsia" w:ascii="宋体" w:hAnsi="宋体" w:eastAsia="宋体" w:cs="Times New Roman"/>
          <w:bCs/>
          <w:color w:val="auto"/>
          <w:szCs w:val="21"/>
        </w:rPr>
        <w:t>投标人在投标截止时间前修改“开标一览表”中的投标报价的，应按第二章第13.7款规定修改本表相应内容。否则，</w:t>
      </w:r>
      <w:r>
        <w:rPr>
          <w:rFonts w:hint="eastAsia" w:ascii="宋体" w:hAnsi="宋体" w:eastAsia="宋体" w:cs="Times New Roman"/>
          <w:color w:val="auto"/>
          <w:szCs w:val="21"/>
        </w:rPr>
        <w:t>本表相应内容按投标报价修改的相同比例进行调整。</w:t>
      </w:r>
    </w:p>
    <w:p w14:paraId="68ACD1D9">
      <w:pPr>
        <w:adjustRightInd w:val="0"/>
        <w:snapToGrid w:val="0"/>
        <w:spacing w:line="360" w:lineRule="auto"/>
        <w:rPr>
          <w:rFonts w:ascii="宋体" w:hAnsi="宋体" w:eastAsia="宋体" w:cs="Times New Roman"/>
          <w:color w:val="auto"/>
          <w:szCs w:val="21"/>
        </w:rPr>
      </w:pPr>
    </w:p>
    <w:p w14:paraId="6849C82E">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投标人名称（盖单位章）：</w:t>
      </w:r>
    </w:p>
    <w:p w14:paraId="77E8DD5A">
      <w:pPr>
        <w:adjustRightInd w:val="0"/>
        <w:snapToGrid w:val="0"/>
        <w:spacing w:line="360" w:lineRule="auto"/>
        <w:rPr>
          <w:rFonts w:ascii="宋体" w:hAnsi="宋体" w:eastAsia="宋体" w:cs="Times New Roman"/>
          <w:color w:val="auto"/>
          <w:szCs w:val="21"/>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s="Times New Roman"/>
          <w:color w:val="auto"/>
          <w:szCs w:val="21"/>
        </w:rPr>
        <w:t>或其授权的代理人（签字或印章）：</w:t>
      </w:r>
      <w:r>
        <w:rPr>
          <w:rFonts w:hint="eastAsia" w:ascii="宋体" w:hAnsi="宋体" w:eastAsia="宋体" w:cs="Times New Roman"/>
          <w:color w:val="auto"/>
          <w:szCs w:val="21"/>
          <w:u w:val="single"/>
        </w:rPr>
        <w:t xml:space="preserve">       </w:t>
      </w:r>
    </w:p>
    <w:p w14:paraId="6E623387">
      <w:pPr>
        <w:adjustRightInd w:val="0"/>
        <w:snapToGrid w:val="0"/>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日期：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w:t>
      </w:r>
    </w:p>
    <w:p w14:paraId="1EA90651">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br w:type="page"/>
      </w:r>
    </w:p>
    <w:p w14:paraId="08B31AAB">
      <w:pPr>
        <w:pStyle w:val="4"/>
        <w:adjustRightInd w:val="0"/>
        <w:snapToGrid w:val="0"/>
        <w:spacing w:before="0" w:after="0" w:line="360" w:lineRule="auto"/>
        <w:jc w:val="center"/>
        <w:rPr>
          <w:rFonts w:ascii="黑体" w:hAnsi="宋体" w:eastAsia="黑体"/>
          <w:sz w:val="28"/>
          <w:szCs w:val="28"/>
        </w:rPr>
      </w:pPr>
      <w:bookmarkStart w:id="142" w:name="_Toc20651260"/>
      <w:r>
        <w:rPr>
          <w:rFonts w:hint="eastAsia" w:ascii="黑体" w:hAnsi="宋体" w:eastAsia="黑体"/>
          <w:sz w:val="28"/>
          <w:szCs w:val="28"/>
        </w:rPr>
        <w:t>七、采购需求响应</w:t>
      </w:r>
      <w:bookmarkEnd w:id="142"/>
    </w:p>
    <w:p w14:paraId="50EA7F88">
      <w:pPr>
        <w:adjustRightInd w:val="0"/>
        <w:snapToGrid w:val="0"/>
        <w:spacing w:line="360" w:lineRule="auto"/>
        <w:rPr>
          <w:rFonts w:ascii="宋体" w:hAnsi="宋体"/>
          <w:b/>
          <w:szCs w:val="21"/>
        </w:rPr>
      </w:pPr>
    </w:p>
    <w:p w14:paraId="55558A03">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投标人应按招标文件第五章采购需求自行编写采购需求响应文件（其内容可包括，且不限于详细的</w:t>
      </w:r>
      <w:r>
        <w:rPr>
          <w:rFonts w:hint="eastAsia"/>
          <w:b/>
          <w:lang w:val="en-US" w:eastAsia="zh-CN"/>
        </w:rPr>
        <w:t>实施</w:t>
      </w:r>
      <w:r>
        <w:rPr>
          <w:rFonts w:hint="eastAsia"/>
          <w:b/>
        </w:rPr>
        <w:t>方案、团队组织安排计划、质量保证措施等，格式自拟）。</w:t>
      </w:r>
    </w:p>
    <w:p w14:paraId="2BC8B798">
      <w:pPr>
        <w:pStyle w:val="26"/>
        <w:adjustRightInd w:val="0"/>
        <w:snapToGrid w:val="0"/>
        <w:spacing w:line="360" w:lineRule="auto"/>
        <w:ind w:left="-88" w:leftChars="-42"/>
        <w:rPr>
          <w:rFonts w:ascii="宋体" w:hAnsi="宋体"/>
          <w:bCs/>
          <w:sz w:val="21"/>
          <w:szCs w:val="21"/>
        </w:rPr>
      </w:pPr>
    </w:p>
    <w:p w14:paraId="4250DF9C"/>
    <w:p w14:paraId="3DECAED0">
      <w:pPr>
        <w:pStyle w:val="26"/>
        <w:tabs>
          <w:tab w:val="left" w:pos="6208"/>
        </w:tabs>
        <w:adjustRightInd w:val="0"/>
        <w:snapToGrid w:val="0"/>
        <w:spacing w:line="360" w:lineRule="auto"/>
        <w:rPr>
          <w:rFonts w:ascii="宋体" w:hAnsi="宋体"/>
          <w:bCs/>
          <w:sz w:val="21"/>
          <w:szCs w:val="21"/>
        </w:rPr>
      </w:pPr>
    </w:p>
    <w:p w14:paraId="46FF7517">
      <w:pPr>
        <w:adjustRightInd w:val="0"/>
        <w:snapToGrid w:val="0"/>
        <w:spacing w:line="360" w:lineRule="auto"/>
        <w:rPr>
          <w:rFonts w:ascii="宋体" w:hAnsi="宋体"/>
          <w:szCs w:val="21"/>
        </w:rPr>
      </w:pPr>
    </w:p>
    <w:p w14:paraId="2EE82B5B">
      <w:pPr>
        <w:adjustRightInd w:val="0"/>
        <w:snapToGrid w:val="0"/>
        <w:spacing w:line="360" w:lineRule="auto"/>
        <w:rPr>
          <w:rFonts w:ascii="宋体" w:hAnsi="宋体"/>
          <w:szCs w:val="21"/>
        </w:rPr>
      </w:pPr>
      <w:r>
        <w:rPr>
          <w:rFonts w:hint="eastAsia" w:ascii="宋体" w:hAnsi="宋体"/>
          <w:szCs w:val="21"/>
        </w:rPr>
        <w:t>投标人名称（盖单位章）：</w:t>
      </w:r>
    </w:p>
    <w:p w14:paraId="49905C2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67ED9A7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864667A"/>
    <w:p w14:paraId="22FA4BD8"/>
    <w:p w14:paraId="72A8FF3A">
      <w:pPr>
        <w:pStyle w:val="3"/>
      </w:pPr>
    </w:p>
    <w:p w14:paraId="23F2A6B0">
      <w:pPr>
        <w:pStyle w:val="5"/>
        <w:adjustRightInd w:val="0"/>
        <w:snapToGrid w:val="0"/>
        <w:spacing w:before="156" w:beforeLines="50" w:after="0" w:line="360" w:lineRule="auto"/>
        <w:rPr>
          <w:rFonts w:ascii="黑体" w:hAnsi="黑体"/>
          <w:b w:val="0"/>
          <w:color w:val="auto"/>
          <w:sz w:val="21"/>
          <w:szCs w:val="21"/>
          <w:highlight w:val="none"/>
        </w:rPr>
      </w:pPr>
      <w:bookmarkStart w:id="143" w:name="_Toc6749"/>
      <w:bookmarkStart w:id="144" w:name="_Toc32309"/>
      <w:bookmarkStart w:id="145" w:name="_Toc24573"/>
      <w:bookmarkStart w:id="146" w:name="_Toc24652"/>
      <w:r>
        <w:rPr>
          <w:rFonts w:hint="eastAsia" w:ascii="黑体" w:hAnsi="黑体" w:cs="宋体"/>
          <w:b w:val="0"/>
          <w:color w:val="auto"/>
          <w:spacing w:val="6"/>
          <w:sz w:val="21"/>
          <w:szCs w:val="21"/>
          <w:highlight w:val="none"/>
        </w:rPr>
        <w:t>附件7-1 货物说明响应</w:t>
      </w:r>
      <w:r>
        <w:rPr>
          <w:rFonts w:hint="eastAsia" w:ascii="黑体" w:hAnsi="黑体"/>
          <w:b w:val="0"/>
          <w:color w:val="auto"/>
          <w:sz w:val="21"/>
          <w:szCs w:val="21"/>
          <w:highlight w:val="none"/>
          <w:lang w:val="en-US" w:eastAsia="zh-CN"/>
        </w:rPr>
        <w:t>一</w:t>
      </w:r>
      <w:r>
        <w:rPr>
          <w:rFonts w:hint="eastAsia" w:ascii="黑体" w:hAnsi="黑体"/>
          <w:b w:val="0"/>
          <w:color w:val="auto"/>
          <w:sz w:val="21"/>
          <w:szCs w:val="21"/>
          <w:highlight w:val="none"/>
        </w:rPr>
        <w:t>览表</w:t>
      </w:r>
      <w:bookmarkEnd w:id="143"/>
      <w:bookmarkEnd w:id="144"/>
      <w:bookmarkEnd w:id="145"/>
      <w:bookmarkEnd w:id="146"/>
    </w:p>
    <w:p w14:paraId="37252DE5">
      <w:pP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lang w:val="en-US" w:eastAsia="zh-CN"/>
        </w:rPr>
        <w:t>货物说明响应一</w:t>
      </w:r>
      <w:r>
        <w:rPr>
          <w:rFonts w:hint="eastAsia" w:ascii="黑体" w:hAnsi="黑体" w:eastAsia="黑体"/>
          <w:b/>
          <w:bCs/>
          <w:color w:val="auto"/>
          <w:sz w:val="28"/>
          <w:szCs w:val="28"/>
          <w:highlight w:val="none"/>
        </w:rPr>
        <w:t>览表</w:t>
      </w:r>
    </w:p>
    <w:p w14:paraId="2AD3E901">
      <w:pPr>
        <w:jc w:val="center"/>
        <w:rPr>
          <w:rFonts w:ascii="宋体" w:hAnsi="宋体"/>
          <w:color w:val="auto"/>
          <w:szCs w:val="21"/>
          <w:highlight w:val="none"/>
        </w:rPr>
      </w:pPr>
    </w:p>
    <w:tbl>
      <w:tblPr>
        <w:tblStyle w:val="40"/>
        <w:tblW w:w="96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5"/>
        <w:gridCol w:w="875"/>
        <w:gridCol w:w="1106"/>
        <w:gridCol w:w="1850"/>
        <w:gridCol w:w="1850"/>
        <w:gridCol w:w="1183"/>
        <w:gridCol w:w="1038"/>
        <w:gridCol w:w="1225"/>
      </w:tblGrid>
      <w:tr w14:paraId="21461A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07" w:hRule="atLeast"/>
          <w:jc w:val="center"/>
        </w:trPr>
        <w:tc>
          <w:tcPr>
            <w:tcW w:w="525" w:type="dxa"/>
            <w:noWrap w:val="0"/>
            <w:vAlign w:val="center"/>
          </w:tcPr>
          <w:p w14:paraId="7C6150C2">
            <w:pPr>
              <w:jc w:val="center"/>
              <w:rPr>
                <w:color w:val="auto"/>
                <w:szCs w:val="21"/>
                <w:highlight w:val="none"/>
              </w:rPr>
            </w:pPr>
            <w:r>
              <w:rPr>
                <w:rFonts w:hint="eastAsia"/>
                <w:color w:val="auto"/>
                <w:szCs w:val="21"/>
                <w:highlight w:val="none"/>
              </w:rPr>
              <w:t xml:space="preserve">包号 </w:t>
            </w:r>
          </w:p>
        </w:tc>
        <w:tc>
          <w:tcPr>
            <w:tcW w:w="875" w:type="dxa"/>
            <w:tcBorders>
              <w:right w:val="single" w:color="auto" w:sz="4" w:space="0"/>
            </w:tcBorders>
            <w:noWrap w:val="0"/>
            <w:vAlign w:val="center"/>
          </w:tcPr>
          <w:p w14:paraId="7C351799">
            <w:pPr>
              <w:jc w:val="center"/>
              <w:rPr>
                <w:color w:val="auto"/>
                <w:szCs w:val="21"/>
                <w:highlight w:val="none"/>
              </w:rPr>
            </w:pPr>
            <w:r>
              <w:rPr>
                <w:rFonts w:hint="eastAsia"/>
                <w:color w:val="auto"/>
                <w:szCs w:val="21"/>
                <w:highlight w:val="none"/>
              </w:rPr>
              <w:t>包名称</w:t>
            </w:r>
          </w:p>
        </w:tc>
        <w:tc>
          <w:tcPr>
            <w:tcW w:w="1106" w:type="dxa"/>
            <w:tcBorders>
              <w:left w:val="single" w:color="auto" w:sz="4" w:space="0"/>
            </w:tcBorders>
            <w:noWrap w:val="0"/>
            <w:vAlign w:val="center"/>
          </w:tcPr>
          <w:p w14:paraId="589F8680">
            <w:pPr>
              <w:jc w:val="center"/>
              <w:rPr>
                <w:color w:val="auto"/>
                <w:szCs w:val="21"/>
                <w:highlight w:val="none"/>
              </w:rPr>
            </w:pPr>
            <w:r>
              <w:rPr>
                <w:rFonts w:hint="eastAsia"/>
                <w:color w:val="auto"/>
                <w:szCs w:val="21"/>
                <w:highlight w:val="none"/>
              </w:rPr>
              <w:t>标的</w:t>
            </w:r>
            <w:r>
              <w:rPr>
                <w:rFonts w:hint="eastAsia"/>
                <w:color w:val="auto"/>
                <w:szCs w:val="21"/>
                <w:highlight w:val="none"/>
                <w:lang w:val="en-US" w:eastAsia="zh-CN"/>
              </w:rPr>
              <w:t>货物</w:t>
            </w:r>
            <w:r>
              <w:rPr>
                <w:rFonts w:hint="eastAsia"/>
                <w:color w:val="auto"/>
                <w:szCs w:val="21"/>
                <w:highlight w:val="none"/>
              </w:rPr>
              <w:t>名称</w:t>
            </w:r>
          </w:p>
        </w:tc>
        <w:tc>
          <w:tcPr>
            <w:tcW w:w="1850" w:type="dxa"/>
            <w:noWrap w:val="0"/>
            <w:vAlign w:val="center"/>
          </w:tcPr>
          <w:p w14:paraId="17E04D44">
            <w:pPr>
              <w:jc w:val="center"/>
              <w:rPr>
                <w:rFonts w:hint="default" w:eastAsia="宋体"/>
                <w:color w:val="auto"/>
                <w:szCs w:val="21"/>
                <w:highlight w:val="none"/>
                <w:lang w:val="en-US" w:eastAsia="zh-CN"/>
              </w:rPr>
            </w:pPr>
            <w:r>
              <w:rPr>
                <w:rFonts w:hint="eastAsia"/>
                <w:color w:val="auto"/>
                <w:szCs w:val="21"/>
                <w:highlight w:val="none"/>
                <w:lang w:val="en-US" w:eastAsia="zh-CN"/>
              </w:rPr>
              <w:t>品牌/型号</w:t>
            </w:r>
          </w:p>
        </w:tc>
        <w:tc>
          <w:tcPr>
            <w:tcW w:w="1850" w:type="dxa"/>
            <w:noWrap w:val="0"/>
            <w:vAlign w:val="center"/>
          </w:tcPr>
          <w:p w14:paraId="50E0AFD6">
            <w:pPr>
              <w:jc w:val="center"/>
              <w:rPr>
                <w:color w:val="auto"/>
                <w:szCs w:val="21"/>
                <w:highlight w:val="none"/>
              </w:rPr>
            </w:pPr>
            <w:r>
              <w:rPr>
                <w:rFonts w:hint="eastAsia"/>
                <w:color w:val="auto"/>
                <w:szCs w:val="21"/>
                <w:highlight w:val="none"/>
              </w:rPr>
              <w:t>主要技术参数或规格</w:t>
            </w:r>
          </w:p>
        </w:tc>
        <w:tc>
          <w:tcPr>
            <w:tcW w:w="1183" w:type="dxa"/>
            <w:noWrap w:val="0"/>
            <w:vAlign w:val="center"/>
          </w:tcPr>
          <w:p w14:paraId="7E1281BA">
            <w:pPr>
              <w:jc w:val="center"/>
              <w:rPr>
                <w:rFonts w:hint="default" w:eastAsia="宋体"/>
                <w:color w:val="auto"/>
                <w:szCs w:val="21"/>
                <w:highlight w:val="none"/>
                <w:lang w:val="en-US" w:eastAsia="zh-CN"/>
              </w:rPr>
            </w:pPr>
            <w:r>
              <w:rPr>
                <w:rFonts w:hint="eastAsia"/>
                <w:color w:val="auto"/>
                <w:szCs w:val="21"/>
                <w:highlight w:val="none"/>
                <w:lang w:val="en-US" w:eastAsia="zh-CN"/>
              </w:rPr>
              <w:t>制造商/原产地</w:t>
            </w:r>
          </w:p>
        </w:tc>
        <w:tc>
          <w:tcPr>
            <w:tcW w:w="1038" w:type="dxa"/>
            <w:noWrap w:val="0"/>
            <w:vAlign w:val="center"/>
          </w:tcPr>
          <w:p w14:paraId="2F262B54">
            <w:pPr>
              <w:jc w:val="center"/>
              <w:rPr>
                <w:color w:val="auto"/>
                <w:szCs w:val="21"/>
                <w:highlight w:val="none"/>
              </w:rPr>
            </w:pPr>
            <w:r>
              <w:rPr>
                <w:rFonts w:hint="eastAsia"/>
                <w:color w:val="auto"/>
                <w:szCs w:val="21"/>
                <w:highlight w:val="none"/>
              </w:rPr>
              <w:t>单位/数量</w:t>
            </w:r>
          </w:p>
        </w:tc>
        <w:tc>
          <w:tcPr>
            <w:tcW w:w="1225" w:type="dxa"/>
            <w:noWrap w:val="0"/>
            <w:vAlign w:val="center"/>
          </w:tcPr>
          <w:p w14:paraId="0DD815C9">
            <w:pPr>
              <w:adjustRightInd w:val="0"/>
              <w:snapToGrid w:val="0"/>
              <w:jc w:val="center"/>
              <w:rPr>
                <w:color w:val="auto"/>
                <w:szCs w:val="21"/>
                <w:highlight w:val="none"/>
              </w:rPr>
            </w:pPr>
            <w:r>
              <w:rPr>
                <w:rFonts w:hint="eastAsia" w:ascii="宋体" w:hAnsi="宋体"/>
                <w:bCs/>
                <w:color w:val="auto"/>
                <w:szCs w:val="21"/>
                <w:highlight w:val="none"/>
              </w:rPr>
              <w:t>政策功能类型及编号</w:t>
            </w:r>
          </w:p>
        </w:tc>
      </w:tr>
      <w:tr w14:paraId="289B65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525" w:type="dxa"/>
            <w:vMerge w:val="restart"/>
            <w:noWrap w:val="0"/>
            <w:vAlign w:val="top"/>
          </w:tcPr>
          <w:p w14:paraId="39B0FAE1">
            <w:pPr>
              <w:rPr>
                <w:color w:val="auto"/>
                <w:szCs w:val="21"/>
                <w:highlight w:val="none"/>
              </w:rPr>
            </w:pPr>
          </w:p>
        </w:tc>
        <w:tc>
          <w:tcPr>
            <w:tcW w:w="875" w:type="dxa"/>
            <w:vMerge w:val="restart"/>
            <w:tcBorders>
              <w:right w:val="single" w:color="auto" w:sz="4" w:space="0"/>
            </w:tcBorders>
            <w:noWrap w:val="0"/>
            <w:vAlign w:val="top"/>
          </w:tcPr>
          <w:p w14:paraId="47AE7405">
            <w:pPr>
              <w:rPr>
                <w:color w:val="auto"/>
                <w:szCs w:val="21"/>
                <w:highlight w:val="none"/>
              </w:rPr>
            </w:pPr>
          </w:p>
        </w:tc>
        <w:tc>
          <w:tcPr>
            <w:tcW w:w="1106" w:type="dxa"/>
            <w:tcBorders>
              <w:left w:val="single" w:color="auto" w:sz="4" w:space="0"/>
            </w:tcBorders>
            <w:noWrap w:val="0"/>
            <w:vAlign w:val="top"/>
          </w:tcPr>
          <w:p w14:paraId="7929A5CB">
            <w:pPr>
              <w:rPr>
                <w:color w:val="auto"/>
                <w:szCs w:val="21"/>
                <w:highlight w:val="none"/>
              </w:rPr>
            </w:pPr>
          </w:p>
        </w:tc>
        <w:tc>
          <w:tcPr>
            <w:tcW w:w="1850" w:type="dxa"/>
            <w:noWrap w:val="0"/>
            <w:vAlign w:val="top"/>
          </w:tcPr>
          <w:p w14:paraId="7BC44417">
            <w:pPr>
              <w:rPr>
                <w:color w:val="auto"/>
                <w:szCs w:val="21"/>
                <w:highlight w:val="none"/>
              </w:rPr>
            </w:pPr>
          </w:p>
        </w:tc>
        <w:tc>
          <w:tcPr>
            <w:tcW w:w="1850" w:type="dxa"/>
            <w:noWrap w:val="0"/>
            <w:vAlign w:val="top"/>
          </w:tcPr>
          <w:p w14:paraId="2373B89C">
            <w:pPr>
              <w:rPr>
                <w:color w:val="auto"/>
                <w:szCs w:val="21"/>
                <w:highlight w:val="none"/>
              </w:rPr>
            </w:pPr>
          </w:p>
        </w:tc>
        <w:tc>
          <w:tcPr>
            <w:tcW w:w="1183" w:type="dxa"/>
            <w:noWrap w:val="0"/>
            <w:vAlign w:val="top"/>
          </w:tcPr>
          <w:p w14:paraId="609A32D2">
            <w:pPr>
              <w:rPr>
                <w:color w:val="auto"/>
                <w:szCs w:val="21"/>
                <w:highlight w:val="none"/>
              </w:rPr>
            </w:pPr>
          </w:p>
        </w:tc>
        <w:tc>
          <w:tcPr>
            <w:tcW w:w="1038" w:type="dxa"/>
            <w:noWrap w:val="0"/>
            <w:vAlign w:val="top"/>
          </w:tcPr>
          <w:p w14:paraId="441769EB">
            <w:pPr>
              <w:rPr>
                <w:color w:val="auto"/>
                <w:szCs w:val="21"/>
                <w:highlight w:val="none"/>
              </w:rPr>
            </w:pPr>
          </w:p>
        </w:tc>
        <w:tc>
          <w:tcPr>
            <w:tcW w:w="1225" w:type="dxa"/>
            <w:tcBorders>
              <w:bottom w:val="single" w:color="auto" w:sz="4" w:space="0"/>
            </w:tcBorders>
            <w:noWrap w:val="0"/>
            <w:vAlign w:val="top"/>
          </w:tcPr>
          <w:p w14:paraId="3074BF9B">
            <w:pPr>
              <w:rPr>
                <w:color w:val="auto"/>
                <w:szCs w:val="21"/>
                <w:highlight w:val="none"/>
              </w:rPr>
            </w:pPr>
          </w:p>
        </w:tc>
      </w:tr>
      <w:tr w14:paraId="708A5A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525" w:type="dxa"/>
            <w:vMerge w:val="continue"/>
            <w:noWrap w:val="0"/>
            <w:vAlign w:val="top"/>
          </w:tcPr>
          <w:p w14:paraId="44AD0F53">
            <w:pPr>
              <w:rPr>
                <w:color w:val="auto"/>
                <w:szCs w:val="21"/>
                <w:highlight w:val="none"/>
              </w:rPr>
            </w:pPr>
          </w:p>
        </w:tc>
        <w:tc>
          <w:tcPr>
            <w:tcW w:w="875" w:type="dxa"/>
            <w:vMerge w:val="continue"/>
            <w:tcBorders>
              <w:right w:val="single" w:color="auto" w:sz="4" w:space="0"/>
            </w:tcBorders>
            <w:noWrap w:val="0"/>
            <w:vAlign w:val="top"/>
          </w:tcPr>
          <w:p w14:paraId="651EBD45">
            <w:pPr>
              <w:rPr>
                <w:color w:val="auto"/>
                <w:szCs w:val="21"/>
                <w:highlight w:val="none"/>
              </w:rPr>
            </w:pPr>
          </w:p>
        </w:tc>
        <w:tc>
          <w:tcPr>
            <w:tcW w:w="1106" w:type="dxa"/>
            <w:tcBorders>
              <w:left w:val="single" w:color="auto" w:sz="4" w:space="0"/>
            </w:tcBorders>
            <w:noWrap w:val="0"/>
            <w:vAlign w:val="top"/>
          </w:tcPr>
          <w:p w14:paraId="2D6DB32D">
            <w:pPr>
              <w:rPr>
                <w:color w:val="auto"/>
                <w:szCs w:val="21"/>
                <w:highlight w:val="none"/>
              </w:rPr>
            </w:pPr>
          </w:p>
        </w:tc>
        <w:tc>
          <w:tcPr>
            <w:tcW w:w="1850" w:type="dxa"/>
            <w:noWrap w:val="0"/>
            <w:vAlign w:val="top"/>
          </w:tcPr>
          <w:p w14:paraId="1D80AC94">
            <w:pPr>
              <w:rPr>
                <w:color w:val="auto"/>
                <w:szCs w:val="21"/>
                <w:highlight w:val="none"/>
              </w:rPr>
            </w:pPr>
          </w:p>
        </w:tc>
        <w:tc>
          <w:tcPr>
            <w:tcW w:w="1850" w:type="dxa"/>
            <w:noWrap w:val="0"/>
            <w:vAlign w:val="top"/>
          </w:tcPr>
          <w:p w14:paraId="2A0D140B">
            <w:pPr>
              <w:rPr>
                <w:color w:val="auto"/>
                <w:szCs w:val="21"/>
                <w:highlight w:val="none"/>
              </w:rPr>
            </w:pPr>
          </w:p>
        </w:tc>
        <w:tc>
          <w:tcPr>
            <w:tcW w:w="1183" w:type="dxa"/>
            <w:noWrap w:val="0"/>
            <w:vAlign w:val="top"/>
          </w:tcPr>
          <w:p w14:paraId="759394A5">
            <w:pPr>
              <w:rPr>
                <w:color w:val="auto"/>
                <w:szCs w:val="21"/>
                <w:highlight w:val="none"/>
              </w:rPr>
            </w:pPr>
          </w:p>
        </w:tc>
        <w:tc>
          <w:tcPr>
            <w:tcW w:w="1038" w:type="dxa"/>
            <w:noWrap w:val="0"/>
            <w:vAlign w:val="top"/>
          </w:tcPr>
          <w:p w14:paraId="78ED3EEA">
            <w:pPr>
              <w:rPr>
                <w:color w:val="auto"/>
                <w:szCs w:val="21"/>
                <w:highlight w:val="none"/>
              </w:rPr>
            </w:pPr>
          </w:p>
        </w:tc>
        <w:tc>
          <w:tcPr>
            <w:tcW w:w="1225" w:type="dxa"/>
            <w:tcBorders>
              <w:top w:val="single" w:color="auto" w:sz="4" w:space="0"/>
              <w:bottom w:val="single" w:color="auto" w:sz="4" w:space="0"/>
            </w:tcBorders>
            <w:noWrap w:val="0"/>
            <w:vAlign w:val="top"/>
          </w:tcPr>
          <w:p w14:paraId="475F578C">
            <w:pPr>
              <w:rPr>
                <w:color w:val="auto"/>
                <w:szCs w:val="21"/>
                <w:highlight w:val="none"/>
              </w:rPr>
            </w:pPr>
          </w:p>
        </w:tc>
      </w:tr>
      <w:tr w14:paraId="07E0B9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525" w:type="dxa"/>
            <w:vMerge w:val="continue"/>
            <w:noWrap w:val="0"/>
            <w:vAlign w:val="top"/>
          </w:tcPr>
          <w:p w14:paraId="7D8B4EF7">
            <w:pPr>
              <w:rPr>
                <w:color w:val="auto"/>
                <w:szCs w:val="21"/>
                <w:highlight w:val="none"/>
              </w:rPr>
            </w:pPr>
          </w:p>
        </w:tc>
        <w:tc>
          <w:tcPr>
            <w:tcW w:w="875" w:type="dxa"/>
            <w:vMerge w:val="continue"/>
            <w:tcBorders>
              <w:right w:val="single" w:color="auto" w:sz="4" w:space="0"/>
            </w:tcBorders>
            <w:noWrap w:val="0"/>
            <w:vAlign w:val="top"/>
          </w:tcPr>
          <w:p w14:paraId="0AC1A1B6">
            <w:pPr>
              <w:rPr>
                <w:color w:val="auto"/>
                <w:szCs w:val="21"/>
                <w:highlight w:val="none"/>
              </w:rPr>
            </w:pPr>
          </w:p>
        </w:tc>
        <w:tc>
          <w:tcPr>
            <w:tcW w:w="1106" w:type="dxa"/>
            <w:tcBorders>
              <w:left w:val="single" w:color="auto" w:sz="4" w:space="0"/>
            </w:tcBorders>
            <w:noWrap w:val="0"/>
            <w:vAlign w:val="top"/>
          </w:tcPr>
          <w:p w14:paraId="22A87458">
            <w:pPr>
              <w:rPr>
                <w:color w:val="auto"/>
                <w:szCs w:val="21"/>
                <w:highlight w:val="none"/>
              </w:rPr>
            </w:pPr>
          </w:p>
        </w:tc>
        <w:tc>
          <w:tcPr>
            <w:tcW w:w="1850" w:type="dxa"/>
            <w:noWrap w:val="0"/>
            <w:vAlign w:val="top"/>
          </w:tcPr>
          <w:p w14:paraId="52F76EC4">
            <w:pPr>
              <w:rPr>
                <w:color w:val="auto"/>
                <w:szCs w:val="21"/>
                <w:highlight w:val="none"/>
              </w:rPr>
            </w:pPr>
          </w:p>
        </w:tc>
        <w:tc>
          <w:tcPr>
            <w:tcW w:w="1850" w:type="dxa"/>
            <w:noWrap w:val="0"/>
            <w:vAlign w:val="top"/>
          </w:tcPr>
          <w:p w14:paraId="34A4D03E">
            <w:pPr>
              <w:rPr>
                <w:color w:val="auto"/>
                <w:szCs w:val="21"/>
                <w:highlight w:val="none"/>
              </w:rPr>
            </w:pPr>
          </w:p>
        </w:tc>
        <w:tc>
          <w:tcPr>
            <w:tcW w:w="1183" w:type="dxa"/>
            <w:noWrap w:val="0"/>
            <w:vAlign w:val="top"/>
          </w:tcPr>
          <w:p w14:paraId="65EDC2E4">
            <w:pPr>
              <w:rPr>
                <w:color w:val="auto"/>
                <w:szCs w:val="21"/>
                <w:highlight w:val="none"/>
              </w:rPr>
            </w:pPr>
          </w:p>
        </w:tc>
        <w:tc>
          <w:tcPr>
            <w:tcW w:w="1038" w:type="dxa"/>
            <w:noWrap w:val="0"/>
            <w:vAlign w:val="top"/>
          </w:tcPr>
          <w:p w14:paraId="0A5BEB96">
            <w:pPr>
              <w:rPr>
                <w:color w:val="auto"/>
                <w:szCs w:val="21"/>
                <w:highlight w:val="none"/>
              </w:rPr>
            </w:pPr>
          </w:p>
        </w:tc>
        <w:tc>
          <w:tcPr>
            <w:tcW w:w="1225" w:type="dxa"/>
            <w:tcBorders>
              <w:top w:val="single" w:color="auto" w:sz="4" w:space="0"/>
              <w:bottom w:val="single" w:color="auto" w:sz="4" w:space="0"/>
            </w:tcBorders>
            <w:noWrap w:val="0"/>
            <w:vAlign w:val="top"/>
          </w:tcPr>
          <w:p w14:paraId="6A8AD53C">
            <w:pPr>
              <w:rPr>
                <w:color w:val="auto"/>
                <w:szCs w:val="21"/>
                <w:highlight w:val="none"/>
              </w:rPr>
            </w:pPr>
          </w:p>
        </w:tc>
      </w:tr>
      <w:tr w14:paraId="0E91CA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525" w:type="dxa"/>
            <w:vMerge w:val="continue"/>
            <w:noWrap w:val="0"/>
            <w:vAlign w:val="top"/>
          </w:tcPr>
          <w:p w14:paraId="2515657D">
            <w:pPr>
              <w:rPr>
                <w:color w:val="auto"/>
                <w:szCs w:val="21"/>
                <w:highlight w:val="none"/>
              </w:rPr>
            </w:pPr>
          </w:p>
        </w:tc>
        <w:tc>
          <w:tcPr>
            <w:tcW w:w="875" w:type="dxa"/>
            <w:vMerge w:val="continue"/>
            <w:tcBorders>
              <w:right w:val="single" w:color="auto" w:sz="4" w:space="0"/>
            </w:tcBorders>
            <w:noWrap w:val="0"/>
            <w:vAlign w:val="top"/>
          </w:tcPr>
          <w:p w14:paraId="19137590">
            <w:pPr>
              <w:rPr>
                <w:color w:val="auto"/>
                <w:szCs w:val="21"/>
                <w:highlight w:val="none"/>
              </w:rPr>
            </w:pPr>
          </w:p>
        </w:tc>
        <w:tc>
          <w:tcPr>
            <w:tcW w:w="1106" w:type="dxa"/>
            <w:tcBorders>
              <w:left w:val="single" w:color="auto" w:sz="4" w:space="0"/>
            </w:tcBorders>
            <w:noWrap w:val="0"/>
            <w:vAlign w:val="top"/>
          </w:tcPr>
          <w:p w14:paraId="4E54C3D5">
            <w:pPr>
              <w:rPr>
                <w:color w:val="auto"/>
                <w:szCs w:val="21"/>
                <w:highlight w:val="none"/>
              </w:rPr>
            </w:pPr>
          </w:p>
        </w:tc>
        <w:tc>
          <w:tcPr>
            <w:tcW w:w="1850" w:type="dxa"/>
            <w:noWrap w:val="0"/>
            <w:vAlign w:val="top"/>
          </w:tcPr>
          <w:p w14:paraId="2805487B">
            <w:pPr>
              <w:rPr>
                <w:color w:val="auto"/>
                <w:szCs w:val="21"/>
                <w:highlight w:val="none"/>
              </w:rPr>
            </w:pPr>
          </w:p>
        </w:tc>
        <w:tc>
          <w:tcPr>
            <w:tcW w:w="1850" w:type="dxa"/>
            <w:noWrap w:val="0"/>
            <w:vAlign w:val="top"/>
          </w:tcPr>
          <w:p w14:paraId="2145A4CD">
            <w:pPr>
              <w:rPr>
                <w:color w:val="auto"/>
                <w:szCs w:val="21"/>
                <w:highlight w:val="none"/>
              </w:rPr>
            </w:pPr>
          </w:p>
        </w:tc>
        <w:tc>
          <w:tcPr>
            <w:tcW w:w="1183" w:type="dxa"/>
            <w:noWrap w:val="0"/>
            <w:vAlign w:val="top"/>
          </w:tcPr>
          <w:p w14:paraId="1E1210B9">
            <w:pPr>
              <w:rPr>
                <w:color w:val="auto"/>
                <w:szCs w:val="21"/>
                <w:highlight w:val="none"/>
              </w:rPr>
            </w:pPr>
          </w:p>
        </w:tc>
        <w:tc>
          <w:tcPr>
            <w:tcW w:w="1038" w:type="dxa"/>
            <w:noWrap w:val="0"/>
            <w:vAlign w:val="top"/>
          </w:tcPr>
          <w:p w14:paraId="6A11103F">
            <w:pPr>
              <w:rPr>
                <w:color w:val="auto"/>
                <w:szCs w:val="21"/>
                <w:highlight w:val="none"/>
              </w:rPr>
            </w:pPr>
          </w:p>
        </w:tc>
        <w:tc>
          <w:tcPr>
            <w:tcW w:w="1225" w:type="dxa"/>
            <w:tcBorders>
              <w:top w:val="single" w:color="auto" w:sz="4" w:space="0"/>
              <w:bottom w:val="single" w:color="auto" w:sz="4" w:space="0"/>
            </w:tcBorders>
            <w:noWrap w:val="0"/>
            <w:vAlign w:val="top"/>
          </w:tcPr>
          <w:p w14:paraId="3C1700D2">
            <w:pPr>
              <w:rPr>
                <w:color w:val="auto"/>
                <w:szCs w:val="21"/>
                <w:highlight w:val="none"/>
              </w:rPr>
            </w:pPr>
          </w:p>
        </w:tc>
      </w:tr>
      <w:tr w14:paraId="20375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525" w:type="dxa"/>
            <w:vMerge w:val="continue"/>
            <w:noWrap w:val="0"/>
            <w:vAlign w:val="top"/>
          </w:tcPr>
          <w:p w14:paraId="7D8FFA88">
            <w:pPr>
              <w:rPr>
                <w:color w:val="auto"/>
                <w:szCs w:val="21"/>
                <w:highlight w:val="none"/>
              </w:rPr>
            </w:pPr>
          </w:p>
        </w:tc>
        <w:tc>
          <w:tcPr>
            <w:tcW w:w="875" w:type="dxa"/>
            <w:vMerge w:val="continue"/>
            <w:tcBorders>
              <w:right w:val="single" w:color="auto" w:sz="4" w:space="0"/>
            </w:tcBorders>
            <w:noWrap w:val="0"/>
            <w:vAlign w:val="top"/>
          </w:tcPr>
          <w:p w14:paraId="62979726">
            <w:pPr>
              <w:rPr>
                <w:color w:val="auto"/>
                <w:szCs w:val="21"/>
                <w:highlight w:val="none"/>
              </w:rPr>
            </w:pPr>
          </w:p>
        </w:tc>
        <w:tc>
          <w:tcPr>
            <w:tcW w:w="1106" w:type="dxa"/>
            <w:tcBorders>
              <w:left w:val="single" w:color="auto" w:sz="4" w:space="0"/>
            </w:tcBorders>
            <w:noWrap w:val="0"/>
            <w:vAlign w:val="top"/>
          </w:tcPr>
          <w:p w14:paraId="45C720D2">
            <w:pPr>
              <w:rPr>
                <w:color w:val="auto"/>
                <w:szCs w:val="21"/>
                <w:highlight w:val="none"/>
              </w:rPr>
            </w:pPr>
          </w:p>
        </w:tc>
        <w:tc>
          <w:tcPr>
            <w:tcW w:w="1850" w:type="dxa"/>
            <w:noWrap w:val="0"/>
            <w:vAlign w:val="top"/>
          </w:tcPr>
          <w:p w14:paraId="1D06A0E7">
            <w:pPr>
              <w:rPr>
                <w:color w:val="auto"/>
                <w:szCs w:val="21"/>
                <w:highlight w:val="none"/>
              </w:rPr>
            </w:pPr>
          </w:p>
        </w:tc>
        <w:tc>
          <w:tcPr>
            <w:tcW w:w="1850" w:type="dxa"/>
            <w:noWrap w:val="0"/>
            <w:vAlign w:val="top"/>
          </w:tcPr>
          <w:p w14:paraId="016916C8">
            <w:pPr>
              <w:rPr>
                <w:color w:val="auto"/>
                <w:szCs w:val="21"/>
                <w:highlight w:val="none"/>
              </w:rPr>
            </w:pPr>
          </w:p>
        </w:tc>
        <w:tc>
          <w:tcPr>
            <w:tcW w:w="1183" w:type="dxa"/>
            <w:noWrap w:val="0"/>
            <w:vAlign w:val="top"/>
          </w:tcPr>
          <w:p w14:paraId="472E9CD9">
            <w:pPr>
              <w:rPr>
                <w:color w:val="auto"/>
                <w:szCs w:val="21"/>
                <w:highlight w:val="none"/>
              </w:rPr>
            </w:pPr>
          </w:p>
        </w:tc>
        <w:tc>
          <w:tcPr>
            <w:tcW w:w="1038" w:type="dxa"/>
            <w:noWrap w:val="0"/>
            <w:vAlign w:val="top"/>
          </w:tcPr>
          <w:p w14:paraId="2C351358">
            <w:pPr>
              <w:rPr>
                <w:color w:val="auto"/>
                <w:szCs w:val="21"/>
                <w:highlight w:val="none"/>
              </w:rPr>
            </w:pPr>
          </w:p>
        </w:tc>
        <w:tc>
          <w:tcPr>
            <w:tcW w:w="1225" w:type="dxa"/>
            <w:tcBorders>
              <w:top w:val="single" w:color="auto" w:sz="4" w:space="0"/>
            </w:tcBorders>
            <w:noWrap w:val="0"/>
            <w:vAlign w:val="top"/>
          </w:tcPr>
          <w:p w14:paraId="04EA92E0">
            <w:pPr>
              <w:rPr>
                <w:color w:val="auto"/>
                <w:szCs w:val="21"/>
                <w:highlight w:val="none"/>
              </w:rPr>
            </w:pPr>
          </w:p>
        </w:tc>
      </w:tr>
    </w:tbl>
    <w:p w14:paraId="25ED3E1F">
      <w:pPr>
        <w:adjustRightInd w:val="0"/>
        <w:snapToGrid w:val="0"/>
        <w:spacing w:line="360" w:lineRule="auto"/>
        <w:rPr>
          <w:rFonts w:ascii="宋体" w:hAnsi="宋体"/>
          <w:spacing w:val="28"/>
          <w:szCs w:val="21"/>
        </w:rPr>
      </w:pPr>
      <w:r>
        <w:rPr>
          <w:rFonts w:hint="eastAsia" w:ascii="宋体" w:hAnsi="宋体"/>
          <w:b/>
          <w:bCs/>
          <w:sz w:val="24"/>
        </w:rPr>
        <w:br w:type="page"/>
      </w:r>
    </w:p>
    <w:p w14:paraId="1A113445">
      <w:pPr>
        <w:pStyle w:val="4"/>
        <w:adjustRightInd w:val="0"/>
        <w:snapToGrid w:val="0"/>
        <w:spacing w:beforeLines="50" w:after="0" w:line="360" w:lineRule="auto"/>
        <w:jc w:val="center"/>
        <w:rPr>
          <w:rFonts w:ascii="宋体" w:hAnsi="宋体"/>
          <w:spacing w:val="28"/>
          <w:szCs w:val="21"/>
        </w:rPr>
      </w:pPr>
      <w:r>
        <w:rPr>
          <w:rFonts w:hint="eastAsia" w:ascii="黑体" w:hAnsi="黑体" w:eastAsia="黑体"/>
          <w:sz w:val="28"/>
          <w:szCs w:val="28"/>
        </w:rPr>
        <w:t>八、合同商务条款偏离表</w:t>
      </w:r>
    </w:p>
    <w:p w14:paraId="05CE4224">
      <w:pPr>
        <w:adjustRightInd w:val="0"/>
        <w:snapToGrid w:val="0"/>
        <w:spacing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04261C7E">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0"/>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288D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ign w:val="center"/>
          </w:tcPr>
          <w:p w14:paraId="5C3AC27C">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noWrap/>
            <w:vAlign w:val="center"/>
          </w:tcPr>
          <w:p w14:paraId="661F2979">
            <w:pPr>
              <w:adjustRightInd w:val="0"/>
              <w:snapToGrid w:val="0"/>
              <w:spacing w:before="50" w:line="360" w:lineRule="auto"/>
              <w:ind w:left="-88" w:leftChars="-42"/>
              <w:jc w:val="center"/>
              <w:rPr>
                <w:rFonts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noWrap/>
            <w:vAlign w:val="center"/>
          </w:tcPr>
          <w:p w14:paraId="7A539896">
            <w:pPr>
              <w:adjustRightInd w:val="0"/>
              <w:snapToGrid w:val="0"/>
              <w:spacing w:before="50" w:line="360" w:lineRule="auto"/>
              <w:ind w:left="-88" w:leftChars="-42"/>
              <w:jc w:val="center"/>
              <w:rPr>
                <w:rFonts w:ascii="宋体" w:hAnsi="宋体"/>
                <w:szCs w:val="21"/>
              </w:rPr>
            </w:pPr>
            <w:r>
              <w:rPr>
                <w:rFonts w:hint="eastAsia"/>
              </w:rPr>
              <w:t>招标文件要求</w:t>
            </w:r>
          </w:p>
        </w:tc>
        <w:tc>
          <w:tcPr>
            <w:tcW w:w="2082" w:type="dxa"/>
            <w:tcBorders>
              <w:right w:val="single" w:color="auto" w:sz="4" w:space="0"/>
            </w:tcBorders>
            <w:noWrap/>
            <w:vAlign w:val="center"/>
          </w:tcPr>
          <w:p w14:paraId="2E8992AB">
            <w:pPr>
              <w:adjustRightInd w:val="0"/>
              <w:snapToGrid w:val="0"/>
              <w:spacing w:before="50" w:line="360" w:lineRule="auto"/>
              <w:jc w:val="center"/>
              <w:rPr>
                <w:rFonts w:ascii="宋体" w:hAnsi="宋体"/>
                <w:szCs w:val="21"/>
              </w:rPr>
            </w:pPr>
            <w:r>
              <w:rPr>
                <w:rFonts w:hint="eastAsia"/>
              </w:rPr>
              <w:t>投标文件的应答</w:t>
            </w:r>
          </w:p>
        </w:tc>
        <w:tc>
          <w:tcPr>
            <w:tcW w:w="1942" w:type="dxa"/>
            <w:tcBorders>
              <w:left w:val="single" w:color="auto" w:sz="4" w:space="0"/>
            </w:tcBorders>
            <w:noWrap/>
            <w:vAlign w:val="center"/>
          </w:tcPr>
          <w:p w14:paraId="72D50126">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1CF7E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05CA1A65">
            <w:pPr>
              <w:adjustRightInd w:val="0"/>
              <w:snapToGrid w:val="0"/>
              <w:spacing w:before="50" w:line="360" w:lineRule="auto"/>
              <w:ind w:left="-88" w:leftChars="-42"/>
              <w:jc w:val="center"/>
              <w:rPr>
                <w:rFonts w:ascii="宋体" w:hAnsi="宋体"/>
                <w:szCs w:val="21"/>
              </w:rPr>
            </w:pPr>
          </w:p>
        </w:tc>
        <w:tc>
          <w:tcPr>
            <w:tcW w:w="2410" w:type="dxa"/>
            <w:noWrap/>
            <w:vAlign w:val="center"/>
          </w:tcPr>
          <w:p w14:paraId="328240F1">
            <w:pPr>
              <w:adjustRightInd w:val="0"/>
              <w:snapToGrid w:val="0"/>
              <w:spacing w:before="50" w:line="360" w:lineRule="auto"/>
              <w:ind w:left="-88" w:leftChars="-42"/>
              <w:jc w:val="center"/>
              <w:rPr>
                <w:rFonts w:ascii="宋体" w:hAnsi="宋体"/>
                <w:szCs w:val="21"/>
              </w:rPr>
            </w:pPr>
          </w:p>
        </w:tc>
        <w:tc>
          <w:tcPr>
            <w:tcW w:w="1985" w:type="dxa"/>
            <w:noWrap/>
          </w:tcPr>
          <w:p w14:paraId="66E88D73">
            <w:pPr>
              <w:adjustRightInd w:val="0"/>
              <w:snapToGrid w:val="0"/>
              <w:spacing w:before="50" w:line="360" w:lineRule="auto"/>
            </w:pPr>
          </w:p>
        </w:tc>
        <w:tc>
          <w:tcPr>
            <w:tcW w:w="2082" w:type="dxa"/>
            <w:tcBorders>
              <w:right w:val="single" w:color="auto" w:sz="4" w:space="0"/>
            </w:tcBorders>
            <w:noWrap/>
          </w:tcPr>
          <w:p w14:paraId="6EB573F2">
            <w:pPr>
              <w:adjustRightInd w:val="0"/>
              <w:snapToGrid w:val="0"/>
              <w:spacing w:before="50" w:line="360" w:lineRule="auto"/>
            </w:pPr>
          </w:p>
        </w:tc>
        <w:tc>
          <w:tcPr>
            <w:tcW w:w="1942" w:type="dxa"/>
            <w:tcBorders>
              <w:left w:val="single" w:color="auto" w:sz="4" w:space="0"/>
            </w:tcBorders>
            <w:noWrap/>
          </w:tcPr>
          <w:p w14:paraId="62E95029">
            <w:pPr>
              <w:adjustRightInd w:val="0"/>
              <w:snapToGrid w:val="0"/>
              <w:spacing w:before="50" w:line="360" w:lineRule="auto"/>
              <w:ind w:left="-88" w:leftChars="-42"/>
              <w:jc w:val="center"/>
              <w:rPr>
                <w:rFonts w:ascii="宋体" w:hAnsi="宋体"/>
                <w:szCs w:val="21"/>
              </w:rPr>
            </w:pPr>
          </w:p>
        </w:tc>
      </w:tr>
      <w:tr w14:paraId="0094FC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53301C68">
            <w:pPr>
              <w:adjustRightInd w:val="0"/>
              <w:snapToGrid w:val="0"/>
              <w:spacing w:before="50" w:line="360" w:lineRule="auto"/>
              <w:ind w:left="-88" w:leftChars="-42"/>
              <w:jc w:val="center"/>
              <w:rPr>
                <w:rFonts w:ascii="宋体" w:hAnsi="宋体"/>
                <w:szCs w:val="21"/>
              </w:rPr>
            </w:pPr>
          </w:p>
        </w:tc>
        <w:tc>
          <w:tcPr>
            <w:tcW w:w="2410" w:type="dxa"/>
            <w:noWrap/>
            <w:vAlign w:val="center"/>
          </w:tcPr>
          <w:p w14:paraId="6DE370E5">
            <w:pPr>
              <w:adjustRightInd w:val="0"/>
              <w:snapToGrid w:val="0"/>
              <w:spacing w:before="50" w:line="360" w:lineRule="auto"/>
              <w:ind w:left="-88" w:leftChars="-42"/>
              <w:jc w:val="center"/>
              <w:rPr>
                <w:rFonts w:ascii="宋体" w:hAnsi="宋体"/>
                <w:szCs w:val="21"/>
              </w:rPr>
            </w:pPr>
          </w:p>
        </w:tc>
        <w:tc>
          <w:tcPr>
            <w:tcW w:w="1985" w:type="dxa"/>
            <w:noWrap/>
            <w:vAlign w:val="center"/>
          </w:tcPr>
          <w:p w14:paraId="4E6C72E1">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ign w:val="center"/>
          </w:tcPr>
          <w:p w14:paraId="5A4B0015">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ign w:val="center"/>
          </w:tcPr>
          <w:p w14:paraId="2BEBBB2A">
            <w:pPr>
              <w:adjustRightInd w:val="0"/>
              <w:snapToGrid w:val="0"/>
              <w:spacing w:before="50" w:line="360" w:lineRule="auto"/>
              <w:ind w:left="-88" w:leftChars="-42"/>
              <w:jc w:val="center"/>
              <w:rPr>
                <w:rFonts w:ascii="宋体" w:hAnsi="宋体"/>
                <w:szCs w:val="21"/>
              </w:rPr>
            </w:pPr>
          </w:p>
        </w:tc>
      </w:tr>
      <w:tr w14:paraId="605ED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023A3670">
            <w:pPr>
              <w:adjustRightInd w:val="0"/>
              <w:snapToGrid w:val="0"/>
              <w:spacing w:before="50" w:line="360" w:lineRule="auto"/>
              <w:ind w:left="-88" w:leftChars="-42"/>
              <w:jc w:val="center"/>
              <w:rPr>
                <w:rFonts w:ascii="宋体" w:hAnsi="宋体"/>
                <w:szCs w:val="21"/>
              </w:rPr>
            </w:pPr>
          </w:p>
        </w:tc>
        <w:tc>
          <w:tcPr>
            <w:tcW w:w="2410" w:type="dxa"/>
            <w:noWrap/>
            <w:vAlign w:val="center"/>
          </w:tcPr>
          <w:p w14:paraId="45FBB748">
            <w:pPr>
              <w:adjustRightInd w:val="0"/>
              <w:snapToGrid w:val="0"/>
              <w:spacing w:before="50" w:line="360" w:lineRule="auto"/>
              <w:ind w:left="-88" w:leftChars="-42"/>
              <w:jc w:val="center"/>
              <w:rPr>
                <w:rFonts w:ascii="宋体" w:hAnsi="宋体"/>
                <w:szCs w:val="21"/>
              </w:rPr>
            </w:pPr>
          </w:p>
        </w:tc>
        <w:tc>
          <w:tcPr>
            <w:tcW w:w="1985" w:type="dxa"/>
            <w:noWrap/>
            <w:vAlign w:val="center"/>
          </w:tcPr>
          <w:p w14:paraId="6CB1E3DD">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ign w:val="center"/>
          </w:tcPr>
          <w:p w14:paraId="1B43E040">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ign w:val="center"/>
          </w:tcPr>
          <w:p w14:paraId="79F2EBE6">
            <w:pPr>
              <w:adjustRightInd w:val="0"/>
              <w:snapToGrid w:val="0"/>
              <w:spacing w:before="50" w:line="360" w:lineRule="auto"/>
              <w:ind w:left="-88" w:leftChars="-42"/>
              <w:jc w:val="center"/>
              <w:rPr>
                <w:rFonts w:ascii="宋体" w:hAnsi="宋体"/>
                <w:szCs w:val="21"/>
              </w:rPr>
            </w:pPr>
          </w:p>
        </w:tc>
      </w:tr>
      <w:tr w14:paraId="77A441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4D327B84">
            <w:pPr>
              <w:adjustRightInd w:val="0"/>
              <w:snapToGrid w:val="0"/>
              <w:spacing w:before="50" w:line="360" w:lineRule="auto"/>
              <w:ind w:left="-88" w:leftChars="-42"/>
              <w:jc w:val="center"/>
              <w:rPr>
                <w:rFonts w:ascii="宋体" w:hAnsi="宋体"/>
                <w:szCs w:val="21"/>
              </w:rPr>
            </w:pPr>
          </w:p>
        </w:tc>
        <w:tc>
          <w:tcPr>
            <w:tcW w:w="2410" w:type="dxa"/>
            <w:noWrap/>
            <w:vAlign w:val="center"/>
          </w:tcPr>
          <w:p w14:paraId="01224420">
            <w:pPr>
              <w:adjustRightInd w:val="0"/>
              <w:snapToGrid w:val="0"/>
              <w:spacing w:before="50" w:line="360" w:lineRule="auto"/>
              <w:ind w:left="-88" w:leftChars="-42"/>
              <w:jc w:val="center"/>
              <w:rPr>
                <w:rFonts w:ascii="宋体" w:hAnsi="宋体"/>
                <w:szCs w:val="21"/>
              </w:rPr>
            </w:pPr>
          </w:p>
        </w:tc>
        <w:tc>
          <w:tcPr>
            <w:tcW w:w="1985" w:type="dxa"/>
            <w:noWrap/>
            <w:vAlign w:val="center"/>
          </w:tcPr>
          <w:p w14:paraId="563C4BAE">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ign w:val="center"/>
          </w:tcPr>
          <w:p w14:paraId="7E59B9B3">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ign w:val="center"/>
          </w:tcPr>
          <w:p w14:paraId="58C7EE89">
            <w:pPr>
              <w:adjustRightInd w:val="0"/>
              <w:snapToGrid w:val="0"/>
              <w:spacing w:before="50" w:line="360" w:lineRule="auto"/>
              <w:ind w:left="-88" w:leftChars="-42"/>
              <w:jc w:val="center"/>
              <w:rPr>
                <w:rFonts w:ascii="宋体" w:hAnsi="宋体"/>
                <w:szCs w:val="21"/>
              </w:rPr>
            </w:pPr>
          </w:p>
        </w:tc>
      </w:tr>
      <w:tr w14:paraId="1AD5CC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1F501CD2">
            <w:pPr>
              <w:adjustRightInd w:val="0"/>
              <w:snapToGrid w:val="0"/>
              <w:spacing w:before="50" w:line="360" w:lineRule="auto"/>
              <w:ind w:left="-88" w:leftChars="-42"/>
              <w:jc w:val="center"/>
              <w:rPr>
                <w:rFonts w:ascii="宋体" w:hAnsi="宋体"/>
                <w:szCs w:val="21"/>
              </w:rPr>
            </w:pPr>
          </w:p>
        </w:tc>
        <w:tc>
          <w:tcPr>
            <w:tcW w:w="2410" w:type="dxa"/>
            <w:noWrap/>
            <w:vAlign w:val="center"/>
          </w:tcPr>
          <w:p w14:paraId="7E8BC03A">
            <w:pPr>
              <w:adjustRightInd w:val="0"/>
              <w:snapToGrid w:val="0"/>
              <w:spacing w:before="50" w:line="360" w:lineRule="auto"/>
              <w:ind w:left="-88" w:leftChars="-42"/>
              <w:jc w:val="center"/>
              <w:rPr>
                <w:rFonts w:ascii="宋体" w:hAnsi="宋体"/>
                <w:szCs w:val="21"/>
              </w:rPr>
            </w:pPr>
          </w:p>
        </w:tc>
        <w:tc>
          <w:tcPr>
            <w:tcW w:w="1985" w:type="dxa"/>
            <w:noWrap/>
            <w:vAlign w:val="center"/>
          </w:tcPr>
          <w:p w14:paraId="264B03D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ign w:val="center"/>
          </w:tcPr>
          <w:p w14:paraId="50A45FD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ign w:val="center"/>
          </w:tcPr>
          <w:p w14:paraId="18A18646">
            <w:pPr>
              <w:adjustRightInd w:val="0"/>
              <w:snapToGrid w:val="0"/>
              <w:spacing w:before="50" w:line="360" w:lineRule="auto"/>
              <w:ind w:left="-88" w:leftChars="-42"/>
              <w:jc w:val="center"/>
              <w:rPr>
                <w:rFonts w:ascii="宋体" w:hAnsi="宋体"/>
                <w:szCs w:val="21"/>
              </w:rPr>
            </w:pPr>
          </w:p>
        </w:tc>
      </w:tr>
      <w:tr w14:paraId="6BBBE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16205602">
            <w:pPr>
              <w:adjustRightInd w:val="0"/>
              <w:snapToGrid w:val="0"/>
              <w:spacing w:before="50" w:line="360" w:lineRule="auto"/>
              <w:ind w:left="-88" w:leftChars="-42"/>
              <w:jc w:val="center"/>
              <w:rPr>
                <w:rFonts w:ascii="宋体" w:hAnsi="宋体"/>
                <w:szCs w:val="21"/>
              </w:rPr>
            </w:pPr>
          </w:p>
        </w:tc>
        <w:tc>
          <w:tcPr>
            <w:tcW w:w="2410" w:type="dxa"/>
            <w:noWrap/>
            <w:vAlign w:val="center"/>
          </w:tcPr>
          <w:p w14:paraId="14099B1C">
            <w:pPr>
              <w:adjustRightInd w:val="0"/>
              <w:snapToGrid w:val="0"/>
              <w:spacing w:before="50" w:line="360" w:lineRule="auto"/>
              <w:ind w:left="-88" w:leftChars="-42"/>
              <w:jc w:val="center"/>
              <w:rPr>
                <w:rFonts w:ascii="宋体" w:hAnsi="宋体"/>
                <w:szCs w:val="21"/>
              </w:rPr>
            </w:pPr>
          </w:p>
        </w:tc>
        <w:tc>
          <w:tcPr>
            <w:tcW w:w="1985" w:type="dxa"/>
            <w:noWrap/>
            <w:vAlign w:val="center"/>
          </w:tcPr>
          <w:p w14:paraId="4BA83873">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ign w:val="center"/>
          </w:tcPr>
          <w:p w14:paraId="3B342423">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ign w:val="center"/>
          </w:tcPr>
          <w:p w14:paraId="3692B546">
            <w:pPr>
              <w:adjustRightInd w:val="0"/>
              <w:snapToGrid w:val="0"/>
              <w:spacing w:before="50" w:line="360" w:lineRule="auto"/>
              <w:ind w:left="-88" w:leftChars="-42"/>
              <w:jc w:val="center"/>
              <w:rPr>
                <w:rFonts w:ascii="宋体" w:hAnsi="宋体"/>
                <w:szCs w:val="21"/>
              </w:rPr>
            </w:pPr>
          </w:p>
        </w:tc>
      </w:tr>
      <w:tr w14:paraId="6349B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235E1460">
            <w:pPr>
              <w:adjustRightInd w:val="0"/>
              <w:snapToGrid w:val="0"/>
              <w:spacing w:before="50" w:line="360" w:lineRule="auto"/>
              <w:ind w:left="-88" w:leftChars="-42"/>
              <w:jc w:val="center"/>
              <w:rPr>
                <w:rFonts w:ascii="宋体" w:hAnsi="宋体"/>
                <w:szCs w:val="21"/>
              </w:rPr>
            </w:pPr>
          </w:p>
        </w:tc>
        <w:tc>
          <w:tcPr>
            <w:tcW w:w="2410" w:type="dxa"/>
            <w:noWrap/>
            <w:vAlign w:val="center"/>
          </w:tcPr>
          <w:p w14:paraId="5DF221C9">
            <w:pPr>
              <w:adjustRightInd w:val="0"/>
              <w:snapToGrid w:val="0"/>
              <w:spacing w:before="50" w:line="360" w:lineRule="auto"/>
              <w:ind w:left="-88" w:leftChars="-42"/>
              <w:jc w:val="center"/>
              <w:rPr>
                <w:rFonts w:ascii="宋体" w:hAnsi="宋体"/>
                <w:szCs w:val="21"/>
              </w:rPr>
            </w:pPr>
          </w:p>
        </w:tc>
        <w:tc>
          <w:tcPr>
            <w:tcW w:w="1985" w:type="dxa"/>
            <w:noWrap/>
            <w:vAlign w:val="center"/>
          </w:tcPr>
          <w:p w14:paraId="5E63DFAD">
            <w:pPr>
              <w:adjustRightInd w:val="0"/>
              <w:snapToGrid w:val="0"/>
              <w:spacing w:before="50" w:line="360" w:lineRule="auto"/>
              <w:ind w:left="-88" w:leftChars="-42"/>
              <w:jc w:val="center"/>
              <w:rPr>
                <w:rFonts w:ascii="宋体" w:hAnsi="宋体"/>
                <w:szCs w:val="21"/>
              </w:rPr>
            </w:pPr>
          </w:p>
        </w:tc>
        <w:tc>
          <w:tcPr>
            <w:tcW w:w="4024" w:type="dxa"/>
            <w:gridSpan w:val="2"/>
            <w:noWrap/>
            <w:vAlign w:val="center"/>
          </w:tcPr>
          <w:p w14:paraId="61C003B6">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投标人保证：除本合同条款偏离表列出的偏离外，我单位对招标文件的其他商务、合同条款完全响应，无偏离。</w:t>
            </w:r>
          </w:p>
        </w:tc>
      </w:tr>
    </w:tbl>
    <w:p w14:paraId="152436A2">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：（1）投标人应根据招标文件第六章</w:t>
      </w:r>
      <w:r>
        <w:rPr>
          <w:rFonts w:hint="eastAsia" w:ascii="华文宋体" w:hAnsi="华文宋体" w:eastAsia="华文宋体"/>
          <w:szCs w:val="21"/>
        </w:rPr>
        <w:t>“</w:t>
      </w:r>
      <w:r>
        <w:rPr>
          <w:rFonts w:hint="eastAsia" w:ascii="宋体" w:hAnsi="宋体"/>
          <w:szCs w:val="21"/>
        </w:rPr>
        <w:t>政府采购合同</w:t>
      </w:r>
      <w:r>
        <w:rPr>
          <w:rFonts w:hint="eastAsia" w:ascii="华文宋体" w:hAnsi="华文宋体" w:eastAsia="华文宋体"/>
          <w:szCs w:val="21"/>
        </w:rPr>
        <w:t>”</w:t>
      </w:r>
      <w:r>
        <w:rPr>
          <w:rFonts w:hint="eastAsia" w:ascii="宋体" w:hAnsi="宋体"/>
          <w:szCs w:val="21"/>
        </w:rPr>
        <w:t>填写本表；</w:t>
      </w:r>
    </w:p>
    <w:p w14:paraId="739CA4F5">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投标人如果对招标文件第六章“政府采购合同”的响应有偏离，应将偏离条款逐条如实应答，并作出说明；</w:t>
      </w:r>
    </w:p>
    <w:p w14:paraId="054AC776">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（3）如不提供此表，则视为投标人不满足招标文件第六章的所有条款要求，其</w:t>
      </w:r>
      <w:r>
        <w:rPr>
          <w:rFonts w:hint="eastAsia" w:ascii="宋体" w:hAnsi="宋体"/>
          <w:b/>
          <w:szCs w:val="21"/>
        </w:rPr>
        <w:t>投标无效</w:t>
      </w:r>
      <w:r>
        <w:rPr>
          <w:rFonts w:hint="eastAsia" w:ascii="宋体" w:hAnsi="宋体"/>
          <w:szCs w:val="21"/>
        </w:rPr>
        <w:t>。</w:t>
      </w:r>
    </w:p>
    <w:p w14:paraId="133D3E53">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506C71B">
      <w:pPr>
        <w:adjustRightInd w:val="0"/>
        <w:snapToGrid w:val="0"/>
        <w:spacing w:before="50" w:line="360" w:lineRule="auto"/>
        <w:rPr>
          <w:rFonts w:ascii="宋体" w:hAnsi="宋体"/>
          <w:szCs w:val="21"/>
        </w:rPr>
      </w:pPr>
    </w:p>
    <w:p w14:paraId="47BDE6D1">
      <w:pPr>
        <w:adjustRightInd w:val="0"/>
        <w:snapToGrid w:val="0"/>
        <w:spacing w:before="50" w:line="360" w:lineRule="auto"/>
        <w:rPr>
          <w:rFonts w:ascii="宋体" w:hAnsi="宋体"/>
          <w:szCs w:val="21"/>
        </w:rPr>
      </w:pPr>
    </w:p>
    <w:p w14:paraId="4D6AE525">
      <w:pPr>
        <w:adjustRightInd w:val="0"/>
        <w:snapToGrid w:val="0"/>
        <w:spacing w:before="50" w:line="360" w:lineRule="auto"/>
        <w:rPr>
          <w:rFonts w:ascii="宋体" w:hAnsi="宋体"/>
          <w:szCs w:val="21"/>
        </w:rPr>
      </w:pPr>
      <w:r>
        <w:rPr>
          <w:rFonts w:hint="eastAsia" w:ascii="宋体" w:hAnsi="宋体"/>
          <w:szCs w:val="21"/>
        </w:rPr>
        <w:t>投标人名称（盖单位章）：</w:t>
      </w:r>
    </w:p>
    <w:p w14:paraId="071F8BB4">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6E930D3A">
      <w:pPr>
        <w:pStyle w:val="38"/>
        <w:ind w:firstLine="200"/>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2D369FFB">
      <w:pPr>
        <w:pStyle w:val="38"/>
        <w:ind w:firstLine="200"/>
        <w:rPr>
          <w:rFonts w:ascii="宋体" w:hAnsi="宋体"/>
          <w:szCs w:val="21"/>
        </w:rPr>
      </w:pPr>
    </w:p>
    <w:p w14:paraId="5EA8F31D">
      <w:pPr>
        <w:pStyle w:val="38"/>
        <w:ind w:firstLine="200"/>
        <w:rPr>
          <w:rFonts w:ascii="宋体" w:hAnsi="宋体"/>
          <w:szCs w:val="21"/>
        </w:rPr>
      </w:pPr>
    </w:p>
    <w:p w14:paraId="3B3DF787">
      <w:pPr>
        <w:pStyle w:val="38"/>
        <w:ind w:firstLine="200"/>
        <w:rPr>
          <w:rFonts w:ascii="宋体" w:hAnsi="宋体"/>
          <w:szCs w:val="21"/>
        </w:rPr>
      </w:pPr>
    </w:p>
    <w:p w14:paraId="6970C89C">
      <w:pPr>
        <w:pStyle w:val="38"/>
        <w:ind w:firstLine="200"/>
        <w:rPr>
          <w:rFonts w:ascii="宋体" w:hAnsi="宋体"/>
          <w:szCs w:val="21"/>
        </w:rPr>
      </w:pPr>
    </w:p>
    <w:p w14:paraId="1E6015BD">
      <w:pPr>
        <w:pStyle w:val="4"/>
        <w:adjustRightInd w:val="0"/>
        <w:snapToGrid w:val="0"/>
        <w:spacing w:beforeLines="50" w:after="0" w:line="360" w:lineRule="auto"/>
        <w:jc w:val="center"/>
        <w:rPr>
          <w:rFonts w:ascii="黑体" w:hAnsi="宋体" w:eastAsia="黑体"/>
          <w:sz w:val="28"/>
          <w:szCs w:val="28"/>
        </w:rPr>
      </w:pPr>
      <w:bookmarkStart w:id="147" w:name="_Toc20651263"/>
      <w:r>
        <w:rPr>
          <w:rFonts w:hint="eastAsia" w:ascii="黑体" w:hAnsi="宋体" w:eastAsia="黑体"/>
          <w:sz w:val="28"/>
          <w:szCs w:val="28"/>
        </w:rPr>
        <w:t>九、采购需求技术偏离表</w:t>
      </w:r>
      <w:bookmarkEnd w:id="147"/>
    </w:p>
    <w:p w14:paraId="15ADF764">
      <w:pPr>
        <w:adjustRightInd w:val="0"/>
        <w:snapToGrid w:val="0"/>
        <w:spacing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572DB0A9">
      <w:pPr>
        <w:adjustRightInd w:val="0"/>
        <w:snapToGrid w:val="0"/>
        <w:spacing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0"/>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7405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ign w:val="center"/>
          </w:tcPr>
          <w:p w14:paraId="3FDEF58C">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noWrap/>
            <w:vAlign w:val="center"/>
          </w:tcPr>
          <w:p w14:paraId="10E5083E">
            <w:pPr>
              <w:adjustRightInd w:val="0"/>
              <w:snapToGrid w:val="0"/>
              <w:spacing w:before="50" w:line="360" w:lineRule="auto"/>
              <w:ind w:left="-88" w:leftChars="-42"/>
              <w:jc w:val="center"/>
              <w:rPr>
                <w:rFonts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noWrap/>
          </w:tcPr>
          <w:p w14:paraId="66EBA257">
            <w:pPr>
              <w:adjustRightInd w:val="0"/>
              <w:snapToGrid w:val="0"/>
              <w:spacing w:before="50" w:line="360" w:lineRule="auto"/>
              <w:jc w:val="center"/>
            </w:pPr>
            <w:r>
              <w:rPr>
                <w:rFonts w:hint="eastAsia"/>
              </w:rPr>
              <w:t>招标文件要求</w:t>
            </w:r>
          </w:p>
        </w:tc>
        <w:tc>
          <w:tcPr>
            <w:tcW w:w="2126" w:type="dxa"/>
            <w:tcBorders>
              <w:left w:val="single" w:color="auto" w:sz="4" w:space="0"/>
            </w:tcBorders>
            <w:noWrap/>
          </w:tcPr>
          <w:p w14:paraId="14D607A1">
            <w:pPr>
              <w:adjustRightInd w:val="0"/>
              <w:snapToGrid w:val="0"/>
              <w:spacing w:before="50" w:line="360" w:lineRule="auto"/>
              <w:jc w:val="center"/>
            </w:pPr>
            <w:r>
              <w:rPr>
                <w:rFonts w:hint="eastAsia"/>
              </w:rPr>
              <w:t>投标文件应答</w:t>
            </w:r>
          </w:p>
        </w:tc>
        <w:tc>
          <w:tcPr>
            <w:tcW w:w="1756" w:type="dxa"/>
            <w:noWrap/>
            <w:vAlign w:val="center"/>
          </w:tcPr>
          <w:p w14:paraId="7B2B4864">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94A72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ign w:val="center"/>
          </w:tcPr>
          <w:p w14:paraId="77FB010E">
            <w:pPr>
              <w:adjustRightInd w:val="0"/>
              <w:snapToGrid w:val="0"/>
              <w:spacing w:before="50" w:line="360" w:lineRule="auto"/>
              <w:ind w:left="-88" w:leftChars="-42"/>
              <w:jc w:val="center"/>
              <w:rPr>
                <w:rFonts w:ascii="宋体" w:hAnsi="宋体"/>
                <w:szCs w:val="21"/>
              </w:rPr>
            </w:pPr>
          </w:p>
        </w:tc>
        <w:tc>
          <w:tcPr>
            <w:tcW w:w="2410" w:type="dxa"/>
            <w:noWrap/>
            <w:vAlign w:val="center"/>
          </w:tcPr>
          <w:p w14:paraId="074B4A7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ign w:val="center"/>
          </w:tcPr>
          <w:p w14:paraId="5BDFB9F4">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ign w:val="center"/>
          </w:tcPr>
          <w:p w14:paraId="4B7BCBA2">
            <w:pPr>
              <w:adjustRightInd w:val="0"/>
              <w:snapToGrid w:val="0"/>
              <w:spacing w:before="50" w:line="360" w:lineRule="auto"/>
              <w:ind w:left="-88" w:leftChars="-42"/>
              <w:jc w:val="center"/>
              <w:rPr>
                <w:rFonts w:ascii="宋体" w:hAnsi="宋体"/>
                <w:szCs w:val="21"/>
              </w:rPr>
            </w:pPr>
          </w:p>
        </w:tc>
        <w:tc>
          <w:tcPr>
            <w:tcW w:w="1756" w:type="dxa"/>
            <w:noWrap/>
            <w:vAlign w:val="center"/>
          </w:tcPr>
          <w:p w14:paraId="41F648B5">
            <w:pPr>
              <w:adjustRightInd w:val="0"/>
              <w:snapToGrid w:val="0"/>
              <w:spacing w:before="50" w:line="360" w:lineRule="auto"/>
              <w:ind w:left="-88" w:leftChars="-42"/>
              <w:jc w:val="center"/>
              <w:rPr>
                <w:rFonts w:ascii="宋体" w:hAnsi="宋体"/>
                <w:szCs w:val="21"/>
              </w:rPr>
            </w:pPr>
          </w:p>
        </w:tc>
      </w:tr>
      <w:tr w14:paraId="0068D0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ign w:val="center"/>
          </w:tcPr>
          <w:p w14:paraId="0B390211">
            <w:pPr>
              <w:adjustRightInd w:val="0"/>
              <w:snapToGrid w:val="0"/>
              <w:spacing w:before="50" w:line="360" w:lineRule="auto"/>
              <w:ind w:left="-88" w:leftChars="-42"/>
              <w:jc w:val="center"/>
              <w:rPr>
                <w:rFonts w:ascii="宋体" w:hAnsi="宋体"/>
                <w:szCs w:val="21"/>
              </w:rPr>
            </w:pPr>
          </w:p>
        </w:tc>
        <w:tc>
          <w:tcPr>
            <w:tcW w:w="2410" w:type="dxa"/>
            <w:noWrap/>
            <w:vAlign w:val="center"/>
          </w:tcPr>
          <w:p w14:paraId="72DB88FC">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ign w:val="center"/>
          </w:tcPr>
          <w:p w14:paraId="4D46D19D">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ign w:val="center"/>
          </w:tcPr>
          <w:p w14:paraId="5E7EE7DF">
            <w:pPr>
              <w:adjustRightInd w:val="0"/>
              <w:snapToGrid w:val="0"/>
              <w:spacing w:before="50" w:line="360" w:lineRule="auto"/>
              <w:ind w:left="-88" w:leftChars="-42"/>
              <w:jc w:val="center"/>
              <w:rPr>
                <w:rFonts w:ascii="宋体" w:hAnsi="宋体"/>
                <w:szCs w:val="21"/>
              </w:rPr>
            </w:pPr>
          </w:p>
        </w:tc>
        <w:tc>
          <w:tcPr>
            <w:tcW w:w="1756" w:type="dxa"/>
            <w:noWrap/>
            <w:vAlign w:val="center"/>
          </w:tcPr>
          <w:p w14:paraId="7CC449EB">
            <w:pPr>
              <w:adjustRightInd w:val="0"/>
              <w:snapToGrid w:val="0"/>
              <w:spacing w:before="50" w:line="360" w:lineRule="auto"/>
              <w:ind w:left="-88" w:leftChars="-42"/>
              <w:jc w:val="center"/>
              <w:rPr>
                <w:rFonts w:ascii="宋体" w:hAnsi="宋体"/>
                <w:szCs w:val="21"/>
              </w:rPr>
            </w:pPr>
          </w:p>
        </w:tc>
      </w:tr>
      <w:tr w14:paraId="35794B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ign w:val="center"/>
          </w:tcPr>
          <w:p w14:paraId="121378B4">
            <w:pPr>
              <w:adjustRightInd w:val="0"/>
              <w:snapToGrid w:val="0"/>
              <w:spacing w:before="50" w:line="360" w:lineRule="auto"/>
              <w:ind w:left="-88" w:leftChars="-42"/>
              <w:jc w:val="center"/>
              <w:rPr>
                <w:rFonts w:ascii="宋体" w:hAnsi="宋体"/>
                <w:szCs w:val="21"/>
              </w:rPr>
            </w:pPr>
          </w:p>
        </w:tc>
        <w:tc>
          <w:tcPr>
            <w:tcW w:w="2410" w:type="dxa"/>
            <w:noWrap/>
            <w:vAlign w:val="center"/>
          </w:tcPr>
          <w:p w14:paraId="274FFE7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ign w:val="center"/>
          </w:tcPr>
          <w:p w14:paraId="714BF604">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ign w:val="center"/>
          </w:tcPr>
          <w:p w14:paraId="2CA3ED6C">
            <w:pPr>
              <w:adjustRightInd w:val="0"/>
              <w:snapToGrid w:val="0"/>
              <w:spacing w:before="50" w:line="360" w:lineRule="auto"/>
              <w:ind w:left="-88" w:leftChars="-42"/>
              <w:jc w:val="center"/>
              <w:rPr>
                <w:rFonts w:ascii="宋体" w:hAnsi="宋体"/>
                <w:szCs w:val="21"/>
              </w:rPr>
            </w:pPr>
          </w:p>
        </w:tc>
        <w:tc>
          <w:tcPr>
            <w:tcW w:w="1756" w:type="dxa"/>
            <w:noWrap/>
            <w:vAlign w:val="center"/>
          </w:tcPr>
          <w:p w14:paraId="1BF64F00">
            <w:pPr>
              <w:adjustRightInd w:val="0"/>
              <w:snapToGrid w:val="0"/>
              <w:spacing w:before="50" w:line="360" w:lineRule="auto"/>
              <w:ind w:left="-88" w:leftChars="-42"/>
              <w:jc w:val="center"/>
              <w:rPr>
                <w:rFonts w:ascii="宋体" w:hAnsi="宋体"/>
                <w:szCs w:val="21"/>
              </w:rPr>
            </w:pPr>
          </w:p>
        </w:tc>
      </w:tr>
      <w:tr w14:paraId="2495FC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ign w:val="center"/>
          </w:tcPr>
          <w:p w14:paraId="7F4E8CA3">
            <w:pPr>
              <w:adjustRightInd w:val="0"/>
              <w:snapToGrid w:val="0"/>
              <w:spacing w:before="50" w:line="360" w:lineRule="auto"/>
              <w:ind w:left="-88" w:leftChars="-42"/>
              <w:jc w:val="center"/>
              <w:rPr>
                <w:rFonts w:ascii="宋体" w:hAnsi="宋体"/>
                <w:szCs w:val="21"/>
              </w:rPr>
            </w:pPr>
          </w:p>
        </w:tc>
        <w:tc>
          <w:tcPr>
            <w:tcW w:w="2410" w:type="dxa"/>
            <w:noWrap/>
            <w:vAlign w:val="center"/>
          </w:tcPr>
          <w:p w14:paraId="11608D4E">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ign w:val="center"/>
          </w:tcPr>
          <w:p w14:paraId="6570DF6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ign w:val="center"/>
          </w:tcPr>
          <w:p w14:paraId="291B6941">
            <w:pPr>
              <w:adjustRightInd w:val="0"/>
              <w:snapToGrid w:val="0"/>
              <w:spacing w:before="50" w:line="360" w:lineRule="auto"/>
              <w:ind w:left="-88" w:leftChars="-42"/>
              <w:jc w:val="center"/>
              <w:rPr>
                <w:rFonts w:ascii="宋体" w:hAnsi="宋体"/>
                <w:szCs w:val="21"/>
              </w:rPr>
            </w:pPr>
          </w:p>
        </w:tc>
        <w:tc>
          <w:tcPr>
            <w:tcW w:w="1756" w:type="dxa"/>
            <w:noWrap/>
            <w:vAlign w:val="center"/>
          </w:tcPr>
          <w:p w14:paraId="4B566F04">
            <w:pPr>
              <w:adjustRightInd w:val="0"/>
              <w:snapToGrid w:val="0"/>
              <w:spacing w:before="50" w:line="360" w:lineRule="auto"/>
              <w:ind w:left="-88" w:leftChars="-42"/>
              <w:jc w:val="center"/>
              <w:rPr>
                <w:rFonts w:ascii="宋体" w:hAnsi="宋体"/>
                <w:szCs w:val="21"/>
              </w:rPr>
            </w:pPr>
          </w:p>
        </w:tc>
      </w:tr>
      <w:tr w14:paraId="47A7CE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ign w:val="center"/>
          </w:tcPr>
          <w:p w14:paraId="75334442">
            <w:pPr>
              <w:adjustRightInd w:val="0"/>
              <w:snapToGrid w:val="0"/>
              <w:spacing w:before="50" w:line="360" w:lineRule="auto"/>
              <w:ind w:left="-88" w:leftChars="-42"/>
              <w:jc w:val="center"/>
              <w:rPr>
                <w:rFonts w:ascii="宋体" w:hAnsi="宋体"/>
                <w:szCs w:val="21"/>
              </w:rPr>
            </w:pPr>
          </w:p>
        </w:tc>
        <w:tc>
          <w:tcPr>
            <w:tcW w:w="2410" w:type="dxa"/>
            <w:noWrap/>
            <w:vAlign w:val="center"/>
          </w:tcPr>
          <w:p w14:paraId="7B5648E4">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ign w:val="center"/>
          </w:tcPr>
          <w:p w14:paraId="73F58B18">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ign w:val="center"/>
          </w:tcPr>
          <w:p w14:paraId="5F1F5BE8">
            <w:pPr>
              <w:adjustRightInd w:val="0"/>
              <w:snapToGrid w:val="0"/>
              <w:spacing w:before="50" w:line="360" w:lineRule="auto"/>
              <w:ind w:left="-88" w:leftChars="-42"/>
              <w:jc w:val="center"/>
              <w:rPr>
                <w:rFonts w:ascii="宋体" w:hAnsi="宋体"/>
                <w:szCs w:val="21"/>
              </w:rPr>
            </w:pPr>
          </w:p>
        </w:tc>
        <w:tc>
          <w:tcPr>
            <w:tcW w:w="1756" w:type="dxa"/>
            <w:noWrap/>
            <w:vAlign w:val="center"/>
          </w:tcPr>
          <w:p w14:paraId="5BC9A3B5">
            <w:pPr>
              <w:adjustRightInd w:val="0"/>
              <w:snapToGrid w:val="0"/>
              <w:spacing w:before="50" w:line="360" w:lineRule="auto"/>
              <w:ind w:left="-88" w:leftChars="-42"/>
              <w:jc w:val="center"/>
              <w:rPr>
                <w:rFonts w:ascii="宋体" w:hAnsi="宋体"/>
                <w:szCs w:val="21"/>
              </w:rPr>
            </w:pPr>
          </w:p>
        </w:tc>
      </w:tr>
      <w:tr w14:paraId="666AD4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ign w:val="center"/>
          </w:tcPr>
          <w:p w14:paraId="05E13D28">
            <w:pPr>
              <w:adjustRightInd w:val="0"/>
              <w:snapToGrid w:val="0"/>
              <w:spacing w:before="50" w:line="360" w:lineRule="auto"/>
              <w:ind w:left="-88" w:leftChars="-42"/>
              <w:jc w:val="center"/>
              <w:rPr>
                <w:rFonts w:ascii="宋体" w:hAnsi="宋体"/>
                <w:szCs w:val="21"/>
              </w:rPr>
            </w:pPr>
          </w:p>
        </w:tc>
        <w:tc>
          <w:tcPr>
            <w:tcW w:w="2410" w:type="dxa"/>
            <w:noWrap/>
            <w:vAlign w:val="center"/>
          </w:tcPr>
          <w:p w14:paraId="32DC5AE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ign w:val="center"/>
          </w:tcPr>
          <w:p w14:paraId="01A60A7C">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noWrap/>
            <w:vAlign w:val="center"/>
          </w:tcPr>
          <w:p w14:paraId="2671C43C">
            <w:pPr>
              <w:adjustRightInd w:val="0"/>
              <w:snapToGrid w:val="0"/>
              <w:spacing w:before="50" w:line="360" w:lineRule="auto"/>
              <w:ind w:firstLine="422" w:firstLineChars="200"/>
              <w:rPr>
                <w:rFonts w:ascii="宋体" w:hAnsi="宋体"/>
                <w:szCs w:val="21"/>
              </w:rPr>
            </w:pPr>
            <w:r>
              <w:rPr>
                <w:rFonts w:hint="eastAsia" w:ascii="宋体" w:hAnsi="宋体"/>
                <w:b/>
                <w:szCs w:val="21"/>
              </w:rPr>
              <w:t>投标人保证：除本采购需求偏离表列出的偏离外，我单位对招标文件的其他采购需求条款完全响应，无偏离。</w:t>
            </w:r>
          </w:p>
        </w:tc>
      </w:tr>
    </w:tbl>
    <w:p w14:paraId="045AAB9E">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：（1）投标人应根据招标文件第五章“采购需求”填写本表；</w:t>
      </w:r>
    </w:p>
    <w:p w14:paraId="3EF17F82">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投标人如果对招标文件第五章“采购需求”的响应有偏离，应将偏离条款逐条如实应答，并作出说明；</w:t>
      </w:r>
    </w:p>
    <w:p w14:paraId="504BDBFF">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（3）如不提供此表，则视为投标人不满足招标文件第五章的所有条款要求，其</w:t>
      </w:r>
      <w:r>
        <w:rPr>
          <w:rFonts w:hint="eastAsia" w:ascii="宋体" w:hAnsi="宋体"/>
          <w:b/>
          <w:szCs w:val="21"/>
        </w:rPr>
        <w:t>投标无效</w:t>
      </w:r>
      <w:r>
        <w:rPr>
          <w:rFonts w:hint="eastAsia" w:ascii="宋体" w:hAnsi="宋体"/>
          <w:szCs w:val="21"/>
        </w:rPr>
        <w:t>。</w:t>
      </w:r>
    </w:p>
    <w:p w14:paraId="05380AAB">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ED275EC">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（5）本表偏离表与本章第七节“采购需求响应”不一致时，以“采购需求响应”为准。</w:t>
      </w:r>
    </w:p>
    <w:p w14:paraId="54995213">
      <w:pPr>
        <w:adjustRightInd w:val="0"/>
        <w:snapToGrid w:val="0"/>
        <w:spacing w:before="50" w:line="360" w:lineRule="auto"/>
        <w:rPr>
          <w:rFonts w:ascii="宋体" w:hAnsi="宋体"/>
          <w:szCs w:val="21"/>
        </w:rPr>
      </w:pPr>
    </w:p>
    <w:p w14:paraId="598D5CFC">
      <w:pPr>
        <w:adjustRightInd w:val="0"/>
        <w:snapToGrid w:val="0"/>
        <w:spacing w:before="50" w:line="360" w:lineRule="auto"/>
        <w:rPr>
          <w:rFonts w:ascii="宋体" w:hAnsi="宋体"/>
          <w:szCs w:val="21"/>
        </w:rPr>
      </w:pPr>
    </w:p>
    <w:p w14:paraId="402A86DC">
      <w:pPr>
        <w:adjustRightInd w:val="0"/>
        <w:snapToGrid w:val="0"/>
        <w:spacing w:before="50" w:line="360" w:lineRule="auto"/>
        <w:rPr>
          <w:rFonts w:ascii="宋体" w:hAnsi="宋体"/>
          <w:szCs w:val="21"/>
        </w:rPr>
      </w:pPr>
      <w:r>
        <w:rPr>
          <w:rFonts w:hint="eastAsia" w:ascii="宋体" w:hAnsi="宋体"/>
          <w:szCs w:val="21"/>
        </w:rPr>
        <w:t>投标人名称（盖单位章）：</w:t>
      </w:r>
    </w:p>
    <w:p w14:paraId="27721F32">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EFDEEDC">
      <w:pPr>
        <w:pStyle w:val="38"/>
        <w:ind w:firstLine="200"/>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5590BC1E">
      <w:pPr>
        <w:pStyle w:val="38"/>
        <w:ind w:firstLine="200"/>
        <w:rPr>
          <w:rFonts w:ascii="宋体" w:hAnsi="宋体"/>
          <w:szCs w:val="21"/>
        </w:rPr>
      </w:pPr>
      <w:r>
        <w:rPr>
          <w:rFonts w:hint="eastAsia" w:ascii="宋体" w:hAnsi="宋体"/>
          <w:szCs w:val="21"/>
        </w:rPr>
        <w:br w:type="page"/>
      </w:r>
    </w:p>
    <w:p w14:paraId="7690FEA4">
      <w:pPr>
        <w:pStyle w:val="4"/>
        <w:adjustRightInd w:val="0"/>
        <w:snapToGrid w:val="0"/>
        <w:spacing w:before="0" w:after="0" w:line="360" w:lineRule="auto"/>
        <w:jc w:val="center"/>
        <w:rPr>
          <w:rFonts w:hint="eastAsia" w:ascii="黑体" w:hAnsi="黑体" w:eastAsia="黑体" w:cs="黑体"/>
          <w:sz w:val="28"/>
          <w:szCs w:val="28"/>
        </w:rPr>
      </w:pPr>
      <w:bookmarkStart w:id="148" w:name="_Toc20651264"/>
      <w:r>
        <w:rPr>
          <w:rFonts w:hint="eastAsia" w:ascii="黑体" w:hAnsi="黑体" w:eastAsia="黑体" w:cs="黑体"/>
          <w:sz w:val="28"/>
          <w:szCs w:val="28"/>
        </w:rPr>
        <w:t>十、享受政府采购政策优惠的证明资料</w:t>
      </w:r>
      <w:bookmarkEnd w:id="148"/>
    </w:p>
    <w:p w14:paraId="1EE56BB2">
      <w:pPr>
        <w:adjustRightInd w:val="0"/>
        <w:snapToGrid w:val="0"/>
        <w:spacing w:line="360" w:lineRule="auto"/>
        <w:rPr>
          <w:rFonts w:ascii="黑体" w:hAnsi="华文中宋" w:eastAsia="黑体" w:cs="宋体"/>
          <w:bCs/>
          <w:spacing w:val="6"/>
          <w:kern w:val="0"/>
          <w:szCs w:val="21"/>
        </w:rPr>
      </w:pPr>
    </w:p>
    <w:p w14:paraId="459754ED">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投标人符合第二章第33.1款要求的，应提供下列证明资料，并填写相关数据。否则，评审时不予以考虑。</w:t>
      </w:r>
    </w:p>
    <w:p w14:paraId="493A0A92">
      <w:pPr>
        <w:adjustRightInd w:val="0"/>
        <w:snapToGrid w:val="0"/>
        <w:spacing w:line="360" w:lineRule="auto"/>
        <w:rPr>
          <w:rFonts w:ascii="黑体" w:hAnsi="华文中宋" w:eastAsia="黑体" w:cs="宋体"/>
          <w:bCs/>
          <w:spacing w:val="6"/>
          <w:kern w:val="0"/>
          <w:szCs w:val="21"/>
        </w:rPr>
      </w:pPr>
    </w:p>
    <w:p w14:paraId="6E3C733A">
      <w:pPr>
        <w:pStyle w:val="5"/>
        <w:rPr>
          <w:rFonts w:ascii="黑体" w:hAnsi="华文中宋" w:cs="宋体"/>
          <w:b w:val="0"/>
          <w:bCs w:val="0"/>
          <w:spacing w:val="6"/>
          <w:sz w:val="21"/>
          <w:szCs w:val="21"/>
        </w:rPr>
      </w:pPr>
      <w:bookmarkStart w:id="149" w:name="_Toc20651265"/>
      <w:r>
        <w:rPr>
          <w:rFonts w:hint="eastAsia" w:ascii="黑体" w:hAnsi="华文中宋" w:cs="宋体"/>
          <w:b w:val="0"/>
          <w:bCs w:val="0"/>
          <w:spacing w:val="6"/>
          <w:sz w:val="21"/>
          <w:szCs w:val="21"/>
        </w:rPr>
        <w:t>附件10-1中小企业声明函</w:t>
      </w:r>
      <w:bookmarkEnd w:id="149"/>
    </w:p>
    <w:p w14:paraId="7B03FA77">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147C39B3">
      <w:pPr>
        <w:widowControl/>
        <w:adjustRightInd w:val="0"/>
        <w:snapToGrid w:val="0"/>
        <w:spacing w:line="360" w:lineRule="auto"/>
        <w:jc w:val="center"/>
        <w:rPr>
          <w:rFonts w:ascii="宋体" w:hAnsi="宋体" w:cs="宋体"/>
          <w:color w:val="auto"/>
          <w:kern w:val="0"/>
          <w:szCs w:val="21"/>
          <w:highlight w:val="none"/>
          <w:lang w:bidi="ar"/>
        </w:rPr>
      </w:pPr>
      <w:r>
        <w:rPr>
          <w:rFonts w:hint="eastAsia" w:ascii="宋体" w:hAnsi="宋体" w:cs="宋体"/>
          <w:b/>
          <w:color w:val="auto"/>
          <w:spacing w:val="6"/>
          <w:kern w:val="0"/>
          <w:szCs w:val="21"/>
          <w:highlight w:val="none"/>
        </w:rPr>
        <w:t>(不满足以下条件的无需填写)</w:t>
      </w:r>
    </w:p>
    <w:p w14:paraId="77BAD8FC">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Cs w:val="21"/>
          <w:highlight w:val="none"/>
          <w:u w:val="single"/>
          <w:lang w:bidi="ar"/>
        </w:rPr>
        <w:t>（单位名称）</w:t>
      </w:r>
      <w:r>
        <w:rPr>
          <w:rFonts w:hint="eastAsia" w:ascii="宋体" w:hAnsi="宋体" w:cs="宋体"/>
          <w:color w:val="auto"/>
          <w:kern w:val="0"/>
          <w:szCs w:val="21"/>
          <w:highlight w:val="none"/>
          <w:lang w:bidi="ar"/>
        </w:rPr>
        <w:t>的</w:t>
      </w:r>
      <w:r>
        <w:rPr>
          <w:rFonts w:hint="eastAsia" w:ascii="宋体" w:hAnsi="宋体" w:cs="宋体"/>
          <w:color w:val="auto"/>
          <w:kern w:val="0"/>
          <w:szCs w:val="21"/>
          <w:highlight w:val="none"/>
          <w:u w:val="single"/>
          <w:lang w:bidi="ar"/>
        </w:rPr>
        <w:t>（项目名称）</w:t>
      </w:r>
      <w:r>
        <w:rPr>
          <w:rFonts w:hint="eastAsia" w:ascii="宋体" w:hAnsi="宋体" w:cs="宋体"/>
          <w:color w:val="auto"/>
          <w:kern w:val="0"/>
          <w:szCs w:val="21"/>
          <w:highlight w:val="none"/>
          <w:lang w:bidi="ar"/>
        </w:rPr>
        <w:t xml:space="preserve">采购活动，提供的货物全部由符合政策要求的中小企业制造。相关企业（含联合体中的中小企业、签订分包意向协议的中小企业）的具体情况如下： </w:t>
      </w:r>
    </w:p>
    <w:p w14:paraId="10E61A4F">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1.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12B5DB95">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2.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64DA7DC4">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w:t>
      </w:r>
    </w:p>
    <w:p w14:paraId="1DE1AF1A">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6876DA86">
      <w:pPr>
        <w:widowControl/>
        <w:adjustRightInd w:val="0"/>
        <w:snapToGrid w:val="0"/>
        <w:spacing w:line="360" w:lineRule="auto"/>
        <w:ind w:firstLine="420" w:firstLineChars="200"/>
        <w:jc w:val="left"/>
        <w:rPr>
          <w:rFonts w:ascii="宋体" w:hAnsi="宋体" w:cs="宋体"/>
          <w:color w:val="auto"/>
          <w:kern w:val="0"/>
          <w:szCs w:val="21"/>
          <w:highlight w:val="none"/>
        </w:rPr>
      </w:pPr>
    </w:p>
    <w:p w14:paraId="3D8E1D23">
      <w:pPr>
        <w:widowControl/>
        <w:adjustRightInd w:val="0"/>
        <w:snapToGrid w:val="0"/>
        <w:spacing w:line="360" w:lineRule="auto"/>
        <w:ind w:firstLine="420" w:firstLineChars="200"/>
        <w:jc w:val="center"/>
        <w:rPr>
          <w:rFonts w:ascii="宋体" w:hAnsi="宋体" w:cs="宋体"/>
          <w:color w:val="auto"/>
          <w:kern w:val="0"/>
          <w:szCs w:val="21"/>
          <w:highlight w:val="none"/>
        </w:rPr>
      </w:pPr>
    </w:p>
    <w:p w14:paraId="6588D169">
      <w:pPr>
        <w:widowControl/>
        <w:adjustRightInd w:val="0"/>
        <w:snapToGrid w:val="0"/>
        <w:spacing w:line="360" w:lineRule="auto"/>
        <w:ind w:firstLine="444" w:firstLineChars="200"/>
        <w:jc w:val="center"/>
        <w:rPr>
          <w:rFonts w:ascii="宋体" w:hAnsi="宋体" w:cs="宋体"/>
          <w:color w:val="auto"/>
          <w:spacing w:val="6"/>
          <w:kern w:val="0"/>
          <w:szCs w:val="21"/>
          <w:highlight w:val="none"/>
          <w:u w:val="single"/>
        </w:rPr>
      </w:pPr>
      <w:r>
        <w:rPr>
          <w:rFonts w:hint="eastAsia" w:ascii="宋体" w:hAnsi="宋体" w:cs="宋体"/>
          <w:color w:val="auto"/>
          <w:spacing w:val="6"/>
          <w:kern w:val="0"/>
          <w:szCs w:val="21"/>
          <w:highlight w:val="none"/>
        </w:rPr>
        <w:t xml:space="preserve">             投标人名称（盖单位章）：</w:t>
      </w:r>
    </w:p>
    <w:p w14:paraId="05ACA163">
      <w:pPr>
        <w:widowControl/>
        <w:adjustRightInd w:val="0"/>
        <w:snapToGrid w:val="0"/>
        <w:spacing w:line="360" w:lineRule="auto"/>
        <w:ind w:firstLine="444" w:firstLineChars="200"/>
        <w:jc w:val="center"/>
        <w:rPr>
          <w:rFonts w:ascii="宋体" w:hAnsi="宋体" w:cs="宋体"/>
          <w:color w:val="auto"/>
          <w:spacing w:val="6"/>
          <w:kern w:val="0"/>
          <w:szCs w:val="21"/>
          <w:highlight w:val="none"/>
          <w:u w:val="single"/>
        </w:rPr>
      </w:pPr>
      <w:r>
        <w:rPr>
          <w:rFonts w:hint="eastAsia" w:ascii="宋体" w:hAnsi="宋体" w:cs="宋体"/>
          <w:color w:val="auto"/>
          <w:spacing w:val="6"/>
          <w:kern w:val="0"/>
          <w:szCs w:val="21"/>
          <w:highlight w:val="none"/>
        </w:rPr>
        <w:t xml:space="preserve">                   日 期：</w:t>
      </w:r>
    </w:p>
    <w:p w14:paraId="56C61425">
      <w:pPr>
        <w:widowControl/>
        <w:adjustRightInd w:val="0"/>
        <w:snapToGrid w:val="0"/>
        <w:spacing w:line="360" w:lineRule="auto"/>
        <w:ind w:firstLine="446" w:firstLineChars="200"/>
        <w:jc w:val="center"/>
        <w:rPr>
          <w:rFonts w:ascii="宋体" w:hAnsi="宋体" w:cs="宋体"/>
          <w:b/>
          <w:color w:val="auto"/>
          <w:spacing w:val="6"/>
          <w:kern w:val="0"/>
          <w:szCs w:val="21"/>
          <w:highlight w:val="none"/>
          <w:u w:val="single"/>
        </w:rPr>
      </w:pPr>
    </w:p>
    <w:p w14:paraId="04D98E13">
      <w:pPr>
        <w:widowControl/>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注：1.投标人应按本声明函内容和格式如实声明采购标的制造商的企业规模</w:t>
      </w:r>
      <w:r>
        <w:rPr>
          <w:rFonts w:hint="eastAsia" w:ascii="宋体" w:hAnsi="宋体" w:cs="宋体"/>
          <w:b/>
          <w:bCs/>
          <w:color w:val="auto"/>
          <w:kern w:val="0"/>
          <w:szCs w:val="21"/>
          <w:highlight w:val="none"/>
          <w:lang w:bidi="ar"/>
        </w:rPr>
        <w:t>。</w:t>
      </w:r>
    </w:p>
    <w:p w14:paraId="4B620B7E">
      <w:pPr>
        <w:widowControl/>
        <w:adjustRightInd w:val="0"/>
        <w:snapToGrid w:val="0"/>
        <w:spacing w:line="360" w:lineRule="auto"/>
        <w:ind w:firstLine="420" w:firstLineChars="200"/>
        <w:jc w:val="center"/>
        <w:rPr>
          <w:rFonts w:hint="eastAsia" w:ascii="宋体" w:hAnsi="宋体"/>
          <w:color w:val="auto"/>
        </w:rPr>
      </w:pPr>
      <w:r>
        <w:rPr>
          <w:rFonts w:hint="eastAsia" w:ascii="宋体" w:hAnsi="宋体" w:cs="宋体"/>
          <w:color w:val="auto"/>
          <w:kern w:val="0"/>
          <w:szCs w:val="21"/>
          <w:highlight w:val="none"/>
          <w:lang w:bidi="ar"/>
        </w:rPr>
        <w:t>2.从业人员、营业收入、资产总额填报上一年度数据，无上一年度数据的新成立企业可不填报。</w:t>
      </w:r>
    </w:p>
    <w:p w14:paraId="43996086">
      <w:pPr>
        <w:ind w:left="-48" w:leftChars="-23" w:right="-65" w:rightChars="-31"/>
        <w:jc w:val="center"/>
        <w:rPr>
          <w:rFonts w:hint="eastAsia" w:ascii="宋体" w:hAnsi="宋体"/>
          <w:b/>
          <w:sz w:val="30"/>
          <w:szCs w:val="30"/>
        </w:rPr>
      </w:pPr>
    </w:p>
    <w:p w14:paraId="74ECC13C">
      <w:pPr>
        <w:ind w:left="-48" w:leftChars="-23" w:right="-65" w:rightChars="-31"/>
        <w:jc w:val="center"/>
        <w:rPr>
          <w:rFonts w:hint="eastAsia" w:ascii="宋体" w:hAnsi="宋体"/>
          <w:b/>
          <w:sz w:val="30"/>
          <w:szCs w:val="30"/>
        </w:rPr>
      </w:pPr>
    </w:p>
    <w:p w14:paraId="7A598F5B">
      <w:pPr>
        <w:ind w:left="-48" w:leftChars="-23" w:right="-65" w:rightChars="-31"/>
        <w:jc w:val="center"/>
        <w:rPr>
          <w:rFonts w:hint="eastAsia" w:ascii="宋体" w:hAnsi="宋体"/>
          <w:b/>
          <w:sz w:val="30"/>
          <w:szCs w:val="30"/>
        </w:rPr>
      </w:pPr>
    </w:p>
    <w:p w14:paraId="516C6CD3">
      <w:pPr>
        <w:ind w:left="-48" w:leftChars="-23" w:right="-65" w:rightChars="-31"/>
        <w:jc w:val="center"/>
        <w:rPr>
          <w:rFonts w:hint="eastAsia" w:ascii="宋体" w:hAnsi="宋体"/>
          <w:b/>
          <w:sz w:val="30"/>
          <w:szCs w:val="30"/>
        </w:rPr>
      </w:pPr>
    </w:p>
    <w:p w14:paraId="5667C8A8">
      <w:pPr>
        <w:ind w:left="-48" w:leftChars="-23" w:right="-65" w:rightChars="-31"/>
        <w:jc w:val="center"/>
        <w:rPr>
          <w:rFonts w:ascii="宋体" w:hAnsi="宋体"/>
          <w:b/>
          <w:sz w:val="30"/>
          <w:szCs w:val="30"/>
        </w:rPr>
      </w:pPr>
      <w:r>
        <w:rPr>
          <w:rFonts w:hint="eastAsia" w:ascii="宋体" w:hAnsi="宋体"/>
          <w:b/>
          <w:sz w:val="30"/>
          <w:szCs w:val="30"/>
        </w:rPr>
        <w:t>中小企业划型标准</w:t>
      </w:r>
      <w:r>
        <w:rPr>
          <w:rFonts w:hint="eastAsia" w:ascii="宋体" w:hAnsi="宋体"/>
          <w:bCs/>
          <w:sz w:val="20"/>
          <w:szCs w:val="20"/>
        </w:rPr>
        <w:t>（工信部联企业（2011）300号）</w:t>
      </w:r>
    </w:p>
    <w:tbl>
      <w:tblPr>
        <w:tblStyle w:val="40"/>
        <w:tblW w:w="10741" w:type="dxa"/>
        <w:jc w:val="center"/>
        <w:shd w:val="clear" w:color="auto" w:fill="FFFFFF" w:themeFill="background1"/>
        <w:tblLayout w:type="fixed"/>
        <w:tblCellMar>
          <w:top w:w="0" w:type="dxa"/>
          <w:left w:w="108" w:type="dxa"/>
          <w:bottom w:w="0" w:type="dxa"/>
          <w:right w:w="108" w:type="dxa"/>
        </w:tblCellMar>
      </w:tblPr>
      <w:tblGrid>
        <w:gridCol w:w="479"/>
        <w:gridCol w:w="764"/>
        <w:gridCol w:w="851"/>
        <w:gridCol w:w="850"/>
        <w:gridCol w:w="851"/>
        <w:gridCol w:w="850"/>
        <w:gridCol w:w="709"/>
        <w:gridCol w:w="851"/>
        <w:gridCol w:w="850"/>
        <w:gridCol w:w="851"/>
        <w:gridCol w:w="708"/>
        <w:gridCol w:w="709"/>
        <w:gridCol w:w="709"/>
        <w:gridCol w:w="709"/>
      </w:tblGrid>
      <w:tr w14:paraId="2F004E41">
        <w:tblPrEx>
          <w:shd w:val="clear" w:color="auto" w:fill="FFFFFF" w:themeFill="background1"/>
          <w:tblCellMar>
            <w:top w:w="0" w:type="dxa"/>
            <w:left w:w="108" w:type="dxa"/>
            <w:bottom w:w="0" w:type="dxa"/>
            <w:right w:w="108" w:type="dxa"/>
          </w:tblCellMar>
        </w:tblPrEx>
        <w:trPr>
          <w:trHeight w:val="223" w:hRule="atLeast"/>
          <w:tblHeader/>
          <w:jc w:val="center"/>
        </w:trPr>
        <w:tc>
          <w:tcPr>
            <w:tcW w:w="479" w:type="dxa"/>
            <w:vMerge w:val="restart"/>
            <w:tcBorders>
              <w:top w:val="single" w:color="auto" w:sz="4" w:space="0"/>
              <w:left w:val="single" w:color="auto" w:sz="4" w:space="0"/>
              <w:right w:val="single" w:color="auto" w:sz="4" w:space="0"/>
            </w:tcBorders>
            <w:shd w:val="clear" w:color="auto" w:fill="FFFFFF" w:themeFill="background1"/>
            <w:noWrap/>
            <w:vAlign w:val="center"/>
          </w:tcPr>
          <w:p w14:paraId="625335EB">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序号</w:t>
            </w:r>
          </w:p>
        </w:tc>
        <w:tc>
          <w:tcPr>
            <w:tcW w:w="764" w:type="dxa"/>
            <w:vMerge w:val="restart"/>
            <w:tcBorders>
              <w:top w:val="single" w:color="auto" w:sz="4" w:space="0"/>
              <w:left w:val="nil"/>
              <w:right w:val="single" w:color="auto" w:sz="4" w:space="0"/>
            </w:tcBorders>
            <w:shd w:val="clear" w:color="auto" w:fill="FFFFFF" w:themeFill="background1"/>
            <w:noWrap/>
            <w:vAlign w:val="center"/>
          </w:tcPr>
          <w:p w14:paraId="7700577A">
            <w:pPr>
              <w:pStyle w:val="170"/>
              <w:ind w:left="-48" w:leftChars="-23" w:right="-65" w:rightChars="-31"/>
              <w:jc w:val="center"/>
              <w:rPr>
                <w:rFonts w:ascii="宋体" w:hAnsi="宋体" w:cs="宋体"/>
                <w:b w:val="0"/>
                <w:bCs/>
                <w:kern w:val="0"/>
                <w:sz w:val="16"/>
                <w:szCs w:val="16"/>
              </w:rPr>
            </w:pPr>
            <w:r>
              <w:rPr>
                <w:rFonts w:hint="eastAsia" w:ascii="宋体" w:hAnsi="宋体" w:cs="宋体"/>
                <w:b w:val="0"/>
                <w:bCs/>
                <w:kern w:val="0"/>
                <w:sz w:val="16"/>
                <w:szCs w:val="16"/>
              </w:rPr>
              <w:t>行业</w:t>
            </w:r>
          </w:p>
        </w:tc>
        <w:tc>
          <w:tcPr>
            <w:tcW w:w="2552" w:type="dxa"/>
            <w:gridSpan w:val="3"/>
            <w:tcBorders>
              <w:top w:val="single" w:color="auto" w:sz="4" w:space="0"/>
              <w:left w:val="nil"/>
              <w:bottom w:val="single" w:color="auto" w:sz="4" w:space="0"/>
              <w:right w:val="single" w:color="auto" w:sz="4" w:space="0"/>
            </w:tcBorders>
            <w:shd w:val="clear" w:color="auto" w:fill="FFFFFF" w:themeFill="background1"/>
            <w:noWrap/>
            <w:vAlign w:val="center"/>
          </w:tcPr>
          <w:p w14:paraId="41ECF129">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大型企业</w:t>
            </w:r>
          </w:p>
        </w:tc>
        <w:tc>
          <w:tcPr>
            <w:tcW w:w="2410" w:type="dxa"/>
            <w:gridSpan w:val="3"/>
            <w:tcBorders>
              <w:top w:val="single" w:color="auto" w:sz="4" w:space="0"/>
              <w:left w:val="nil"/>
              <w:bottom w:val="single" w:color="auto" w:sz="4" w:space="0"/>
              <w:right w:val="single" w:color="auto" w:sz="4" w:space="0"/>
            </w:tcBorders>
            <w:shd w:val="clear" w:color="auto" w:fill="FFFFFF" w:themeFill="background1"/>
            <w:noWrap/>
            <w:vAlign w:val="center"/>
          </w:tcPr>
          <w:p w14:paraId="07A9A205">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中型企业</w:t>
            </w:r>
          </w:p>
        </w:tc>
        <w:tc>
          <w:tcPr>
            <w:tcW w:w="2409" w:type="dxa"/>
            <w:gridSpan w:val="3"/>
            <w:tcBorders>
              <w:top w:val="single" w:color="auto" w:sz="4" w:space="0"/>
              <w:left w:val="nil"/>
              <w:bottom w:val="single" w:color="auto" w:sz="4" w:space="0"/>
              <w:right w:val="single" w:color="auto" w:sz="4" w:space="0"/>
            </w:tcBorders>
            <w:shd w:val="clear" w:color="auto" w:fill="FFFFFF" w:themeFill="background1"/>
            <w:noWrap/>
            <w:vAlign w:val="center"/>
          </w:tcPr>
          <w:p w14:paraId="359FC2CE">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小型企业</w:t>
            </w:r>
          </w:p>
        </w:tc>
        <w:tc>
          <w:tcPr>
            <w:tcW w:w="2127" w:type="dxa"/>
            <w:gridSpan w:val="3"/>
            <w:tcBorders>
              <w:top w:val="single" w:color="auto" w:sz="4" w:space="0"/>
              <w:left w:val="nil"/>
              <w:bottom w:val="single" w:color="auto" w:sz="4" w:space="0"/>
              <w:right w:val="single" w:color="auto" w:sz="4" w:space="0"/>
            </w:tcBorders>
            <w:shd w:val="clear" w:color="auto" w:fill="FFFFFF" w:themeFill="background1"/>
            <w:noWrap/>
            <w:vAlign w:val="center"/>
          </w:tcPr>
          <w:p w14:paraId="0FBB3316">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微型企业</w:t>
            </w:r>
          </w:p>
        </w:tc>
      </w:tr>
      <w:tr w14:paraId="37537204">
        <w:tblPrEx>
          <w:tblCellMar>
            <w:top w:w="0" w:type="dxa"/>
            <w:left w:w="108" w:type="dxa"/>
            <w:bottom w:w="0" w:type="dxa"/>
            <w:right w:w="108" w:type="dxa"/>
          </w:tblCellMar>
        </w:tblPrEx>
        <w:trPr>
          <w:trHeight w:val="686" w:hRule="atLeast"/>
          <w:tblHeader/>
          <w:jc w:val="center"/>
        </w:trPr>
        <w:tc>
          <w:tcPr>
            <w:tcW w:w="479" w:type="dxa"/>
            <w:vMerge w:val="continue"/>
            <w:tcBorders>
              <w:left w:val="single" w:color="auto" w:sz="4" w:space="0"/>
              <w:bottom w:val="single" w:color="auto" w:sz="4" w:space="0"/>
              <w:right w:val="single" w:color="auto" w:sz="4" w:space="0"/>
            </w:tcBorders>
            <w:shd w:val="clear" w:color="auto" w:fill="FFFFFF" w:themeFill="background1"/>
            <w:noWrap/>
            <w:vAlign w:val="center"/>
          </w:tcPr>
          <w:p w14:paraId="3FA7E18E">
            <w:pPr>
              <w:pStyle w:val="170"/>
              <w:ind w:left="-48" w:leftChars="-23" w:right="-65" w:rightChars="-31"/>
              <w:jc w:val="center"/>
              <w:rPr>
                <w:rFonts w:ascii="宋体" w:hAnsi="宋体" w:cs="宋体"/>
                <w:b w:val="0"/>
                <w:bCs/>
                <w:kern w:val="0"/>
                <w:sz w:val="18"/>
                <w:szCs w:val="18"/>
              </w:rPr>
            </w:pPr>
          </w:p>
        </w:tc>
        <w:tc>
          <w:tcPr>
            <w:tcW w:w="764" w:type="dxa"/>
            <w:vMerge w:val="continue"/>
            <w:tcBorders>
              <w:left w:val="nil"/>
              <w:bottom w:val="single" w:color="auto" w:sz="4" w:space="0"/>
              <w:right w:val="single" w:color="auto" w:sz="4" w:space="0"/>
            </w:tcBorders>
            <w:shd w:val="clear" w:color="auto" w:fill="FFFFFF" w:themeFill="background1"/>
            <w:noWrap/>
            <w:vAlign w:val="center"/>
          </w:tcPr>
          <w:p w14:paraId="2072E008">
            <w:pPr>
              <w:pStyle w:val="170"/>
              <w:ind w:left="-48" w:leftChars="-23" w:right="-65" w:rightChars="-31"/>
              <w:jc w:val="left"/>
              <w:rPr>
                <w:rFonts w:ascii="宋体" w:hAnsi="宋体" w:cs="宋体"/>
                <w:b w:val="0"/>
                <w:bCs/>
                <w:kern w:val="0"/>
                <w:sz w:val="16"/>
                <w:szCs w:val="16"/>
              </w:rPr>
            </w:pPr>
          </w:p>
        </w:tc>
        <w:tc>
          <w:tcPr>
            <w:tcW w:w="851" w:type="dxa"/>
            <w:tcBorders>
              <w:top w:val="nil"/>
              <w:left w:val="nil"/>
              <w:bottom w:val="single" w:color="auto" w:sz="4" w:space="0"/>
              <w:right w:val="single" w:color="auto" w:sz="4" w:space="0"/>
            </w:tcBorders>
            <w:shd w:val="clear" w:color="auto" w:fill="FFFFFF" w:themeFill="background1"/>
            <w:noWrap/>
            <w:vAlign w:val="center"/>
          </w:tcPr>
          <w:p w14:paraId="103898AB">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营业收入(万元)</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654B37C2">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从业人员(人)</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78F43186">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总资产(万元)</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626F71D8">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营业收入(万元)</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0C06218">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从业人员(人)</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9CD6ECE">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总资产(万元)</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1F69126B">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营业收入(万元)</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16B0CCB3">
            <w:pPr>
              <w:pStyle w:val="170"/>
              <w:ind w:left="94" w:leftChars="-23" w:right="-65" w:rightChars="-31" w:hanging="142" w:hangingChars="79"/>
              <w:jc w:val="center"/>
              <w:rPr>
                <w:rFonts w:ascii="宋体" w:hAnsi="宋体" w:cs="宋体"/>
                <w:b w:val="0"/>
                <w:bCs/>
                <w:kern w:val="0"/>
                <w:sz w:val="18"/>
                <w:szCs w:val="18"/>
              </w:rPr>
            </w:pPr>
            <w:r>
              <w:rPr>
                <w:rFonts w:hint="eastAsia" w:ascii="宋体" w:hAnsi="宋体" w:cs="宋体"/>
                <w:b w:val="0"/>
                <w:bCs/>
                <w:kern w:val="0"/>
                <w:sz w:val="18"/>
                <w:szCs w:val="18"/>
              </w:rPr>
              <w:t>从业人员(人)</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759066E9">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总资产(万元)</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44D413F0">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营业收入(万元)</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368340A">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从业人员(人)</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7CE9B52">
            <w:pPr>
              <w:pStyle w:val="170"/>
              <w:ind w:left="-48" w:leftChars="-23" w:right="-65" w:rightChars="-31"/>
              <w:jc w:val="center"/>
              <w:rPr>
                <w:rFonts w:ascii="宋体" w:hAnsi="宋体" w:cs="宋体"/>
                <w:b w:val="0"/>
                <w:bCs/>
                <w:kern w:val="0"/>
                <w:sz w:val="18"/>
                <w:szCs w:val="18"/>
              </w:rPr>
            </w:pPr>
            <w:r>
              <w:rPr>
                <w:rFonts w:hint="eastAsia" w:ascii="宋体" w:hAnsi="宋体" w:cs="宋体"/>
                <w:b w:val="0"/>
                <w:bCs/>
                <w:kern w:val="0"/>
                <w:sz w:val="18"/>
                <w:szCs w:val="18"/>
              </w:rPr>
              <w:t>总资产(万元)</w:t>
            </w:r>
          </w:p>
        </w:tc>
      </w:tr>
      <w:tr w14:paraId="43CD398A">
        <w:tblPrEx>
          <w:shd w:val="clear" w:color="auto" w:fill="FFFFFF" w:themeFill="background1"/>
          <w:tblCellMar>
            <w:top w:w="0" w:type="dxa"/>
            <w:left w:w="108" w:type="dxa"/>
            <w:bottom w:w="0" w:type="dxa"/>
            <w:right w:w="108" w:type="dxa"/>
          </w:tblCellMar>
        </w:tblPrEx>
        <w:trPr>
          <w:trHeight w:val="366" w:hRule="atLeast"/>
          <w:jc w:val="center"/>
        </w:trPr>
        <w:tc>
          <w:tcPr>
            <w:tcW w:w="4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3DD347">
            <w:pPr>
              <w:pStyle w:val="170"/>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w:t>
            </w:r>
          </w:p>
        </w:tc>
        <w:tc>
          <w:tcPr>
            <w:tcW w:w="764" w:type="dxa"/>
            <w:tcBorders>
              <w:top w:val="single" w:color="auto" w:sz="4" w:space="0"/>
              <w:left w:val="nil"/>
              <w:bottom w:val="single" w:color="auto" w:sz="4" w:space="0"/>
              <w:right w:val="single" w:color="auto" w:sz="4" w:space="0"/>
            </w:tcBorders>
            <w:shd w:val="clear" w:color="auto" w:fill="FFFFFF" w:themeFill="background1"/>
            <w:noWrap/>
            <w:vAlign w:val="center"/>
          </w:tcPr>
          <w:p w14:paraId="2CF52EAF">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农、林、牧、渔业</w:t>
            </w:r>
          </w:p>
        </w:tc>
        <w:tc>
          <w:tcPr>
            <w:tcW w:w="851" w:type="dxa"/>
            <w:tcBorders>
              <w:top w:val="single" w:color="auto" w:sz="4" w:space="0"/>
              <w:left w:val="nil"/>
              <w:bottom w:val="single" w:color="auto" w:sz="4" w:space="0"/>
              <w:right w:val="single" w:color="auto" w:sz="4" w:space="0"/>
            </w:tcBorders>
            <w:shd w:val="clear" w:color="auto" w:fill="FFFFFF" w:themeFill="background1"/>
            <w:noWrap/>
            <w:vAlign w:val="center"/>
          </w:tcPr>
          <w:p w14:paraId="6FA50B20">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≥20000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56E564AE">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0D25FA0">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5D17669B">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≥500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6B295F5">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F740133">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7D5B583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≥50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E057A7F">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7B577EC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35A2F5C6">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＜50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945BBBE">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2EE905E">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2EBF3D48">
        <w:tblPrEx>
          <w:shd w:val="clear" w:color="auto" w:fill="FFFFFF" w:themeFill="background1"/>
          <w:tblCellMar>
            <w:top w:w="0" w:type="dxa"/>
            <w:left w:w="108" w:type="dxa"/>
            <w:bottom w:w="0" w:type="dxa"/>
            <w:right w:w="108" w:type="dxa"/>
          </w:tblCellMar>
        </w:tblPrEx>
        <w:trPr>
          <w:trHeight w:val="193"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322AEBD0">
            <w:pPr>
              <w:pStyle w:val="170"/>
              <w:widowControl/>
              <w:ind w:left="-107" w:leftChars="-51" w:right="-107" w:rightChars="-51"/>
              <w:jc w:val="center"/>
              <w:rPr>
                <w:rFonts w:ascii="宋体" w:hAnsi="宋体" w:cs="宋体"/>
                <w:b/>
                <w:bCs w:val="0"/>
                <w:kern w:val="0"/>
                <w:sz w:val="18"/>
                <w:szCs w:val="18"/>
              </w:rPr>
            </w:pPr>
            <w:r>
              <w:rPr>
                <w:rFonts w:hint="eastAsia" w:ascii="宋体" w:hAnsi="宋体" w:cs="宋体"/>
                <w:b/>
                <w:bCs w:val="0"/>
                <w:kern w:val="0"/>
                <w:sz w:val="18"/>
                <w:szCs w:val="18"/>
              </w:rPr>
              <w:t>2</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67DA3929">
            <w:pPr>
              <w:pStyle w:val="170"/>
              <w:ind w:left="-27" w:leftChars="-13" w:right="-65" w:rightChars="-31"/>
              <w:jc w:val="left"/>
              <w:rPr>
                <w:rFonts w:ascii="宋体" w:hAnsi="宋体" w:cs="宋体"/>
                <w:b/>
                <w:bCs w:val="0"/>
                <w:kern w:val="0"/>
                <w:sz w:val="16"/>
                <w:szCs w:val="16"/>
              </w:rPr>
            </w:pPr>
            <w:r>
              <w:rPr>
                <w:rFonts w:hint="eastAsia" w:ascii="宋体" w:hAnsi="宋体" w:cs="宋体"/>
                <w:b/>
                <w:bCs w:val="0"/>
                <w:kern w:val="0"/>
                <w:sz w:val="16"/>
                <w:szCs w:val="16"/>
              </w:rPr>
              <w:t>工业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4A90BA1">
            <w:pPr>
              <w:pStyle w:val="170"/>
              <w:widowControl/>
              <w:ind w:left="-107" w:leftChars="-51" w:right="-107" w:rightChars="-51"/>
              <w:jc w:val="center"/>
              <w:rPr>
                <w:rFonts w:ascii="宋体" w:hAnsi="宋体" w:cs="宋体"/>
                <w:b/>
                <w:bCs w:val="0"/>
                <w:kern w:val="0"/>
                <w:sz w:val="18"/>
                <w:szCs w:val="18"/>
              </w:rPr>
            </w:pPr>
            <w:r>
              <w:rPr>
                <w:rFonts w:hint="eastAsia" w:ascii="宋体" w:hAnsi="宋体" w:cs="宋体"/>
                <w:b/>
                <w:bCs w:val="0"/>
                <w:kern w:val="0"/>
                <w:sz w:val="18"/>
                <w:szCs w:val="18"/>
              </w:rPr>
              <w:t>≥40000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6BE93979">
            <w:pPr>
              <w:pStyle w:val="170"/>
              <w:widowControl/>
              <w:ind w:left="-107" w:leftChars="-51" w:right="-107" w:rightChars="-51"/>
              <w:jc w:val="center"/>
              <w:rPr>
                <w:rFonts w:ascii="宋体" w:hAnsi="宋体" w:cs="宋体"/>
                <w:b/>
                <w:bCs w:val="0"/>
                <w:kern w:val="0"/>
                <w:sz w:val="18"/>
                <w:szCs w:val="18"/>
              </w:rPr>
            </w:pPr>
            <w:r>
              <w:rPr>
                <w:rFonts w:hint="eastAsia" w:ascii="宋体" w:hAnsi="宋体" w:cs="宋体"/>
                <w:b/>
                <w:bCs w:val="0"/>
                <w:kern w:val="0"/>
                <w:sz w:val="18"/>
                <w:szCs w:val="18"/>
              </w:rPr>
              <w:t>且≥1000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30C40EC0">
            <w:pPr>
              <w:pStyle w:val="170"/>
              <w:widowControl/>
              <w:ind w:left="-107" w:leftChars="-51" w:right="-107" w:rightChars="-51"/>
              <w:jc w:val="center"/>
              <w:rPr>
                <w:rFonts w:ascii="宋体" w:hAnsi="宋体" w:cs="宋体"/>
                <w:b/>
                <w:bCs w:val="0"/>
                <w:kern w:val="0"/>
                <w:sz w:val="18"/>
                <w:szCs w:val="18"/>
              </w:rPr>
            </w:pPr>
            <w:r>
              <w:rPr>
                <w:rFonts w:hint="eastAsia" w:ascii="宋体" w:hAnsi="宋体" w:cs="宋体"/>
                <w:b/>
                <w:bCs w:val="0"/>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1A6CDD59">
            <w:pPr>
              <w:pStyle w:val="170"/>
              <w:widowControl/>
              <w:ind w:left="-107" w:leftChars="-51" w:right="-107" w:rightChars="-51"/>
              <w:jc w:val="center"/>
              <w:rPr>
                <w:rFonts w:ascii="宋体" w:hAnsi="宋体" w:cs="宋体"/>
                <w:b/>
                <w:bCs w:val="0"/>
                <w:kern w:val="0"/>
                <w:sz w:val="18"/>
                <w:szCs w:val="18"/>
              </w:rPr>
            </w:pPr>
            <w:r>
              <w:rPr>
                <w:rFonts w:hint="eastAsia" w:ascii="宋体" w:hAnsi="宋体" w:cs="宋体"/>
                <w:b/>
                <w:bCs w:val="0"/>
                <w:kern w:val="0"/>
                <w:sz w:val="18"/>
                <w:szCs w:val="18"/>
              </w:rPr>
              <w:t>≥2000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DE0DEA2">
            <w:pPr>
              <w:pStyle w:val="170"/>
              <w:widowControl/>
              <w:ind w:left="-107" w:leftChars="-51" w:right="-107" w:rightChars="-51"/>
              <w:jc w:val="center"/>
              <w:rPr>
                <w:rFonts w:ascii="宋体" w:hAnsi="宋体" w:cs="宋体"/>
                <w:b/>
                <w:bCs w:val="0"/>
                <w:kern w:val="0"/>
                <w:sz w:val="18"/>
                <w:szCs w:val="18"/>
              </w:rPr>
            </w:pPr>
            <w:r>
              <w:rPr>
                <w:rFonts w:hint="eastAsia" w:ascii="宋体" w:hAnsi="宋体" w:cs="宋体"/>
                <w:b/>
                <w:bCs w:val="0"/>
                <w:kern w:val="0"/>
                <w:sz w:val="18"/>
                <w:szCs w:val="18"/>
              </w:rPr>
              <w:t>且≥300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70812DD">
            <w:pPr>
              <w:pStyle w:val="170"/>
              <w:widowControl/>
              <w:jc w:val="center"/>
              <w:rPr>
                <w:rFonts w:ascii="宋体" w:hAnsi="宋体" w:cs="宋体"/>
                <w:b/>
                <w:bCs w:val="0"/>
                <w:kern w:val="0"/>
                <w:sz w:val="18"/>
                <w:szCs w:val="18"/>
              </w:rPr>
            </w:pPr>
            <w:r>
              <w:rPr>
                <w:rFonts w:hint="eastAsia" w:ascii="宋体" w:hAnsi="宋体" w:cs="宋体"/>
                <w:b/>
                <w:bCs w:val="0"/>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665E3715">
            <w:pPr>
              <w:pStyle w:val="170"/>
              <w:widowControl/>
              <w:jc w:val="center"/>
              <w:rPr>
                <w:rFonts w:ascii="宋体" w:hAnsi="宋体" w:cs="宋体"/>
                <w:b/>
                <w:bCs w:val="0"/>
                <w:kern w:val="0"/>
                <w:sz w:val="18"/>
                <w:szCs w:val="18"/>
              </w:rPr>
            </w:pPr>
            <w:r>
              <w:rPr>
                <w:rFonts w:hint="eastAsia" w:ascii="宋体" w:hAnsi="宋体" w:cs="宋体"/>
                <w:b/>
                <w:bCs w:val="0"/>
                <w:kern w:val="0"/>
                <w:sz w:val="18"/>
                <w:szCs w:val="18"/>
              </w:rPr>
              <w:t>≥300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35CA2858">
            <w:pPr>
              <w:pStyle w:val="170"/>
              <w:widowControl/>
              <w:jc w:val="center"/>
              <w:rPr>
                <w:rFonts w:ascii="宋体" w:hAnsi="宋体" w:cs="宋体"/>
                <w:b/>
                <w:bCs w:val="0"/>
                <w:kern w:val="0"/>
                <w:sz w:val="18"/>
                <w:szCs w:val="18"/>
              </w:rPr>
            </w:pPr>
            <w:r>
              <w:rPr>
                <w:rFonts w:hint="eastAsia" w:ascii="宋体" w:hAnsi="宋体" w:cs="宋体"/>
                <w:b/>
                <w:bCs w:val="0"/>
                <w:kern w:val="0"/>
                <w:sz w:val="18"/>
                <w:szCs w:val="18"/>
              </w:rPr>
              <w:t>且≥20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114828F4">
            <w:pPr>
              <w:pStyle w:val="170"/>
              <w:widowControl/>
              <w:jc w:val="center"/>
              <w:rPr>
                <w:rFonts w:ascii="宋体" w:hAnsi="宋体" w:cs="宋体"/>
                <w:b/>
                <w:bCs w:val="0"/>
                <w:kern w:val="0"/>
                <w:sz w:val="18"/>
                <w:szCs w:val="18"/>
              </w:rPr>
            </w:pPr>
            <w:r>
              <w:rPr>
                <w:rFonts w:hint="eastAsia" w:ascii="宋体" w:hAnsi="宋体" w:cs="宋体"/>
                <w:b/>
                <w:bCs w:val="0"/>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42B0C525">
            <w:pPr>
              <w:pStyle w:val="170"/>
              <w:widowControl/>
              <w:jc w:val="center"/>
              <w:rPr>
                <w:rFonts w:ascii="宋体" w:hAnsi="宋体" w:cs="宋体"/>
                <w:b/>
                <w:bCs w:val="0"/>
                <w:kern w:val="0"/>
                <w:sz w:val="18"/>
                <w:szCs w:val="18"/>
              </w:rPr>
            </w:pPr>
            <w:r>
              <w:rPr>
                <w:rFonts w:hint="eastAsia" w:ascii="宋体" w:hAnsi="宋体" w:cs="宋体"/>
                <w:b/>
                <w:bCs w:val="0"/>
                <w:kern w:val="0"/>
                <w:sz w:val="18"/>
                <w:szCs w:val="18"/>
              </w:rPr>
              <w:t>＜300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395BDF64">
            <w:pPr>
              <w:pStyle w:val="170"/>
              <w:widowControl/>
              <w:jc w:val="center"/>
              <w:rPr>
                <w:rFonts w:ascii="宋体" w:hAnsi="宋体" w:cs="宋体"/>
                <w:b/>
                <w:bCs w:val="0"/>
                <w:kern w:val="0"/>
                <w:sz w:val="18"/>
                <w:szCs w:val="18"/>
              </w:rPr>
            </w:pPr>
            <w:r>
              <w:rPr>
                <w:rFonts w:hint="eastAsia" w:ascii="宋体" w:hAnsi="宋体" w:cs="宋体"/>
                <w:b/>
                <w:bCs w:val="0"/>
                <w:kern w:val="0"/>
                <w:sz w:val="18"/>
                <w:szCs w:val="18"/>
              </w:rPr>
              <w:t>或＜20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FB35B75">
            <w:pPr>
              <w:pStyle w:val="170"/>
              <w:widowControl/>
              <w:jc w:val="center"/>
              <w:rPr>
                <w:rFonts w:ascii="宋体" w:hAnsi="宋体" w:cs="宋体"/>
                <w:b/>
                <w:bCs w:val="0"/>
                <w:kern w:val="0"/>
                <w:sz w:val="18"/>
                <w:szCs w:val="18"/>
              </w:rPr>
            </w:pPr>
            <w:r>
              <w:rPr>
                <w:rFonts w:hint="eastAsia" w:ascii="宋体" w:hAnsi="宋体" w:cs="宋体"/>
                <w:b/>
                <w:bCs w:val="0"/>
                <w:kern w:val="0"/>
                <w:sz w:val="18"/>
                <w:szCs w:val="18"/>
              </w:rPr>
              <w:t>　</w:t>
            </w:r>
          </w:p>
        </w:tc>
      </w:tr>
      <w:tr w14:paraId="0E85C962">
        <w:tblPrEx>
          <w:tblCellMar>
            <w:top w:w="0" w:type="dxa"/>
            <w:left w:w="108" w:type="dxa"/>
            <w:bottom w:w="0" w:type="dxa"/>
            <w:right w:w="108" w:type="dxa"/>
          </w:tblCellMar>
        </w:tblPrEx>
        <w:trPr>
          <w:trHeight w:val="111"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7872D44F">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3</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367822BD">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建筑业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0FE3567">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≥80000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19BBE42F">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71D3F69F">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且≥80000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0C72823A">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≥6000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4DE32ED0">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45B9D44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且≥5000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24FFD66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7E80CE2">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34FE920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且≥300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9790950">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＜300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489F8766">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18A0F22C">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或＜300</w:t>
            </w:r>
          </w:p>
        </w:tc>
      </w:tr>
      <w:tr w14:paraId="29AF358C">
        <w:tblPrEx>
          <w:tblCellMar>
            <w:top w:w="0" w:type="dxa"/>
            <w:left w:w="108" w:type="dxa"/>
            <w:bottom w:w="0" w:type="dxa"/>
            <w:right w:w="108" w:type="dxa"/>
          </w:tblCellMar>
        </w:tblPrEx>
        <w:trPr>
          <w:trHeight w:val="191"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49C6A37B">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4</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7B29C637">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批发业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FD0520E">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≥40000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713F388A">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且≥200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D2CBC79">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4D55B3DC">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≥5000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1A4B13D6">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且≥20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F471C2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1CDDC7C6">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0A55554D">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且≥5</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4902C04F">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DFA6AFB">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19709E4B">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或＜5</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4BDB6403">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4E399AD4">
        <w:tblPrEx>
          <w:shd w:val="clear" w:color="auto" w:fill="FFFFFF" w:themeFill="background1"/>
          <w:tblCellMar>
            <w:top w:w="0" w:type="dxa"/>
            <w:left w:w="108" w:type="dxa"/>
            <w:bottom w:w="0" w:type="dxa"/>
            <w:right w:w="108" w:type="dxa"/>
          </w:tblCellMar>
        </w:tblPrEx>
        <w:trPr>
          <w:trHeight w:val="90"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1C530363">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5</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0A9003E0">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零售业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19BD542D">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≥20000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7E6D9BA7">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3191BA22">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18F443A2">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≥500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70C2AF9">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且≥50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46A5072E">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35C95DFF">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60A403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且≥10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48FFF8BD">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21B832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419759F">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或＜10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F3A319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29ADED21">
        <w:tblPrEx>
          <w:shd w:val="clear" w:color="auto" w:fill="FFFFFF" w:themeFill="background1"/>
          <w:tblCellMar>
            <w:top w:w="0" w:type="dxa"/>
            <w:left w:w="108" w:type="dxa"/>
            <w:bottom w:w="0" w:type="dxa"/>
            <w:right w:w="108" w:type="dxa"/>
          </w:tblCellMar>
        </w:tblPrEx>
        <w:trPr>
          <w:trHeight w:val="228"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3318C56E">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6</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2924ABB9">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交通运输业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EA8D1AA">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≥30000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5EAE6E03">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0BF1A09">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406617DC">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≥3000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120F7F6">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067F7B1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5AFCE05B">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≥200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56AB81C">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且≥20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785CA6E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12F7C3C3">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＜200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1A338A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或＜20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20C5557">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04B969BE">
        <w:tblPrEx>
          <w:tblCellMar>
            <w:top w:w="0" w:type="dxa"/>
            <w:left w:w="108" w:type="dxa"/>
            <w:bottom w:w="0" w:type="dxa"/>
            <w:right w:w="108" w:type="dxa"/>
          </w:tblCellMar>
        </w:tblPrEx>
        <w:trPr>
          <w:trHeight w:val="196"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7F0BD058">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7</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1B0D62C7">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仓储业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7D53EF9">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≥30000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516F8AE4">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且≥200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07294E5">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483BE3FF">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703329F">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4B1E3320">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43CACC3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0CE4B0D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且≥20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3034A07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06F0B5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1CF4788D">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或＜20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3F6873A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0A800B4D">
        <w:tblPrEx>
          <w:shd w:val="clear" w:color="auto" w:fill="FFFFFF" w:themeFill="background1"/>
          <w:tblCellMar>
            <w:top w:w="0" w:type="dxa"/>
            <w:left w:w="108" w:type="dxa"/>
            <w:bottom w:w="0" w:type="dxa"/>
            <w:right w:w="108" w:type="dxa"/>
          </w:tblCellMar>
        </w:tblPrEx>
        <w:trPr>
          <w:trHeight w:val="309"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1CEA0491">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8</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2FCB1260">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邮政业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502CB40">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≥30000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57335F20">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9989990">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0BE6FC10">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≥2000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E7823AC">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48A06A30">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12EF9E7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32147A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且≥20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0AD462DF">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084B9F0">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4CFB05F">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或＜20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70D2A86">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5FD2D876">
        <w:tblPrEx>
          <w:shd w:val="clear" w:color="auto" w:fill="FFFFFF" w:themeFill="background1"/>
          <w:tblCellMar>
            <w:top w:w="0" w:type="dxa"/>
            <w:left w:w="108" w:type="dxa"/>
            <w:bottom w:w="0" w:type="dxa"/>
            <w:right w:w="108" w:type="dxa"/>
          </w:tblCellMar>
        </w:tblPrEx>
        <w:trPr>
          <w:trHeight w:val="369"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6FD50AA3">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9</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10C3C21E">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住宿业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1AC1F361">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7C8FE336">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A066E4A">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29C532E3">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≥2000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35ECBAD9">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4CA4C262">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0988D50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16491BF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且≥10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7016FE55">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7B74C2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58CE52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或＜10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DFCC83B">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5DFEAC70">
        <w:tblPrEx>
          <w:tblCellMar>
            <w:top w:w="0" w:type="dxa"/>
            <w:left w:w="108" w:type="dxa"/>
            <w:bottom w:w="0" w:type="dxa"/>
            <w:right w:w="108" w:type="dxa"/>
          </w:tblCellMar>
        </w:tblPrEx>
        <w:trPr>
          <w:trHeight w:val="369"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5AFC6452">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7BAE3F41">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餐饮业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4A2754EC">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65A0BB2A">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419C5BF2">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08682B19">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≥2000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C800072">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3EF53FC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554E887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CA2D540">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且≥10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02DFB650">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57C0A6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B9CA142">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或＜10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D985B2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0F0A3887">
        <w:tblPrEx>
          <w:tblCellMar>
            <w:top w:w="0" w:type="dxa"/>
            <w:left w:w="108" w:type="dxa"/>
            <w:bottom w:w="0" w:type="dxa"/>
            <w:right w:w="108" w:type="dxa"/>
          </w:tblCellMar>
        </w:tblPrEx>
        <w:trPr>
          <w:trHeight w:val="142"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12AFB18E">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11</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1FA7CD9D">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信息传输业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6A18805">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7BAE3F92">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且≥2000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F1F6FE4">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41E8D141">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34B79387">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F7B2A5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32F4F90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7FE18A75">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且≥10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47A96E7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1F83BE3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2C99AF0">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或＜10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DA691D0">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284133DC">
        <w:tblPrEx>
          <w:tblCellMar>
            <w:top w:w="0" w:type="dxa"/>
            <w:left w:w="108" w:type="dxa"/>
            <w:bottom w:w="0" w:type="dxa"/>
            <w:right w:w="108" w:type="dxa"/>
          </w:tblCellMar>
        </w:tblPrEx>
        <w:trPr>
          <w:trHeight w:val="328"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369147BD">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12</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4C6F5F13">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软件和信息技术服务业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72ECC3B6">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39AFE9A8">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1ABDEC66">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0B1E8A1C">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B747E64">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76569F6C">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28ED479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≥50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369D91B6">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且≥10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4375106B">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FE57FE6">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＜50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B6502DC">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或＜10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1B858AD">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08A9BE79">
        <w:tblPrEx>
          <w:tblCellMar>
            <w:top w:w="0" w:type="dxa"/>
            <w:left w:w="108" w:type="dxa"/>
            <w:bottom w:w="0" w:type="dxa"/>
            <w:right w:w="108" w:type="dxa"/>
          </w:tblCellMar>
        </w:tblPrEx>
        <w:trPr>
          <w:trHeight w:val="381"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58D438C4">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13</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46E13CA0">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房地产开发经营</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C6A4F5C">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≥200000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4D536808">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0B4584A">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6DC6873B">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C9D75BB">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1D57427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且≥5000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3172DFD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5D45FF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17B5559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且≥2000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13DA91A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EA6E8C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6E9CF1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或＜2000</w:t>
            </w:r>
          </w:p>
        </w:tc>
      </w:tr>
      <w:tr w14:paraId="5A8573A3">
        <w:tblPrEx>
          <w:shd w:val="clear" w:color="auto" w:fill="FFFFFF" w:themeFill="background1"/>
          <w:tblCellMar>
            <w:top w:w="0" w:type="dxa"/>
            <w:left w:w="108" w:type="dxa"/>
            <w:bottom w:w="0" w:type="dxa"/>
            <w:right w:w="108" w:type="dxa"/>
          </w:tblCellMar>
        </w:tblPrEx>
        <w:trPr>
          <w:trHeight w:val="220"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3CBA3159">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14</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67950B31">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物业管理</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830DD5A">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≥5000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3124CE8E">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且≥1000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7FD356A4">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41CDE433">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AAD43B1">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7E40A6A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51656D0E">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≥500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0F9A8A1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且≥100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37F04EE7">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F5169E5">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＜500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86300F2">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7CA0D74">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r w14:paraId="16795007">
        <w:tblPrEx>
          <w:tblCellMar>
            <w:top w:w="0" w:type="dxa"/>
            <w:left w:w="108" w:type="dxa"/>
            <w:bottom w:w="0" w:type="dxa"/>
            <w:right w:w="108" w:type="dxa"/>
          </w:tblCellMar>
        </w:tblPrEx>
        <w:trPr>
          <w:trHeight w:val="356"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51CF45E7">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15</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07B4402C">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租赁和商务服务业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030345D5">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37BD6E94">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BBB3152">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且≥120000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42F8DCFD">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095C478E">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2D9FCD4A">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且≥8000</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1FAB7A9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58645D43">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2BD37099">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且≥100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69A133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7E71581C">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78C2D4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或＜100</w:t>
            </w:r>
          </w:p>
        </w:tc>
      </w:tr>
      <w:tr w14:paraId="2772174C">
        <w:tblPrEx>
          <w:tblCellMar>
            <w:top w:w="0" w:type="dxa"/>
            <w:left w:w="108" w:type="dxa"/>
            <w:bottom w:w="0" w:type="dxa"/>
            <w:right w:w="108" w:type="dxa"/>
          </w:tblCellMar>
        </w:tblPrEx>
        <w:trPr>
          <w:trHeight w:val="177" w:hRule="atLeast"/>
          <w:jc w:val="center"/>
        </w:trPr>
        <w:tc>
          <w:tcPr>
            <w:tcW w:w="479" w:type="dxa"/>
            <w:tcBorders>
              <w:top w:val="nil"/>
              <w:left w:val="single" w:color="auto" w:sz="4" w:space="0"/>
              <w:bottom w:val="single" w:color="auto" w:sz="4" w:space="0"/>
              <w:right w:val="single" w:color="auto" w:sz="4" w:space="0"/>
            </w:tcBorders>
            <w:shd w:val="clear" w:color="auto" w:fill="FFFFFF" w:themeFill="background1"/>
            <w:noWrap/>
            <w:vAlign w:val="center"/>
          </w:tcPr>
          <w:p w14:paraId="79803958">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16</w:t>
            </w:r>
          </w:p>
        </w:tc>
        <w:tc>
          <w:tcPr>
            <w:tcW w:w="764" w:type="dxa"/>
            <w:tcBorders>
              <w:top w:val="nil"/>
              <w:left w:val="nil"/>
              <w:bottom w:val="single" w:color="auto" w:sz="4" w:space="0"/>
              <w:right w:val="single" w:color="auto" w:sz="4" w:space="0"/>
            </w:tcBorders>
            <w:shd w:val="clear" w:color="auto" w:fill="FFFFFF" w:themeFill="background1"/>
            <w:noWrap/>
            <w:vAlign w:val="center"/>
          </w:tcPr>
          <w:p w14:paraId="5E072BAE">
            <w:pPr>
              <w:pStyle w:val="170"/>
              <w:ind w:left="-27" w:leftChars="-13" w:right="-65" w:rightChars="-31"/>
              <w:jc w:val="left"/>
              <w:rPr>
                <w:rFonts w:ascii="宋体" w:hAnsi="宋体" w:cs="宋体"/>
                <w:b w:val="0"/>
                <w:bCs/>
                <w:kern w:val="0"/>
                <w:sz w:val="16"/>
                <w:szCs w:val="16"/>
              </w:rPr>
            </w:pPr>
            <w:r>
              <w:rPr>
                <w:rFonts w:hint="eastAsia" w:ascii="宋体" w:hAnsi="宋体" w:cs="宋体"/>
                <w:b w:val="0"/>
                <w:bCs/>
                <w:kern w:val="0"/>
                <w:sz w:val="16"/>
                <w:szCs w:val="16"/>
              </w:rPr>
              <w:t>其他未列明行业</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76B99A93">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24A98D5B">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≥300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0B76D9DA">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17091480">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68194683">
            <w:pPr>
              <w:pStyle w:val="170"/>
              <w:widowControl/>
              <w:ind w:left="-107" w:leftChars="-51" w:right="-107" w:rightChars="-51"/>
              <w:jc w:val="center"/>
              <w:rPr>
                <w:rFonts w:ascii="宋体" w:hAnsi="宋体" w:cs="宋体"/>
                <w:b w:val="0"/>
                <w:bCs/>
                <w:kern w:val="0"/>
                <w:sz w:val="18"/>
                <w:szCs w:val="18"/>
              </w:rPr>
            </w:pPr>
            <w:r>
              <w:rPr>
                <w:rFonts w:hint="eastAsia" w:ascii="宋体" w:hAnsi="宋体" w:cs="宋体"/>
                <w:b w:val="0"/>
                <w:bCs/>
                <w:kern w:val="0"/>
                <w:sz w:val="18"/>
                <w:szCs w:val="18"/>
              </w:rPr>
              <w:t>≥100</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6D7E4A52">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0" w:type="dxa"/>
            <w:tcBorders>
              <w:top w:val="nil"/>
              <w:left w:val="nil"/>
              <w:bottom w:val="single" w:color="auto" w:sz="4" w:space="0"/>
              <w:right w:val="single" w:color="auto" w:sz="4" w:space="0"/>
            </w:tcBorders>
            <w:shd w:val="clear" w:color="auto" w:fill="FFFFFF" w:themeFill="background1"/>
            <w:noWrap/>
            <w:vAlign w:val="center"/>
          </w:tcPr>
          <w:p w14:paraId="7D608616">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851" w:type="dxa"/>
            <w:tcBorders>
              <w:top w:val="nil"/>
              <w:left w:val="nil"/>
              <w:bottom w:val="single" w:color="auto" w:sz="4" w:space="0"/>
              <w:right w:val="single" w:color="auto" w:sz="4" w:space="0"/>
            </w:tcBorders>
            <w:shd w:val="clear" w:color="auto" w:fill="FFFFFF" w:themeFill="background1"/>
            <w:noWrap/>
            <w:vAlign w:val="center"/>
          </w:tcPr>
          <w:p w14:paraId="08DA919E">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w:t>
            </w:r>
          </w:p>
        </w:tc>
        <w:tc>
          <w:tcPr>
            <w:tcW w:w="708" w:type="dxa"/>
            <w:tcBorders>
              <w:top w:val="nil"/>
              <w:left w:val="nil"/>
              <w:bottom w:val="single" w:color="auto" w:sz="4" w:space="0"/>
              <w:right w:val="single" w:color="auto" w:sz="4" w:space="0"/>
            </w:tcBorders>
            <w:shd w:val="clear" w:color="auto" w:fill="FFFFFF" w:themeFill="background1"/>
            <w:noWrap/>
            <w:vAlign w:val="center"/>
          </w:tcPr>
          <w:p w14:paraId="02D8E241">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2E7DF788">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4708FD8F">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＜10</w:t>
            </w:r>
          </w:p>
        </w:tc>
        <w:tc>
          <w:tcPr>
            <w:tcW w:w="709" w:type="dxa"/>
            <w:tcBorders>
              <w:top w:val="nil"/>
              <w:left w:val="nil"/>
              <w:bottom w:val="single" w:color="auto" w:sz="4" w:space="0"/>
              <w:right w:val="single" w:color="auto" w:sz="4" w:space="0"/>
            </w:tcBorders>
            <w:shd w:val="clear" w:color="auto" w:fill="FFFFFF" w:themeFill="background1"/>
            <w:noWrap/>
            <w:vAlign w:val="center"/>
          </w:tcPr>
          <w:p w14:paraId="577CDD5D">
            <w:pPr>
              <w:pStyle w:val="170"/>
              <w:widowControl/>
              <w:jc w:val="center"/>
              <w:rPr>
                <w:rFonts w:ascii="宋体" w:hAnsi="宋体" w:cs="宋体"/>
                <w:b w:val="0"/>
                <w:bCs/>
                <w:kern w:val="0"/>
                <w:sz w:val="18"/>
                <w:szCs w:val="18"/>
              </w:rPr>
            </w:pPr>
            <w:r>
              <w:rPr>
                <w:rFonts w:hint="eastAsia" w:ascii="宋体" w:hAnsi="宋体" w:cs="宋体"/>
                <w:b w:val="0"/>
                <w:bCs/>
                <w:kern w:val="0"/>
                <w:sz w:val="18"/>
                <w:szCs w:val="18"/>
              </w:rPr>
              <w:t>　</w:t>
            </w:r>
          </w:p>
        </w:tc>
      </w:tr>
    </w:tbl>
    <w:p w14:paraId="6B2BAAA4">
      <w:pPr>
        <w:adjustRightInd w:val="0"/>
        <w:snapToGrid w:val="0"/>
        <w:spacing w:line="360" w:lineRule="auto"/>
        <w:rPr>
          <w:rFonts w:ascii="黑体" w:hAnsi="华文中宋" w:eastAsia="黑体" w:cs="宋体"/>
          <w:bCs/>
          <w:spacing w:val="6"/>
          <w:kern w:val="0"/>
          <w:szCs w:val="21"/>
        </w:rPr>
      </w:pPr>
    </w:p>
    <w:p w14:paraId="0E4A5BC8">
      <w:pPr>
        <w:adjustRightInd w:val="0"/>
        <w:snapToGrid w:val="0"/>
        <w:spacing w:line="360" w:lineRule="auto"/>
        <w:rPr>
          <w:rFonts w:ascii="宋体" w:hAnsi="宋体" w:cs="宋体"/>
          <w:b/>
          <w:kern w:val="0"/>
          <w:sz w:val="16"/>
          <w:szCs w:val="16"/>
        </w:rPr>
      </w:pPr>
      <w:r>
        <w:rPr>
          <w:rFonts w:hint="eastAsia" w:ascii="宋体" w:hAnsi="宋体" w:cs="宋体"/>
          <w:b/>
          <w:kern w:val="0"/>
          <w:sz w:val="16"/>
          <w:szCs w:val="16"/>
        </w:rPr>
        <w:t>注：本项目所属行业为“中小企业划型标准”中的“</w:t>
      </w:r>
      <w:r>
        <w:rPr>
          <w:rFonts w:hint="eastAsia" w:ascii="宋体" w:hAnsi="宋体" w:cs="宋体"/>
          <w:b/>
          <w:kern w:val="0"/>
          <w:sz w:val="16"/>
          <w:szCs w:val="16"/>
          <w:lang w:val="en-US" w:eastAsia="zh-CN"/>
        </w:rPr>
        <w:t>工</w:t>
      </w:r>
      <w:r>
        <w:rPr>
          <w:rFonts w:hint="eastAsia" w:ascii="宋体" w:hAnsi="宋体" w:cs="宋体"/>
          <w:b/>
          <w:kern w:val="0"/>
          <w:sz w:val="16"/>
          <w:szCs w:val="16"/>
        </w:rPr>
        <w:t>业”</w:t>
      </w:r>
    </w:p>
    <w:p w14:paraId="3A6ADC4F">
      <w:pPr>
        <w:pStyle w:val="5"/>
        <w:rPr>
          <w:rFonts w:ascii="黑体" w:hAnsi="华文中宋" w:cs="宋体"/>
          <w:spacing w:val="6"/>
          <w:sz w:val="21"/>
          <w:szCs w:val="21"/>
        </w:rPr>
        <w:sectPr>
          <w:footerReference r:id="rId9" w:type="default"/>
          <w:pgSz w:w="11906" w:h="16838"/>
          <w:pgMar w:top="1157" w:right="1080" w:bottom="1213" w:left="1080" w:header="737" w:footer="907" w:gutter="0"/>
          <w:pgBorders>
            <w:top w:val="none" w:sz="0" w:space="0"/>
            <w:left w:val="none" w:sz="0" w:space="0"/>
            <w:bottom w:val="none" w:sz="0" w:space="0"/>
            <w:right w:val="none" w:sz="0" w:space="0"/>
          </w:pgBorders>
          <w:cols w:space="720" w:num="1"/>
          <w:docGrid w:type="lines" w:linePitch="312" w:charSpace="0"/>
        </w:sectPr>
      </w:pPr>
    </w:p>
    <w:p w14:paraId="420AAE7E">
      <w:pPr>
        <w:pStyle w:val="5"/>
        <w:rPr>
          <w:rFonts w:ascii="黑体" w:hAnsi="宋体"/>
          <w:b w:val="0"/>
          <w:spacing w:val="6"/>
          <w:sz w:val="21"/>
          <w:szCs w:val="21"/>
        </w:rPr>
      </w:pPr>
      <w:r>
        <w:rPr>
          <w:rFonts w:hint="eastAsia" w:ascii="黑体" w:hAnsi="华文中宋" w:cs="宋体"/>
          <w:spacing w:val="6"/>
          <w:sz w:val="21"/>
          <w:szCs w:val="21"/>
        </w:rPr>
        <w:t>附件10-2</w:t>
      </w:r>
      <w:r>
        <w:rPr>
          <w:rFonts w:hint="eastAsia" w:ascii="黑体" w:hAnsi="华文中宋" w:cs="宋体"/>
          <w:b w:val="0"/>
          <w:bCs w:val="0"/>
          <w:spacing w:val="6"/>
          <w:sz w:val="21"/>
          <w:szCs w:val="21"/>
        </w:rPr>
        <w:t xml:space="preserve"> </w:t>
      </w:r>
    </w:p>
    <w:p w14:paraId="023B5B4E">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59D7FCC2">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6CCACCB7">
      <w:pPr>
        <w:adjustRightInd w:val="0"/>
        <w:snapToGrid w:val="0"/>
        <w:spacing w:line="360" w:lineRule="auto"/>
        <w:ind w:firstLine="444" w:firstLineChars="200"/>
        <w:rPr>
          <w:rFonts w:ascii="宋体" w:hAnsi="宋体"/>
          <w:spacing w:val="6"/>
          <w:szCs w:val="21"/>
        </w:rPr>
      </w:pPr>
    </w:p>
    <w:p w14:paraId="401F3162">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963E449">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3D65A25E">
      <w:pPr>
        <w:adjustRightInd w:val="0"/>
        <w:snapToGrid w:val="0"/>
        <w:spacing w:line="360" w:lineRule="auto"/>
        <w:ind w:firstLine="444" w:firstLineChars="200"/>
        <w:rPr>
          <w:rFonts w:ascii="宋体" w:hAnsi="宋体"/>
          <w:spacing w:val="6"/>
          <w:szCs w:val="21"/>
        </w:rPr>
      </w:pPr>
    </w:p>
    <w:p w14:paraId="3DABD1C3">
      <w:pPr>
        <w:adjustRightInd w:val="0"/>
        <w:snapToGrid w:val="0"/>
        <w:spacing w:line="360" w:lineRule="auto"/>
        <w:ind w:firstLine="444" w:firstLineChars="200"/>
        <w:rPr>
          <w:rFonts w:ascii="宋体" w:hAnsi="宋体"/>
          <w:spacing w:val="6"/>
          <w:szCs w:val="21"/>
        </w:rPr>
      </w:pPr>
    </w:p>
    <w:p w14:paraId="3FA0B840">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03B33E74">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1A044D31">
      <w:pPr>
        <w:widowControl/>
        <w:adjustRightInd w:val="0"/>
        <w:snapToGrid w:val="0"/>
        <w:spacing w:line="360" w:lineRule="auto"/>
        <w:jc w:val="left"/>
        <w:rPr>
          <w:rFonts w:ascii="宋体" w:hAnsi="宋体" w:cs="宋体"/>
          <w:kern w:val="0"/>
          <w:szCs w:val="21"/>
        </w:rPr>
      </w:pPr>
    </w:p>
    <w:p w14:paraId="0BB8B4FA">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150" w:name="_Toc20651268"/>
    </w:p>
    <w:p w14:paraId="452F1C83">
      <w:pPr>
        <w:widowControl/>
        <w:jc w:val="left"/>
        <w:rPr>
          <w:rFonts w:ascii="黑体" w:hAnsi="宋体"/>
          <w:b/>
          <w:bCs/>
          <w:szCs w:val="21"/>
        </w:rPr>
      </w:pPr>
      <w:r>
        <w:rPr>
          <w:rFonts w:hint="eastAsia" w:ascii="黑体" w:hAnsi="宋体" w:cs="宋体"/>
          <w:b/>
          <w:bCs/>
          <w:kern w:val="0"/>
          <w:szCs w:val="21"/>
        </w:rPr>
        <w:t xml:space="preserve">附件10-3 </w:t>
      </w:r>
      <w:bookmarkEnd w:id="150"/>
    </w:p>
    <w:p w14:paraId="5B66D6C7">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05383027">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3B33364C">
      <w:pPr>
        <w:adjustRightInd w:val="0"/>
        <w:snapToGrid w:val="0"/>
        <w:spacing w:line="360" w:lineRule="auto"/>
        <w:rPr>
          <w:rFonts w:ascii="宋体" w:hAnsi="宋体"/>
          <w:szCs w:val="21"/>
        </w:rPr>
      </w:pPr>
    </w:p>
    <w:p w14:paraId="24D10738">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(财库〔2014〕68号)文件规定提供证明文件（扫描件）。</w:t>
      </w:r>
    </w:p>
    <w:p w14:paraId="6C9B1547">
      <w:pPr>
        <w:adjustRightInd w:val="0"/>
        <w:snapToGrid w:val="0"/>
        <w:spacing w:line="360" w:lineRule="auto"/>
        <w:rPr>
          <w:rFonts w:ascii="宋体" w:hAnsi="宋体"/>
          <w:szCs w:val="21"/>
        </w:rPr>
      </w:pPr>
    </w:p>
    <w:p w14:paraId="442DB2CE">
      <w:pPr>
        <w:adjustRightInd w:val="0"/>
        <w:snapToGrid w:val="0"/>
        <w:rPr>
          <w:rFonts w:ascii="黑体" w:hAnsi="宋体" w:eastAsia="黑体"/>
          <w:sz w:val="28"/>
          <w:szCs w:val="28"/>
        </w:rPr>
      </w:pPr>
    </w:p>
    <w:p w14:paraId="59871DE0">
      <w:pPr>
        <w:adjustRightInd w:val="0"/>
        <w:snapToGrid w:val="0"/>
        <w:spacing w:line="360" w:lineRule="auto"/>
        <w:jc w:val="center"/>
        <w:rPr>
          <w:rFonts w:ascii="黑体" w:hAnsi="宋体" w:eastAsia="黑体"/>
          <w:sz w:val="28"/>
          <w:szCs w:val="28"/>
        </w:rPr>
      </w:pPr>
    </w:p>
    <w:p w14:paraId="48FEAA23">
      <w:pPr>
        <w:widowControl/>
        <w:adjustRightInd w:val="0"/>
        <w:snapToGrid w:val="0"/>
        <w:spacing w:line="360" w:lineRule="auto"/>
        <w:rPr>
          <w:rFonts w:ascii="黑体" w:hAnsi="宋体" w:cs="宋体"/>
          <w:kern w:val="0"/>
          <w:szCs w:val="21"/>
        </w:rPr>
      </w:pPr>
      <w:r>
        <w:rPr>
          <w:rFonts w:hint="eastAsia" w:ascii="黑体" w:hAnsi="宋体" w:eastAsia="黑体"/>
          <w:sz w:val="28"/>
          <w:szCs w:val="28"/>
        </w:rPr>
        <w:br w:type="page"/>
      </w:r>
      <w:r>
        <w:rPr>
          <w:rFonts w:hint="eastAsia" w:ascii="黑体" w:hAnsi="宋体" w:cs="宋体"/>
          <w:b/>
          <w:bCs/>
          <w:kern w:val="0"/>
          <w:szCs w:val="21"/>
        </w:rPr>
        <w:t>附件10-4</w:t>
      </w:r>
    </w:p>
    <w:p w14:paraId="7793F38C">
      <w:pPr>
        <w:adjustRightInd w:val="0"/>
        <w:snapToGrid w:val="0"/>
        <w:spacing w:line="360" w:lineRule="auto"/>
        <w:jc w:val="center"/>
        <w:rPr>
          <w:rFonts w:ascii="黑体" w:hAnsi="宋体" w:eastAsia="黑体"/>
          <w:sz w:val="28"/>
          <w:szCs w:val="28"/>
        </w:rPr>
      </w:pPr>
      <w:r>
        <w:rPr>
          <w:rFonts w:hint="eastAsia" w:ascii="黑体" w:hAnsi="宋体" w:eastAsia="黑体"/>
          <w:sz w:val="28"/>
          <w:szCs w:val="28"/>
        </w:rPr>
        <w:t>提供价格评审优惠货物清单</w:t>
      </w:r>
    </w:p>
    <w:tbl>
      <w:tblPr>
        <w:tblStyle w:val="40"/>
        <w:tblW w:w="0" w:type="auto"/>
        <w:tblInd w:w="21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1378"/>
        <w:gridCol w:w="861"/>
        <w:gridCol w:w="1034"/>
        <w:gridCol w:w="861"/>
        <w:gridCol w:w="173"/>
        <w:gridCol w:w="1357"/>
        <w:gridCol w:w="2100"/>
        <w:gridCol w:w="1170"/>
      </w:tblGrid>
      <w:tr w14:paraId="7F5E6C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9585" w:type="dxa"/>
            <w:gridSpan w:val="9"/>
            <w:noWrap/>
            <w:vAlign w:val="center"/>
          </w:tcPr>
          <w:p w14:paraId="08BBD363">
            <w:pPr>
              <w:widowControl/>
              <w:adjustRightInd w:val="0"/>
              <w:snapToGrid w:val="0"/>
              <w:spacing w:line="360" w:lineRule="auto"/>
              <w:jc w:val="center"/>
              <w:rPr>
                <w:rFonts w:ascii="黑体" w:hAnsi="宋体" w:eastAsia="黑体"/>
                <w:kern w:val="0"/>
                <w:szCs w:val="21"/>
              </w:rPr>
            </w:pPr>
            <w:r>
              <w:rPr>
                <w:rFonts w:hint="eastAsia" w:ascii="黑体" w:hAnsi="宋体" w:eastAsia="黑体"/>
                <w:kern w:val="0"/>
                <w:szCs w:val="21"/>
              </w:rPr>
              <w:t>本公司对本表的真实性负责。如有虚假，将依法承担相应责任。</w:t>
            </w:r>
          </w:p>
        </w:tc>
      </w:tr>
      <w:tr w14:paraId="615F5B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651" w:type="dxa"/>
            <w:noWrap/>
            <w:vAlign w:val="center"/>
          </w:tcPr>
          <w:p w14:paraId="3E2F248F">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378" w:type="dxa"/>
            <w:noWrap/>
            <w:vAlign w:val="center"/>
          </w:tcPr>
          <w:p w14:paraId="0F16C92C">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861" w:type="dxa"/>
            <w:noWrap/>
            <w:vAlign w:val="center"/>
          </w:tcPr>
          <w:p w14:paraId="5BF29C1E">
            <w:pPr>
              <w:widowControl/>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034" w:type="dxa"/>
            <w:noWrap/>
            <w:vAlign w:val="center"/>
          </w:tcPr>
          <w:p w14:paraId="3B16EAA8">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034" w:type="dxa"/>
            <w:gridSpan w:val="2"/>
            <w:noWrap/>
            <w:vAlign w:val="center"/>
          </w:tcPr>
          <w:p w14:paraId="229067B4">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357" w:type="dxa"/>
            <w:noWrap/>
            <w:vAlign w:val="center"/>
          </w:tcPr>
          <w:p w14:paraId="2973949A">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2100" w:type="dxa"/>
            <w:noWrap/>
            <w:vAlign w:val="center"/>
          </w:tcPr>
          <w:p w14:paraId="55BFA63A">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c>
          <w:tcPr>
            <w:tcW w:w="1170" w:type="dxa"/>
            <w:noWrap/>
            <w:vAlign w:val="center"/>
          </w:tcPr>
          <w:p w14:paraId="48F3F321">
            <w:pPr>
              <w:widowControl/>
              <w:adjustRightInd w:val="0"/>
              <w:snapToGrid w:val="0"/>
              <w:spacing w:line="360" w:lineRule="auto"/>
              <w:jc w:val="center"/>
              <w:rPr>
                <w:rFonts w:ascii="宋体" w:hAnsi="宋体"/>
                <w:kern w:val="0"/>
                <w:szCs w:val="21"/>
              </w:rPr>
            </w:pPr>
            <w:r>
              <w:rPr>
                <w:rFonts w:hint="eastAsia" w:ascii="宋体" w:hAnsi="宋体"/>
                <w:kern w:val="0"/>
                <w:szCs w:val="21"/>
              </w:rPr>
              <w:t>8</w:t>
            </w:r>
          </w:p>
        </w:tc>
      </w:tr>
      <w:tr w14:paraId="4B0988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651" w:type="dxa"/>
            <w:noWrap/>
            <w:vAlign w:val="center"/>
          </w:tcPr>
          <w:p w14:paraId="0FE45F38">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378" w:type="dxa"/>
            <w:noWrap/>
            <w:vAlign w:val="center"/>
          </w:tcPr>
          <w:p w14:paraId="79B4D97C">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861" w:type="dxa"/>
            <w:noWrap/>
            <w:vAlign w:val="center"/>
          </w:tcPr>
          <w:p w14:paraId="78067A1E">
            <w:pPr>
              <w:widowControl/>
              <w:adjustRightInd w:val="0"/>
              <w:snapToGrid w:val="0"/>
              <w:spacing w:line="360" w:lineRule="auto"/>
              <w:jc w:val="center"/>
              <w:rPr>
                <w:rFonts w:ascii="宋体" w:hAnsi="宋体"/>
                <w:kern w:val="0"/>
                <w:szCs w:val="21"/>
              </w:rPr>
            </w:pPr>
            <w:r>
              <w:rPr>
                <w:rFonts w:hint="eastAsia" w:ascii="宋体" w:hAnsi="宋体"/>
                <w:kern w:val="0"/>
                <w:szCs w:val="21"/>
              </w:rPr>
              <w:t>数量</w:t>
            </w:r>
          </w:p>
        </w:tc>
        <w:tc>
          <w:tcPr>
            <w:tcW w:w="1034" w:type="dxa"/>
            <w:noWrap/>
            <w:vAlign w:val="center"/>
          </w:tcPr>
          <w:p w14:paraId="67C8EE9D">
            <w:pPr>
              <w:widowControl/>
              <w:adjustRightInd w:val="0"/>
              <w:snapToGrid w:val="0"/>
              <w:spacing w:line="360" w:lineRule="auto"/>
              <w:jc w:val="center"/>
              <w:rPr>
                <w:rFonts w:ascii="宋体" w:hAnsi="宋体"/>
                <w:kern w:val="0"/>
                <w:szCs w:val="21"/>
              </w:rPr>
            </w:pPr>
            <w:r>
              <w:rPr>
                <w:rFonts w:hint="eastAsia" w:ascii="宋体" w:hAnsi="宋体"/>
                <w:kern w:val="0"/>
                <w:szCs w:val="21"/>
              </w:rPr>
              <w:t>单价（元）</w:t>
            </w:r>
          </w:p>
        </w:tc>
        <w:tc>
          <w:tcPr>
            <w:tcW w:w="1034" w:type="dxa"/>
            <w:gridSpan w:val="2"/>
            <w:noWrap/>
            <w:vAlign w:val="center"/>
          </w:tcPr>
          <w:p w14:paraId="20F09017">
            <w:pPr>
              <w:widowControl/>
              <w:adjustRightInd w:val="0"/>
              <w:snapToGrid w:val="0"/>
              <w:spacing w:line="360" w:lineRule="auto"/>
              <w:jc w:val="center"/>
              <w:rPr>
                <w:rFonts w:ascii="宋体" w:hAnsi="宋体"/>
                <w:kern w:val="0"/>
                <w:szCs w:val="21"/>
              </w:rPr>
            </w:pPr>
            <w:r>
              <w:rPr>
                <w:rFonts w:hint="eastAsia" w:ascii="宋体" w:hAnsi="宋体"/>
                <w:kern w:val="0"/>
                <w:szCs w:val="21"/>
              </w:rPr>
              <w:t>总额（元）</w:t>
            </w:r>
          </w:p>
        </w:tc>
        <w:tc>
          <w:tcPr>
            <w:tcW w:w="1357" w:type="dxa"/>
            <w:noWrap/>
            <w:vAlign w:val="center"/>
          </w:tcPr>
          <w:p w14:paraId="0FE023DB">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2100" w:type="dxa"/>
            <w:noWrap/>
            <w:vAlign w:val="center"/>
          </w:tcPr>
          <w:p w14:paraId="3768449D">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p w14:paraId="38F79B78">
            <w:pPr>
              <w:widowControl/>
              <w:adjustRightInd w:val="0"/>
              <w:snapToGrid w:val="0"/>
              <w:spacing w:line="360" w:lineRule="auto"/>
              <w:jc w:val="center"/>
              <w:rPr>
                <w:rFonts w:ascii="宋体" w:hAnsi="宋体"/>
                <w:kern w:val="0"/>
                <w:szCs w:val="21"/>
              </w:rPr>
            </w:pPr>
            <w:r>
              <w:rPr>
                <w:rFonts w:hint="eastAsia" w:ascii="宋体" w:hAnsi="宋体"/>
                <w:kern w:val="0"/>
                <w:szCs w:val="21"/>
              </w:rPr>
              <w:t>填写小型、微型、福利、监狱）</w:t>
            </w:r>
          </w:p>
        </w:tc>
        <w:tc>
          <w:tcPr>
            <w:tcW w:w="1170" w:type="dxa"/>
            <w:noWrap/>
            <w:vAlign w:val="center"/>
          </w:tcPr>
          <w:p w14:paraId="798D7E00">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1F9CF8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9585" w:type="dxa"/>
            <w:gridSpan w:val="9"/>
            <w:noWrap/>
            <w:vAlign w:val="center"/>
          </w:tcPr>
          <w:p w14:paraId="3444C327">
            <w:pPr>
              <w:adjustRightInd w:val="0"/>
              <w:snapToGrid w:val="0"/>
              <w:spacing w:line="360" w:lineRule="auto"/>
              <w:jc w:val="left"/>
              <w:rPr>
                <w:rFonts w:ascii="宋体" w:hAnsi="宋体"/>
                <w:b/>
                <w:szCs w:val="21"/>
              </w:rPr>
            </w:pPr>
            <w:r>
              <w:rPr>
                <w:rFonts w:hint="eastAsia" w:ascii="宋体" w:hAnsi="宋体"/>
                <w:b/>
                <w:szCs w:val="21"/>
              </w:rPr>
              <w:t>小型、微型</w:t>
            </w:r>
          </w:p>
        </w:tc>
      </w:tr>
      <w:tr w14:paraId="5DC3BB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26EC6C7A">
            <w:pPr>
              <w:adjustRightInd w:val="0"/>
              <w:snapToGrid w:val="0"/>
              <w:spacing w:line="360" w:lineRule="auto"/>
              <w:jc w:val="center"/>
              <w:rPr>
                <w:rFonts w:ascii="宋体" w:hAnsi="宋体"/>
                <w:szCs w:val="21"/>
              </w:rPr>
            </w:pPr>
          </w:p>
        </w:tc>
        <w:tc>
          <w:tcPr>
            <w:tcW w:w="1378" w:type="dxa"/>
            <w:noWrap/>
            <w:vAlign w:val="center"/>
          </w:tcPr>
          <w:p w14:paraId="25358446">
            <w:pPr>
              <w:adjustRightInd w:val="0"/>
              <w:snapToGrid w:val="0"/>
              <w:spacing w:line="360" w:lineRule="auto"/>
              <w:jc w:val="center"/>
              <w:rPr>
                <w:rFonts w:ascii="宋体" w:hAnsi="宋体"/>
                <w:szCs w:val="21"/>
              </w:rPr>
            </w:pPr>
          </w:p>
        </w:tc>
        <w:tc>
          <w:tcPr>
            <w:tcW w:w="861" w:type="dxa"/>
            <w:noWrap/>
            <w:vAlign w:val="center"/>
          </w:tcPr>
          <w:p w14:paraId="7582C034">
            <w:pPr>
              <w:adjustRightInd w:val="0"/>
              <w:snapToGrid w:val="0"/>
              <w:spacing w:line="360" w:lineRule="auto"/>
              <w:jc w:val="center"/>
              <w:rPr>
                <w:rFonts w:ascii="宋体" w:hAnsi="宋体"/>
                <w:szCs w:val="21"/>
              </w:rPr>
            </w:pPr>
          </w:p>
        </w:tc>
        <w:tc>
          <w:tcPr>
            <w:tcW w:w="1034" w:type="dxa"/>
            <w:noWrap/>
            <w:vAlign w:val="center"/>
          </w:tcPr>
          <w:p w14:paraId="2B3064A9">
            <w:pPr>
              <w:adjustRightInd w:val="0"/>
              <w:snapToGrid w:val="0"/>
              <w:spacing w:line="360" w:lineRule="auto"/>
              <w:jc w:val="center"/>
              <w:rPr>
                <w:rFonts w:ascii="宋体" w:hAnsi="宋体"/>
                <w:szCs w:val="21"/>
              </w:rPr>
            </w:pPr>
          </w:p>
        </w:tc>
        <w:tc>
          <w:tcPr>
            <w:tcW w:w="861" w:type="dxa"/>
            <w:noWrap/>
            <w:vAlign w:val="center"/>
          </w:tcPr>
          <w:p w14:paraId="1649B3DA">
            <w:pPr>
              <w:adjustRightInd w:val="0"/>
              <w:snapToGrid w:val="0"/>
              <w:spacing w:line="360" w:lineRule="auto"/>
              <w:jc w:val="center"/>
              <w:rPr>
                <w:rFonts w:ascii="宋体" w:hAnsi="宋体"/>
                <w:szCs w:val="21"/>
              </w:rPr>
            </w:pPr>
          </w:p>
        </w:tc>
        <w:tc>
          <w:tcPr>
            <w:tcW w:w="1530" w:type="dxa"/>
            <w:gridSpan w:val="2"/>
            <w:noWrap/>
            <w:vAlign w:val="center"/>
          </w:tcPr>
          <w:p w14:paraId="17325E43">
            <w:pPr>
              <w:adjustRightInd w:val="0"/>
              <w:snapToGrid w:val="0"/>
              <w:spacing w:line="360" w:lineRule="auto"/>
              <w:jc w:val="center"/>
              <w:rPr>
                <w:rFonts w:ascii="宋体" w:hAnsi="宋体"/>
                <w:szCs w:val="21"/>
              </w:rPr>
            </w:pPr>
          </w:p>
        </w:tc>
        <w:tc>
          <w:tcPr>
            <w:tcW w:w="2100" w:type="dxa"/>
            <w:noWrap/>
          </w:tcPr>
          <w:p w14:paraId="25D374A0">
            <w:pPr>
              <w:adjustRightInd w:val="0"/>
              <w:snapToGrid w:val="0"/>
              <w:spacing w:line="360" w:lineRule="auto"/>
              <w:jc w:val="center"/>
              <w:rPr>
                <w:rFonts w:ascii="宋体" w:hAnsi="宋体"/>
                <w:szCs w:val="21"/>
              </w:rPr>
            </w:pPr>
          </w:p>
        </w:tc>
        <w:tc>
          <w:tcPr>
            <w:tcW w:w="1170" w:type="dxa"/>
            <w:noWrap/>
            <w:vAlign w:val="center"/>
          </w:tcPr>
          <w:p w14:paraId="01250332">
            <w:pPr>
              <w:adjustRightInd w:val="0"/>
              <w:snapToGrid w:val="0"/>
              <w:spacing w:line="360" w:lineRule="auto"/>
              <w:jc w:val="center"/>
              <w:rPr>
                <w:rFonts w:ascii="宋体" w:hAnsi="宋体"/>
                <w:szCs w:val="21"/>
              </w:rPr>
            </w:pPr>
          </w:p>
        </w:tc>
      </w:tr>
      <w:tr w14:paraId="1D528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48DF05BF">
            <w:pPr>
              <w:adjustRightInd w:val="0"/>
              <w:snapToGrid w:val="0"/>
              <w:spacing w:line="360" w:lineRule="auto"/>
              <w:jc w:val="center"/>
              <w:rPr>
                <w:rFonts w:ascii="宋体" w:hAnsi="宋体"/>
                <w:szCs w:val="21"/>
              </w:rPr>
            </w:pPr>
          </w:p>
        </w:tc>
        <w:tc>
          <w:tcPr>
            <w:tcW w:w="1378" w:type="dxa"/>
            <w:noWrap/>
            <w:vAlign w:val="center"/>
          </w:tcPr>
          <w:p w14:paraId="189EA092">
            <w:pPr>
              <w:adjustRightInd w:val="0"/>
              <w:snapToGrid w:val="0"/>
              <w:spacing w:line="360" w:lineRule="auto"/>
              <w:jc w:val="center"/>
              <w:rPr>
                <w:rFonts w:ascii="宋体" w:hAnsi="宋体"/>
                <w:szCs w:val="21"/>
              </w:rPr>
            </w:pPr>
          </w:p>
        </w:tc>
        <w:tc>
          <w:tcPr>
            <w:tcW w:w="861" w:type="dxa"/>
            <w:noWrap/>
            <w:vAlign w:val="center"/>
          </w:tcPr>
          <w:p w14:paraId="3951436C">
            <w:pPr>
              <w:adjustRightInd w:val="0"/>
              <w:snapToGrid w:val="0"/>
              <w:spacing w:line="360" w:lineRule="auto"/>
              <w:jc w:val="center"/>
              <w:rPr>
                <w:rFonts w:ascii="宋体" w:hAnsi="宋体"/>
                <w:szCs w:val="21"/>
              </w:rPr>
            </w:pPr>
          </w:p>
        </w:tc>
        <w:tc>
          <w:tcPr>
            <w:tcW w:w="1034" w:type="dxa"/>
            <w:noWrap/>
            <w:vAlign w:val="center"/>
          </w:tcPr>
          <w:p w14:paraId="10FFD52A">
            <w:pPr>
              <w:adjustRightInd w:val="0"/>
              <w:snapToGrid w:val="0"/>
              <w:spacing w:line="360" w:lineRule="auto"/>
              <w:jc w:val="center"/>
              <w:rPr>
                <w:rFonts w:ascii="宋体" w:hAnsi="宋体"/>
                <w:szCs w:val="21"/>
              </w:rPr>
            </w:pPr>
          </w:p>
        </w:tc>
        <w:tc>
          <w:tcPr>
            <w:tcW w:w="861" w:type="dxa"/>
            <w:noWrap/>
            <w:vAlign w:val="center"/>
          </w:tcPr>
          <w:p w14:paraId="4365DAAC">
            <w:pPr>
              <w:adjustRightInd w:val="0"/>
              <w:snapToGrid w:val="0"/>
              <w:spacing w:line="360" w:lineRule="auto"/>
              <w:jc w:val="center"/>
              <w:rPr>
                <w:rFonts w:ascii="宋体" w:hAnsi="宋体"/>
                <w:szCs w:val="21"/>
              </w:rPr>
            </w:pPr>
          </w:p>
        </w:tc>
        <w:tc>
          <w:tcPr>
            <w:tcW w:w="1530" w:type="dxa"/>
            <w:gridSpan w:val="2"/>
            <w:noWrap/>
            <w:vAlign w:val="center"/>
          </w:tcPr>
          <w:p w14:paraId="7B8738E7">
            <w:pPr>
              <w:adjustRightInd w:val="0"/>
              <w:snapToGrid w:val="0"/>
              <w:spacing w:line="360" w:lineRule="auto"/>
              <w:jc w:val="center"/>
              <w:rPr>
                <w:rFonts w:ascii="宋体" w:hAnsi="宋体"/>
                <w:szCs w:val="21"/>
              </w:rPr>
            </w:pPr>
          </w:p>
        </w:tc>
        <w:tc>
          <w:tcPr>
            <w:tcW w:w="2100" w:type="dxa"/>
            <w:noWrap/>
          </w:tcPr>
          <w:p w14:paraId="2AC844E6">
            <w:pPr>
              <w:adjustRightInd w:val="0"/>
              <w:snapToGrid w:val="0"/>
              <w:spacing w:line="360" w:lineRule="auto"/>
              <w:jc w:val="center"/>
              <w:rPr>
                <w:rFonts w:ascii="宋体" w:hAnsi="宋体"/>
                <w:szCs w:val="21"/>
              </w:rPr>
            </w:pPr>
          </w:p>
        </w:tc>
        <w:tc>
          <w:tcPr>
            <w:tcW w:w="1170" w:type="dxa"/>
            <w:noWrap/>
            <w:vAlign w:val="center"/>
          </w:tcPr>
          <w:p w14:paraId="3FC655D5">
            <w:pPr>
              <w:adjustRightInd w:val="0"/>
              <w:snapToGrid w:val="0"/>
              <w:spacing w:line="360" w:lineRule="auto"/>
              <w:jc w:val="center"/>
              <w:rPr>
                <w:rFonts w:ascii="宋体" w:hAnsi="宋体"/>
                <w:szCs w:val="21"/>
              </w:rPr>
            </w:pPr>
          </w:p>
        </w:tc>
      </w:tr>
      <w:tr w14:paraId="2D9B40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5A5EA74E">
            <w:pPr>
              <w:adjustRightInd w:val="0"/>
              <w:snapToGrid w:val="0"/>
              <w:spacing w:line="360" w:lineRule="auto"/>
              <w:jc w:val="center"/>
              <w:rPr>
                <w:rFonts w:ascii="宋体" w:hAnsi="宋体"/>
                <w:szCs w:val="21"/>
              </w:rPr>
            </w:pPr>
            <w:r>
              <w:rPr>
                <w:rFonts w:hint="eastAsia" w:ascii="宋体" w:hAnsi="宋体"/>
                <w:szCs w:val="21"/>
              </w:rPr>
              <w:t>小计</w:t>
            </w:r>
          </w:p>
        </w:tc>
        <w:tc>
          <w:tcPr>
            <w:tcW w:w="1378" w:type="dxa"/>
            <w:noWrap/>
            <w:vAlign w:val="center"/>
          </w:tcPr>
          <w:p w14:paraId="1A6D7430">
            <w:pPr>
              <w:adjustRightInd w:val="0"/>
              <w:snapToGrid w:val="0"/>
              <w:spacing w:line="360" w:lineRule="auto"/>
              <w:jc w:val="center"/>
              <w:rPr>
                <w:rFonts w:ascii="宋体" w:hAnsi="宋体"/>
                <w:szCs w:val="21"/>
              </w:rPr>
            </w:pPr>
          </w:p>
        </w:tc>
        <w:tc>
          <w:tcPr>
            <w:tcW w:w="861" w:type="dxa"/>
            <w:noWrap/>
            <w:vAlign w:val="center"/>
          </w:tcPr>
          <w:p w14:paraId="58AF19C7">
            <w:pPr>
              <w:adjustRightInd w:val="0"/>
              <w:snapToGrid w:val="0"/>
              <w:spacing w:line="360" w:lineRule="auto"/>
              <w:jc w:val="center"/>
              <w:rPr>
                <w:rFonts w:ascii="宋体" w:hAnsi="宋体"/>
                <w:szCs w:val="21"/>
              </w:rPr>
            </w:pPr>
          </w:p>
        </w:tc>
        <w:tc>
          <w:tcPr>
            <w:tcW w:w="1034" w:type="dxa"/>
            <w:noWrap/>
            <w:vAlign w:val="center"/>
          </w:tcPr>
          <w:p w14:paraId="2BBDED17">
            <w:pPr>
              <w:adjustRightInd w:val="0"/>
              <w:snapToGrid w:val="0"/>
              <w:spacing w:line="360" w:lineRule="auto"/>
              <w:jc w:val="center"/>
              <w:rPr>
                <w:rFonts w:ascii="宋体" w:hAnsi="宋体"/>
                <w:szCs w:val="21"/>
              </w:rPr>
            </w:pPr>
          </w:p>
        </w:tc>
        <w:tc>
          <w:tcPr>
            <w:tcW w:w="861" w:type="dxa"/>
            <w:noWrap/>
            <w:vAlign w:val="center"/>
          </w:tcPr>
          <w:p w14:paraId="2D65AE76">
            <w:pPr>
              <w:adjustRightInd w:val="0"/>
              <w:snapToGrid w:val="0"/>
              <w:spacing w:line="360" w:lineRule="auto"/>
              <w:jc w:val="center"/>
              <w:rPr>
                <w:rFonts w:ascii="宋体" w:hAnsi="宋体"/>
                <w:szCs w:val="21"/>
              </w:rPr>
            </w:pPr>
          </w:p>
        </w:tc>
        <w:tc>
          <w:tcPr>
            <w:tcW w:w="1530" w:type="dxa"/>
            <w:gridSpan w:val="2"/>
            <w:noWrap/>
            <w:vAlign w:val="center"/>
          </w:tcPr>
          <w:p w14:paraId="41401794">
            <w:pPr>
              <w:adjustRightInd w:val="0"/>
              <w:snapToGrid w:val="0"/>
              <w:spacing w:line="360" w:lineRule="auto"/>
              <w:jc w:val="center"/>
              <w:rPr>
                <w:rFonts w:ascii="宋体" w:hAnsi="宋体"/>
                <w:szCs w:val="21"/>
              </w:rPr>
            </w:pPr>
          </w:p>
        </w:tc>
        <w:tc>
          <w:tcPr>
            <w:tcW w:w="2100" w:type="dxa"/>
            <w:noWrap/>
          </w:tcPr>
          <w:p w14:paraId="0B58F87F">
            <w:pPr>
              <w:adjustRightInd w:val="0"/>
              <w:snapToGrid w:val="0"/>
              <w:spacing w:line="360" w:lineRule="auto"/>
              <w:jc w:val="center"/>
              <w:rPr>
                <w:rFonts w:ascii="宋体" w:hAnsi="宋体"/>
                <w:szCs w:val="21"/>
              </w:rPr>
            </w:pPr>
          </w:p>
        </w:tc>
        <w:tc>
          <w:tcPr>
            <w:tcW w:w="1170" w:type="dxa"/>
            <w:noWrap/>
            <w:vAlign w:val="center"/>
          </w:tcPr>
          <w:p w14:paraId="7D2DE0A6">
            <w:pPr>
              <w:adjustRightInd w:val="0"/>
              <w:snapToGrid w:val="0"/>
              <w:spacing w:line="360" w:lineRule="auto"/>
              <w:jc w:val="center"/>
              <w:rPr>
                <w:rFonts w:ascii="宋体" w:hAnsi="宋体"/>
                <w:szCs w:val="21"/>
              </w:rPr>
            </w:pPr>
          </w:p>
        </w:tc>
      </w:tr>
      <w:tr w14:paraId="33352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9585" w:type="dxa"/>
            <w:gridSpan w:val="9"/>
            <w:noWrap/>
            <w:vAlign w:val="center"/>
          </w:tcPr>
          <w:p w14:paraId="6E462AA8">
            <w:pPr>
              <w:adjustRightInd w:val="0"/>
              <w:snapToGrid w:val="0"/>
              <w:spacing w:line="360" w:lineRule="auto"/>
              <w:jc w:val="left"/>
              <w:rPr>
                <w:rFonts w:ascii="宋体" w:hAnsi="宋体"/>
                <w:szCs w:val="21"/>
              </w:rPr>
            </w:pPr>
            <w:r>
              <w:rPr>
                <w:rFonts w:hint="eastAsia" w:ascii="宋体" w:hAnsi="宋体"/>
                <w:b/>
                <w:szCs w:val="21"/>
              </w:rPr>
              <w:t>福利</w:t>
            </w:r>
          </w:p>
        </w:tc>
      </w:tr>
      <w:tr w14:paraId="535DA5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1DD453AA">
            <w:pPr>
              <w:adjustRightInd w:val="0"/>
              <w:snapToGrid w:val="0"/>
              <w:spacing w:line="360" w:lineRule="auto"/>
              <w:jc w:val="center"/>
              <w:rPr>
                <w:rFonts w:ascii="宋体" w:hAnsi="宋体"/>
                <w:szCs w:val="21"/>
              </w:rPr>
            </w:pPr>
          </w:p>
        </w:tc>
        <w:tc>
          <w:tcPr>
            <w:tcW w:w="1378" w:type="dxa"/>
            <w:noWrap/>
            <w:vAlign w:val="center"/>
          </w:tcPr>
          <w:p w14:paraId="25CDC88A">
            <w:pPr>
              <w:adjustRightInd w:val="0"/>
              <w:snapToGrid w:val="0"/>
              <w:spacing w:line="360" w:lineRule="auto"/>
              <w:jc w:val="center"/>
              <w:rPr>
                <w:rFonts w:ascii="宋体" w:hAnsi="宋体"/>
                <w:szCs w:val="21"/>
              </w:rPr>
            </w:pPr>
          </w:p>
        </w:tc>
        <w:tc>
          <w:tcPr>
            <w:tcW w:w="861" w:type="dxa"/>
            <w:noWrap/>
            <w:vAlign w:val="center"/>
          </w:tcPr>
          <w:p w14:paraId="6381D069">
            <w:pPr>
              <w:adjustRightInd w:val="0"/>
              <w:snapToGrid w:val="0"/>
              <w:spacing w:line="360" w:lineRule="auto"/>
              <w:jc w:val="center"/>
              <w:rPr>
                <w:rFonts w:ascii="宋体" w:hAnsi="宋体"/>
                <w:szCs w:val="21"/>
              </w:rPr>
            </w:pPr>
          </w:p>
        </w:tc>
        <w:tc>
          <w:tcPr>
            <w:tcW w:w="1034" w:type="dxa"/>
            <w:noWrap/>
            <w:vAlign w:val="center"/>
          </w:tcPr>
          <w:p w14:paraId="76807B79">
            <w:pPr>
              <w:adjustRightInd w:val="0"/>
              <w:snapToGrid w:val="0"/>
              <w:spacing w:line="360" w:lineRule="auto"/>
              <w:jc w:val="center"/>
              <w:rPr>
                <w:rFonts w:ascii="宋体" w:hAnsi="宋体"/>
                <w:szCs w:val="21"/>
              </w:rPr>
            </w:pPr>
          </w:p>
        </w:tc>
        <w:tc>
          <w:tcPr>
            <w:tcW w:w="861" w:type="dxa"/>
            <w:noWrap/>
            <w:vAlign w:val="center"/>
          </w:tcPr>
          <w:p w14:paraId="6B8DE6BD">
            <w:pPr>
              <w:adjustRightInd w:val="0"/>
              <w:snapToGrid w:val="0"/>
              <w:spacing w:line="360" w:lineRule="auto"/>
              <w:jc w:val="center"/>
              <w:rPr>
                <w:rFonts w:ascii="宋体" w:hAnsi="宋体"/>
                <w:szCs w:val="21"/>
              </w:rPr>
            </w:pPr>
          </w:p>
        </w:tc>
        <w:tc>
          <w:tcPr>
            <w:tcW w:w="1530" w:type="dxa"/>
            <w:gridSpan w:val="2"/>
            <w:noWrap/>
            <w:vAlign w:val="center"/>
          </w:tcPr>
          <w:p w14:paraId="1BD08777">
            <w:pPr>
              <w:adjustRightInd w:val="0"/>
              <w:snapToGrid w:val="0"/>
              <w:spacing w:line="360" w:lineRule="auto"/>
              <w:jc w:val="center"/>
              <w:rPr>
                <w:rFonts w:ascii="宋体" w:hAnsi="宋体"/>
                <w:szCs w:val="21"/>
              </w:rPr>
            </w:pPr>
          </w:p>
        </w:tc>
        <w:tc>
          <w:tcPr>
            <w:tcW w:w="2100" w:type="dxa"/>
            <w:noWrap/>
          </w:tcPr>
          <w:p w14:paraId="555B8A99">
            <w:pPr>
              <w:adjustRightInd w:val="0"/>
              <w:snapToGrid w:val="0"/>
              <w:spacing w:line="360" w:lineRule="auto"/>
              <w:jc w:val="center"/>
              <w:rPr>
                <w:rFonts w:ascii="宋体" w:hAnsi="宋体"/>
                <w:szCs w:val="21"/>
              </w:rPr>
            </w:pPr>
          </w:p>
        </w:tc>
        <w:tc>
          <w:tcPr>
            <w:tcW w:w="1170" w:type="dxa"/>
            <w:noWrap/>
            <w:vAlign w:val="center"/>
          </w:tcPr>
          <w:p w14:paraId="3681C511">
            <w:pPr>
              <w:adjustRightInd w:val="0"/>
              <w:snapToGrid w:val="0"/>
              <w:spacing w:line="360" w:lineRule="auto"/>
              <w:jc w:val="center"/>
              <w:rPr>
                <w:rFonts w:ascii="宋体" w:hAnsi="宋体"/>
                <w:szCs w:val="21"/>
              </w:rPr>
            </w:pPr>
          </w:p>
        </w:tc>
      </w:tr>
      <w:tr w14:paraId="335C6C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11BB95BE">
            <w:pPr>
              <w:adjustRightInd w:val="0"/>
              <w:snapToGrid w:val="0"/>
              <w:spacing w:line="360" w:lineRule="auto"/>
              <w:jc w:val="center"/>
              <w:rPr>
                <w:rFonts w:ascii="宋体" w:hAnsi="宋体"/>
                <w:szCs w:val="21"/>
              </w:rPr>
            </w:pPr>
          </w:p>
        </w:tc>
        <w:tc>
          <w:tcPr>
            <w:tcW w:w="1378" w:type="dxa"/>
            <w:noWrap/>
            <w:vAlign w:val="center"/>
          </w:tcPr>
          <w:p w14:paraId="306C9A04">
            <w:pPr>
              <w:adjustRightInd w:val="0"/>
              <w:snapToGrid w:val="0"/>
              <w:spacing w:line="360" w:lineRule="auto"/>
              <w:jc w:val="center"/>
              <w:rPr>
                <w:rFonts w:ascii="宋体" w:hAnsi="宋体"/>
                <w:szCs w:val="21"/>
              </w:rPr>
            </w:pPr>
          </w:p>
        </w:tc>
        <w:tc>
          <w:tcPr>
            <w:tcW w:w="861" w:type="dxa"/>
            <w:noWrap/>
            <w:vAlign w:val="center"/>
          </w:tcPr>
          <w:p w14:paraId="1EDB9681">
            <w:pPr>
              <w:adjustRightInd w:val="0"/>
              <w:snapToGrid w:val="0"/>
              <w:spacing w:line="360" w:lineRule="auto"/>
              <w:jc w:val="center"/>
              <w:rPr>
                <w:rFonts w:ascii="宋体" w:hAnsi="宋体"/>
                <w:szCs w:val="21"/>
              </w:rPr>
            </w:pPr>
          </w:p>
        </w:tc>
        <w:tc>
          <w:tcPr>
            <w:tcW w:w="1034" w:type="dxa"/>
            <w:noWrap/>
            <w:vAlign w:val="center"/>
          </w:tcPr>
          <w:p w14:paraId="20C47D31">
            <w:pPr>
              <w:adjustRightInd w:val="0"/>
              <w:snapToGrid w:val="0"/>
              <w:spacing w:line="360" w:lineRule="auto"/>
              <w:jc w:val="center"/>
              <w:rPr>
                <w:rFonts w:ascii="宋体" w:hAnsi="宋体"/>
                <w:szCs w:val="21"/>
              </w:rPr>
            </w:pPr>
          </w:p>
        </w:tc>
        <w:tc>
          <w:tcPr>
            <w:tcW w:w="861" w:type="dxa"/>
            <w:noWrap/>
            <w:vAlign w:val="center"/>
          </w:tcPr>
          <w:p w14:paraId="51CB14FC">
            <w:pPr>
              <w:adjustRightInd w:val="0"/>
              <w:snapToGrid w:val="0"/>
              <w:spacing w:line="360" w:lineRule="auto"/>
              <w:jc w:val="center"/>
              <w:rPr>
                <w:rFonts w:ascii="宋体" w:hAnsi="宋体"/>
                <w:szCs w:val="21"/>
              </w:rPr>
            </w:pPr>
          </w:p>
        </w:tc>
        <w:tc>
          <w:tcPr>
            <w:tcW w:w="1530" w:type="dxa"/>
            <w:gridSpan w:val="2"/>
            <w:noWrap/>
            <w:vAlign w:val="center"/>
          </w:tcPr>
          <w:p w14:paraId="13240255">
            <w:pPr>
              <w:adjustRightInd w:val="0"/>
              <w:snapToGrid w:val="0"/>
              <w:spacing w:line="360" w:lineRule="auto"/>
              <w:jc w:val="center"/>
              <w:rPr>
                <w:rFonts w:ascii="宋体" w:hAnsi="宋体"/>
                <w:szCs w:val="21"/>
              </w:rPr>
            </w:pPr>
          </w:p>
        </w:tc>
        <w:tc>
          <w:tcPr>
            <w:tcW w:w="2100" w:type="dxa"/>
            <w:noWrap/>
          </w:tcPr>
          <w:p w14:paraId="0A65CDDB">
            <w:pPr>
              <w:adjustRightInd w:val="0"/>
              <w:snapToGrid w:val="0"/>
              <w:spacing w:line="360" w:lineRule="auto"/>
              <w:jc w:val="center"/>
              <w:rPr>
                <w:rFonts w:ascii="宋体" w:hAnsi="宋体"/>
                <w:szCs w:val="21"/>
              </w:rPr>
            </w:pPr>
          </w:p>
        </w:tc>
        <w:tc>
          <w:tcPr>
            <w:tcW w:w="1170" w:type="dxa"/>
            <w:noWrap/>
            <w:vAlign w:val="center"/>
          </w:tcPr>
          <w:p w14:paraId="625CC8DA">
            <w:pPr>
              <w:adjustRightInd w:val="0"/>
              <w:snapToGrid w:val="0"/>
              <w:spacing w:line="360" w:lineRule="auto"/>
              <w:jc w:val="center"/>
              <w:rPr>
                <w:rFonts w:ascii="宋体" w:hAnsi="宋体"/>
                <w:szCs w:val="21"/>
              </w:rPr>
            </w:pPr>
          </w:p>
        </w:tc>
      </w:tr>
      <w:tr w14:paraId="76D8C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2EEDDF51">
            <w:pPr>
              <w:adjustRightInd w:val="0"/>
              <w:snapToGrid w:val="0"/>
              <w:spacing w:line="360" w:lineRule="auto"/>
              <w:jc w:val="center"/>
              <w:rPr>
                <w:rFonts w:ascii="宋体" w:hAnsi="宋体"/>
                <w:szCs w:val="21"/>
              </w:rPr>
            </w:pPr>
            <w:r>
              <w:rPr>
                <w:rFonts w:hint="eastAsia" w:ascii="宋体" w:hAnsi="宋体"/>
                <w:szCs w:val="21"/>
              </w:rPr>
              <w:t>小计</w:t>
            </w:r>
          </w:p>
        </w:tc>
        <w:tc>
          <w:tcPr>
            <w:tcW w:w="1378" w:type="dxa"/>
            <w:noWrap/>
            <w:vAlign w:val="center"/>
          </w:tcPr>
          <w:p w14:paraId="6954931A">
            <w:pPr>
              <w:adjustRightInd w:val="0"/>
              <w:snapToGrid w:val="0"/>
              <w:spacing w:line="360" w:lineRule="auto"/>
              <w:jc w:val="center"/>
              <w:rPr>
                <w:rFonts w:ascii="宋体" w:hAnsi="宋体"/>
                <w:szCs w:val="21"/>
              </w:rPr>
            </w:pPr>
          </w:p>
        </w:tc>
        <w:tc>
          <w:tcPr>
            <w:tcW w:w="861" w:type="dxa"/>
            <w:noWrap/>
            <w:vAlign w:val="center"/>
          </w:tcPr>
          <w:p w14:paraId="53633286">
            <w:pPr>
              <w:adjustRightInd w:val="0"/>
              <w:snapToGrid w:val="0"/>
              <w:spacing w:line="360" w:lineRule="auto"/>
              <w:jc w:val="center"/>
              <w:rPr>
                <w:rFonts w:ascii="宋体" w:hAnsi="宋体"/>
                <w:szCs w:val="21"/>
              </w:rPr>
            </w:pPr>
          </w:p>
        </w:tc>
        <w:tc>
          <w:tcPr>
            <w:tcW w:w="1034" w:type="dxa"/>
            <w:noWrap/>
            <w:vAlign w:val="center"/>
          </w:tcPr>
          <w:p w14:paraId="40B7957F">
            <w:pPr>
              <w:adjustRightInd w:val="0"/>
              <w:snapToGrid w:val="0"/>
              <w:spacing w:line="360" w:lineRule="auto"/>
              <w:jc w:val="center"/>
              <w:rPr>
                <w:rFonts w:ascii="宋体" w:hAnsi="宋体"/>
                <w:szCs w:val="21"/>
              </w:rPr>
            </w:pPr>
          </w:p>
        </w:tc>
        <w:tc>
          <w:tcPr>
            <w:tcW w:w="861" w:type="dxa"/>
            <w:noWrap/>
            <w:vAlign w:val="center"/>
          </w:tcPr>
          <w:p w14:paraId="42291DC2">
            <w:pPr>
              <w:adjustRightInd w:val="0"/>
              <w:snapToGrid w:val="0"/>
              <w:spacing w:line="360" w:lineRule="auto"/>
              <w:jc w:val="center"/>
              <w:rPr>
                <w:rFonts w:ascii="宋体" w:hAnsi="宋体"/>
                <w:szCs w:val="21"/>
              </w:rPr>
            </w:pPr>
          </w:p>
        </w:tc>
        <w:tc>
          <w:tcPr>
            <w:tcW w:w="1530" w:type="dxa"/>
            <w:gridSpan w:val="2"/>
            <w:noWrap/>
            <w:vAlign w:val="center"/>
          </w:tcPr>
          <w:p w14:paraId="742A57FD">
            <w:pPr>
              <w:adjustRightInd w:val="0"/>
              <w:snapToGrid w:val="0"/>
              <w:spacing w:line="360" w:lineRule="auto"/>
              <w:jc w:val="center"/>
              <w:rPr>
                <w:rFonts w:ascii="宋体" w:hAnsi="宋体"/>
                <w:szCs w:val="21"/>
              </w:rPr>
            </w:pPr>
          </w:p>
        </w:tc>
        <w:tc>
          <w:tcPr>
            <w:tcW w:w="2100" w:type="dxa"/>
            <w:noWrap/>
          </w:tcPr>
          <w:p w14:paraId="76A6E5B2">
            <w:pPr>
              <w:adjustRightInd w:val="0"/>
              <w:snapToGrid w:val="0"/>
              <w:spacing w:line="360" w:lineRule="auto"/>
              <w:jc w:val="center"/>
              <w:rPr>
                <w:rFonts w:ascii="宋体" w:hAnsi="宋体"/>
                <w:szCs w:val="21"/>
              </w:rPr>
            </w:pPr>
          </w:p>
        </w:tc>
        <w:tc>
          <w:tcPr>
            <w:tcW w:w="1170" w:type="dxa"/>
            <w:noWrap/>
            <w:vAlign w:val="center"/>
          </w:tcPr>
          <w:p w14:paraId="2925EB02">
            <w:pPr>
              <w:adjustRightInd w:val="0"/>
              <w:snapToGrid w:val="0"/>
              <w:spacing w:line="360" w:lineRule="auto"/>
              <w:jc w:val="center"/>
              <w:rPr>
                <w:rFonts w:ascii="宋体" w:hAnsi="宋体"/>
                <w:szCs w:val="21"/>
              </w:rPr>
            </w:pPr>
          </w:p>
        </w:tc>
      </w:tr>
      <w:tr w14:paraId="67AC6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9585" w:type="dxa"/>
            <w:gridSpan w:val="9"/>
            <w:noWrap/>
            <w:vAlign w:val="center"/>
          </w:tcPr>
          <w:p w14:paraId="1E43E38E">
            <w:pPr>
              <w:adjustRightInd w:val="0"/>
              <w:snapToGrid w:val="0"/>
              <w:spacing w:line="360" w:lineRule="auto"/>
              <w:jc w:val="left"/>
              <w:rPr>
                <w:rFonts w:ascii="宋体" w:hAnsi="宋体"/>
                <w:szCs w:val="21"/>
              </w:rPr>
            </w:pPr>
            <w:r>
              <w:rPr>
                <w:rFonts w:hint="eastAsia" w:ascii="宋体" w:hAnsi="宋体"/>
                <w:b/>
                <w:szCs w:val="21"/>
              </w:rPr>
              <w:t>监狱</w:t>
            </w:r>
          </w:p>
        </w:tc>
      </w:tr>
      <w:tr w14:paraId="0ABD87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4EE3A0CB">
            <w:pPr>
              <w:adjustRightInd w:val="0"/>
              <w:snapToGrid w:val="0"/>
              <w:spacing w:line="360" w:lineRule="auto"/>
              <w:jc w:val="center"/>
              <w:rPr>
                <w:rFonts w:ascii="宋体" w:hAnsi="宋体"/>
                <w:szCs w:val="21"/>
              </w:rPr>
            </w:pPr>
          </w:p>
        </w:tc>
        <w:tc>
          <w:tcPr>
            <w:tcW w:w="1378" w:type="dxa"/>
            <w:noWrap/>
            <w:vAlign w:val="center"/>
          </w:tcPr>
          <w:p w14:paraId="05ABD0E7">
            <w:pPr>
              <w:adjustRightInd w:val="0"/>
              <w:snapToGrid w:val="0"/>
              <w:spacing w:line="360" w:lineRule="auto"/>
              <w:jc w:val="center"/>
              <w:rPr>
                <w:rFonts w:ascii="宋体" w:hAnsi="宋体"/>
                <w:szCs w:val="21"/>
              </w:rPr>
            </w:pPr>
          </w:p>
        </w:tc>
        <w:tc>
          <w:tcPr>
            <w:tcW w:w="861" w:type="dxa"/>
            <w:noWrap/>
            <w:vAlign w:val="center"/>
          </w:tcPr>
          <w:p w14:paraId="7E369588">
            <w:pPr>
              <w:adjustRightInd w:val="0"/>
              <w:snapToGrid w:val="0"/>
              <w:spacing w:line="360" w:lineRule="auto"/>
              <w:jc w:val="center"/>
              <w:rPr>
                <w:rFonts w:ascii="宋体" w:hAnsi="宋体"/>
                <w:szCs w:val="21"/>
              </w:rPr>
            </w:pPr>
          </w:p>
        </w:tc>
        <w:tc>
          <w:tcPr>
            <w:tcW w:w="1034" w:type="dxa"/>
            <w:noWrap/>
            <w:vAlign w:val="center"/>
          </w:tcPr>
          <w:p w14:paraId="520D423D">
            <w:pPr>
              <w:adjustRightInd w:val="0"/>
              <w:snapToGrid w:val="0"/>
              <w:spacing w:line="360" w:lineRule="auto"/>
              <w:jc w:val="center"/>
              <w:rPr>
                <w:rFonts w:ascii="宋体" w:hAnsi="宋体"/>
                <w:szCs w:val="21"/>
              </w:rPr>
            </w:pPr>
          </w:p>
        </w:tc>
        <w:tc>
          <w:tcPr>
            <w:tcW w:w="861" w:type="dxa"/>
            <w:noWrap/>
            <w:vAlign w:val="center"/>
          </w:tcPr>
          <w:p w14:paraId="415183F1">
            <w:pPr>
              <w:adjustRightInd w:val="0"/>
              <w:snapToGrid w:val="0"/>
              <w:spacing w:line="360" w:lineRule="auto"/>
              <w:jc w:val="center"/>
              <w:rPr>
                <w:rFonts w:ascii="宋体" w:hAnsi="宋体"/>
                <w:szCs w:val="21"/>
              </w:rPr>
            </w:pPr>
          </w:p>
        </w:tc>
        <w:tc>
          <w:tcPr>
            <w:tcW w:w="1530" w:type="dxa"/>
            <w:gridSpan w:val="2"/>
            <w:noWrap/>
            <w:vAlign w:val="center"/>
          </w:tcPr>
          <w:p w14:paraId="29702447">
            <w:pPr>
              <w:adjustRightInd w:val="0"/>
              <w:snapToGrid w:val="0"/>
              <w:spacing w:line="360" w:lineRule="auto"/>
              <w:jc w:val="center"/>
              <w:rPr>
                <w:rFonts w:ascii="宋体" w:hAnsi="宋体"/>
                <w:szCs w:val="21"/>
              </w:rPr>
            </w:pPr>
          </w:p>
        </w:tc>
        <w:tc>
          <w:tcPr>
            <w:tcW w:w="2100" w:type="dxa"/>
            <w:noWrap/>
          </w:tcPr>
          <w:p w14:paraId="1F544DCE">
            <w:pPr>
              <w:adjustRightInd w:val="0"/>
              <w:snapToGrid w:val="0"/>
              <w:spacing w:line="360" w:lineRule="auto"/>
              <w:jc w:val="center"/>
              <w:rPr>
                <w:rFonts w:ascii="宋体" w:hAnsi="宋体"/>
                <w:szCs w:val="21"/>
              </w:rPr>
            </w:pPr>
          </w:p>
        </w:tc>
        <w:tc>
          <w:tcPr>
            <w:tcW w:w="1170" w:type="dxa"/>
            <w:noWrap/>
            <w:vAlign w:val="center"/>
          </w:tcPr>
          <w:p w14:paraId="26A28D6A">
            <w:pPr>
              <w:adjustRightInd w:val="0"/>
              <w:snapToGrid w:val="0"/>
              <w:spacing w:line="360" w:lineRule="auto"/>
              <w:jc w:val="center"/>
              <w:rPr>
                <w:rFonts w:ascii="宋体" w:hAnsi="宋体"/>
                <w:szCs w:val="21"/>
              </w:rPr>
            </w:pPr>
          </w:p>
        </w:tc>
      </w:tr>
      <w:tr w14:paraId="4FFDDD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3E790CE8">
            <w:pPr>
              <w:adjustRightInd w:val="0"/>
              <w:snapToGrid w:val="0"/>
              <w:spacing w:line="360" w:lineRule="auto"/>
              <w:jc w:val="center"/>
              <w:rPr>
                <w:rFonts w:ascii="宋体" w:hAnsi="宋体"/>
                <w:szCs w:val="21"/>
              </w:rPr>
            </w:pPr>
          </w:p>
        </w:tc>
        <w:tc>
          <w:tcPr>
            <w:tcW w:w="1378" w:type="dxa"/>
            <w:noWrap/>
            <w:vAlign w:val="center"/>
          </w:tcPr>
          <w:p w14:paraId="5531A269">
            <w:pPr>
              <w:adjustRightInd w:val="0"/>
              <w:snapToGrid w:val="0"/>
              <w:spacing w:line="360" w:lineRule="auto"/>
              <w:jc w:val="center"/>
              <w:rPr>
                <w:rFonts w:ascii="宋体" w:hAnsi="宋体"/>
                <w:szCs w:val="21"/>
              </w:rPr>
            </w:pPr>
          </w:p>
        </w:tc>
        <w:tc>
          <w:tcPr>
            <w:tcW w:w="861" w:type="dxa"/>
            <w:noWrap/>
            <w:vAlign w:val="center"/>
          </w:tcPr>
          <w:p w14:paraId="34EEA3D7">
            <w:pPr>
              <w:adjustRightInd w:val="0"/>
              <w:snapToGrid w:val="0"/>
              <w:spacing w:line="360" w:lineRule="auto"/>
              <w:jc w:val="center"/>
              <w:rPr>
                <w:rFonts w:ascii="宋体" w:hAnsi="宋体"/>
                <w:szCs w:val="21"/>
              </w:rPr>
            </w:pPr>
          </w:p>
        </w:tc>
        <w:tc>
          <w:tcPr>
            <w:tcW w:w="1034" w:type="dxa"/>
            <w:noWrap/>
            <w:vAlign w:val="center"/>
          </w:tcPr>
          <w:p w14:paraId="589630C0">
            <w:pPr>
              <w:adjustRightInd w:val="0"/>
              <w:snapToGrid w:val="0"/>
              <w:spacing w:line="360" w:lineRule="auto"/>
              <w:jc w:val="center"/>
              <w:rPr>
                <w:rFonts w:ascii="宋体" w:hAnsi="宋体"/>
                <w:szCs w:val="21"/>
              </w:rPr>
            </w:pPr>
          </w:p>
        </w:tc>
        <w:tc>
          <w:tcPr>
            <w:tcW w:w="861" w:type="dxa"/>
            <w:noWrap/>
            <w:vAlign w:val="center"/>
          </w:tcPr>
          <w:p w14:paraId="21335BCC">
            <w:pPr>
              <w:adjustRightInd w:val="0"/>
              <w:snapToGrid w:val="0"/>
              <w:spacing w:line="360" w:lineRule="auto"/>
              <w:jc w:val="center"/>
              <w:rPr>
                <w:rFonts w:ascii="宋体" w:hAnsi="宋体"/>
                <w:szCs w:val="21"/>
              </w:rPr>
            </w:pPr>
          </w:p>
        </w:tc>
        <w:tc>
          <w:tcPr>
            <w:tcW w:w="1530" w:type="dxa"/>
            <w:gridSpan w:val="2"/>
            <w:noWrap/>
            <w:vAlign w:val="center"/>
          </w:tcPr>
          <w:p w14:paraId="70525509">
            <w:pPr>
              <w:adjustRightInd w:val="0"/>
              <w:snapToGrid w:val="0"/>
              <w:spacing w:line="360" w:lineRule="auto"/>
              <w:jc w:val="center"/>
              <w:rPr>
                <w:rFonts w:ascii="宋体" w:hAnsi="宋体"/>
                <w:szCs w:val="21"/>
              </w:rPr>
            </w:pPr>
          </w:p>
        </w:tc>
        <w:tc>
          <w:tcPr>
            <w:tcW w:w="2100" w:type="dxa"/>
            <w:noWrap/>
          </w:tcPr>
          <w:p w14:paraId="37F1DDE1">
            <w:pPr>
              <w:adjustRightInd w:val="0"/>
              <w:snapToGrid w:val="0"/>
              <w:spacing w:line="360" w:lineRule="auto"/>
              <w:jc w:val="center"/>
              <w:rPr>
                <w:rFonts w:ascii="宋体" w:hAnsi="宋体"/>
                <w:szCs w:val="21"/>
              </w:rPr>
            </w:pPr>
          </w:p>
        </w:tc>
        <w:tc>
          <w:tcPr>
            <w:tcW w:w="1170" w:type="dxa"/>
            <w:noWrap/>
            <w:vAlign w:val="center"/>
          </w:tcPr>
          <w:p w14:paraId="5BD85302">
            <w:pPr>
              <w:adjustRightInd w:val="0"/>
              <w:snapToGrid w:val="0"/>
              <w:spacing w:line="360" w:lineRule="auto"/>
              <w:jc w:val="center"/>
              <w:rPr>
                <w:rFonts w:ascii="宋体" w:hAnsi="宋体"/>
                <w:szCs w:val="21"/>
              </w:rPr>
            </w:pPr>
          </w:p>
        </w:tc>
      </w:tr>
      <w:tr w14:paraId="72FB80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651" w:type="dxa"/>
            <w:noWrap/>
            <w:vAlign w:val="center"/>
          </w:tcPr>
          <w:p w14:paraId="7A374D94">
            <w:pPr>
              <w:adjustRightInd w:val="0"/>
              <w:snapToGrid w:val="0"/>
              <w:spacing w:line="360" w:lineRule="auto"/>
              <w:jc w:val="center"/>
              <w:rPr>
                <w:rFonts w:ascii="宋体" w:hAnsi="宋体"/>
                <w:szCs w:val="21"/>
              </w:rPr>
            </w:pPr>
            <w:r>
              <w:rPr>
                <w:rFonts w:hint="eastAsia" w:ascii="宋体" w:hAnsi="宋体"/>
                <w:szCs w:val="21"/>
              </w:rPr>
              <w:t>小计</w:t>
            </w:r>
          </w:p>
        </w:tc>
        <w:tc>
          <w:tcPr>
            <w:tcW w:w="1378" w:type="dxa"/>
            <w:noWrap/>
            <w:vAlign w:val="center"/>
          </w:tcPr>
          <w:p w14:paraId="1AF5250B">
            <w:pPr>
              <w:adjustRightInd w:val="0"/>
              <w:snapToGrid w:val="0"/>
              <w:spacing w:line="360" w:lineRule="auto"/>
              <w:jc w:val="center"/>
              <w:rPr>
                <w:rFonts w:ascii="宋体" w:hAnsi="宋体"/>
                <w:szCs w:val="21"/>
              </w:rPr>
            </w:pPr>
          </w:p>
        </w:tc>
        <w:tc>
          <w:tcPr>
            <w:tcW w:w="861" w:type="dxa"/>
            <w:noWrap/>
            <w:vAlign w:val="center"/>
          </w:tcPr>
          <w:p w14:paraId="7B53ADF7">
            <w:pPr>
              <w:adjustRightInd w:val="0"/>
              <w:snapToGrid w:val="0"/>
              <w:spacing w:line="360" w:lineRule="auto"/>
              <w:jc w:val="center"/>
              <w:rPr>
                <w:rFonts w:ascii="宋体" w:hAnsi="宋体"/>
                <w:szCs w:val="21"/>
              </w:rPr>
            </w:pPr>
          </w:p>
        </w:tc>
        <w:tc>
          <w:tcPr>
            <w:tcW w:w="1034" w:type="dxa"/>
            <w:noWrap/>
            <w:vAlign w:val="center"/>
          </w:tcPr>
          <w:p w14:paraId="6559F253">
            <w:pPr>
              <w:adjustRightInd w:val="0"/>
              <w:snapToGrid w:val="0"/>
              <w:spacing w:line="360" w:lineRule="auto"/>
              <w:jc w:val="center"/>
              <w:rPr>
                <w:rFonts w:ascii="宋体" w:hAnsi="宋体"/>
                <w:szCs w:val="21"/>
              </w:rPr>
            </w:pPr>
          </w:p>
        </w:tc>
        <w:tc>
          <w:tcPr>
            <w:tcW w:w="861" w:type="dxa"/>
            <w:noWrap/>
            <w:vAlign w:val="center"/>
          </w:tcPr>
          <w:p w14:paraId="19EE199E">
            <w:pPr>
              <w:adjustRightInd w:val="0"/>
              <w:snapToGrid w:val="0"/>
              <w:spacing w:line="360" w:lineRule="auto"/>
              <w:jc w:val="center"/>
              <w:rPr>
                <w:rFonts w:ascii="宋体" w:hAnsi="宋体"/>
                <w:szCs w:val="21"/>
              </w:rPr>
            </w:pPr>
          </w:p>
        </w:tc>
        <w:tc>
          <w:tcPr>
            <w:tcW w:w="1530" w:type="dxa"/>
            <w:gridSpan w:val="2"/>
            <w:noWrap/>
            <w:vAlign w:val="center"/>
          </w:tcPr>
          <w:p w14:paraId="038097D2">
            <w:pPr>
              <w:adjustRightInd w:val="0"/>
              <w:snapToGrid w:val="0"/>
              <w:spacing w:line="360" w:lineRule="auto"/>
              <w:jc w:val="center"/>
              <w:rPr>
                <w:rFonts w:ascii="宋体" w:hAnsi="宋体"/>
                <w:szCs w:val="21"/>
              </w:rPr>
            </w:pPr>
          </w:p>
        </w:tc>
        <w:tc>
          <w:tcPr>
            <w:tcW w:w="2100" w:type="dxa"/>
            <w:noWrap/>
          </w:tcPr>
          <w:p w14:paraId="38F226CA">
            <w:pPr>
              <w:adjustRightInd w:val="0"/>
              <w:snapToGrid w:val="0"/>
              <w:spacing w:line="360" w:lineRule="auto"/>
              <w:jc w:val="center"/>
              <w:rPr>
                <w:rFonts w:ascii="宋体" w:hAnsi="宋体"/>
                <w:szCs w:val="21"/>
              </w:rPr>
            </w:pPr>
          </w:p>
        </w:tc>
        <w:tc>
          <w:tcPr>
            <w:tcW w:w="1170" w:type="dxa"/>
            <w:noWrap/>
            <w:vAlign w:val="center"/>
          </w:tcPr>
          <w:p w14:paraId="295B356A">
            <w:pPr>
              <w:adjustRightInd w:val="0"/>
              <w:snapToGrid w:val="0"/>
              <w:spacing w:line="360" w:lineRule="auto"/>
              <w:jc w:val="center"/>
              <w:rPr>
                <w:rFonts w:ascii="宋体" w:hAnsi="宋体"/>
                <w:szCs w:val="21"/>
              </w:rPr>
            </w:pPr>
          </w:p>
        </w:tc>
      </w:tr>
    </w:tbl>
    <w:p w14:paraId="0EB247F6">
      <w:pPr>
        <w:adjustRightInd w:val="0"/>
        <w:snapToGrid w:val="0"/>
        <w:spacing w:line="360" w:lineRule="auto"/>
        <w:rPr>
          <w:rFonts w:ascii="宋体" w:hAnsi="宋体"/>
          <w:szCs w:val="21"/>
        </w:rPr>
      </w:pPr>
      <w:r>
        <w:rPr>
          <w:rFonts w:hint="eastAsia" w:ascii="宋体" w:hAnsi="宋体"/>
          <w:szCs w:val="21"/>
        </w:rPr>
        <w:t>说明：1、本表用于计算中小企业应享受的政策功能价格扣除。</w:t>
      </w:r>
    </w:p>
    <w:p w14:paraId="6EEDCE55">
      <w:pPr>
        <w:adjustRightInd w:val="0"/>
        <w:snapToGrid w:val="0"/>
        <w:spacing w:line="360" w:lineRule="auto"/>
        <w:ind w:firstLine="630" w:firstLineChars="300"/>
        <w:rPr>
          <w:rFonts w:ascii="宋体" w:hAnsi="宋体"/>
          <w:szCs w:val="21"/>
        </w:rPr>
      </w:pPr>
      <w:r>
        <w:rPr>
          <w:rFonts w:hint="eastAsia" w:ascii="宋体" w:hAnsi="宋体"/>
          <w:szCs w:val="21"/>
        </w:rPr>
        <w:t>2、栏目4“单价”为综合单价，包含货物所有隐含的内容，如运输费、保险费、管理费和利润等。</w:t>
      </w:r>
    </w:p>
    <w:p w14:paraId="261A2267">
      <w:pPr>
        <w:adjustRightInd w:val="0"/>
        <w:snapToGrid w:val="0"/>
        <w:spacing w:line="360" w:lineRule="auto"/>
        <w:ind w:firstLine="630" w:firstLineChars="300"/>
        <w:rPr>
          <w:rFonts w:ascii="宋体" w:hAnsi="宋体"/>
          <w:szCs w:val="21"/>
        </w:rPr>
      </w:pPr>
      <w:r>
        <w:rPr>
          <w:rFonts w:hint="eastAsia" w:ascii="宋体" w:hAnsi="宋体"/>
          <w:szCs w:val="21"/>
        </w:rPr>
        <w:t>3、未提供《中小企业声明函》及未按上述要求填写的，评审时本表所有优惠不予以考虑。</w:t>
      </w:r>
    </w:p>
    <w:p w14:paraId="634D9D85">
      <w:pPr>
        <w:pStyle w:val="38"/>
        <w:ind w:firstLine="200"/>
      </w:pPr>
    </w:p>
    <w:p w14:paraId="5150CB56">
      <w:pPr>
        <w:adjustRightInd w:val="0"/>
        <w:snapToGrid w:val="0"/>
        <w:spacing w:line="360" w:lineRule="auto"/>
        <w:rPr>
          <w:rFonts w:ascii="宋体" w:hAnsi="宋体"/>
          <w:szCs w:val="21"/>
        </w:rPr>
      </w:pPr>
      <w:r>
        <w:rPr>
          <w:rFonts w:hint="eastAsia" w:ascii="宋体" w:hAnsi="宋体"/>
          <w:szCs w:val="21"/>
        </w:rPr>
        <w:t>投标人名称（盖单位章）：</w:t>
      </w:r>
    </w:p>
    <w:p w14:paraId="02919AF7">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D76A74">
      <w:pPr>
        <w:adjustRightInd w:val="0"/>
        <w:snapToGrid w:val="0"/>
        <w:spacing w:before="50" w:line="360" w:lineRule="auto"/>
        <w:rPr>
          <w:rFonts w:ascii="黑体" w:hAnsi="华文中宋" w:eastAsia="黑体" w:cs="宋体"/>
          <w:bCs/>
          <w:color w:val="000000"/>
          <w:spacing w:val="6"/>
          <w:kern w:val="0"/>
          <w:szCs w:val="21"/>
        </w:rPr>
      </w:pPr>
      <w:r>
        <w:rPr>
          <w:rFonts w:ascii="黑体" w:hAnsi="华文中宋" w:eastAsia="黑体" w:cs="宋体"/>
          <w:b/>
          <w:bCs/>
          <w:spacing w:val="6"/>
          <w:kern w:val="0"/>
          <w:sz w:val="24"/>
        </w:rPr>
        <w:br w:type="page"/>
      </w:r>
      <w:r>
        <w:rPr>
          <w:rFonts w:hint="eastAsia" w:ascii="黑体" w:hAnsi="华文中宋" w:eastAsia="黑体" w:cs="宋体"/>
          <w:bCs/>
          <w:color w:val="000000"/>
          <w:spacing w:val="6"/>
          <w:kern w:val="0"/>
          <w:szCs w:val="21"/>
        </w:rPr>
        <w:t xml:space="preserve">附页10-5  </w:t>
      </w:r>
    </w:p>
    <w:p w14:paraId="1E08E80E">
      <w:pPr>
        <w:adjustRightInd w:val="0"/>
        <w:snapToGrid w:val="0"/>
        <w:spacing w:before="50" w:line="360" w:lineRule="auto"/>
        <w:jc w:val="center"/>
        <w:rPr>
          <w:rFonts w:ascii="黑体" w:hAnsi="宋体" w:eastAsia="黑体"/>
          <w:color w:val="000000"/>
          <w:sz w:val="28"/>
          <w:szCs w:val="28"/>
        </w:rPr>
      </w:pPr>
      <w:r>
        <w:rPr>
          <w:rFonts w:hint="eastAsia" w:ascii="黑体" w:hAnsi="宋体" w:eastAsia="黑体"/>
          <w:color w:val="000000"/>
          <w:sz w:val="28"/>
          <w:szCs w:val="28"/>
        </w:rPr>
        <w:t>节能</w:t>
      </w:r>
      <w:r>
        <w:rPr>
          <w:rFonts w:hint="eastAsia" w:ascii="黑体" w:hAnsi="宋体" w:eastAsia="黑体"/>
          <w:bCs/>
          <w:color w:val="000000"/>
          <w:sz w:val="28"/>
          <w:szCs w:val="28"/>
        </w:rPr>
        <w:t>产品</w:t>
      </w:r>
      <w:r>
        <w:rPr>
          <w:rFonts w:hint="eastAsia" w:ascii="黑体" w:hAnsi="宋体" w:eastAsia="黑体"/>
          <w:color w:val="000000"/>
          <w:sz w:val="28"/>
          <w:szCs w:val="28"/>
        </w:rPr>
        <w:t>、环境标志</w:t>
      </w:r>
      <w:r>
        <w:rPr>
          <w:rFonts w:hint="eastAsia" w:ascii="黑体" w:hAnsi="宋体" w:eastAsia="黑体"/>
          <w:bCs/>
          <w:color w:val="000000"/>
          <w:sz w:val="28"/>
          <w:szCs w:val="28"/>
        </w:rPr>
        <w:t>产品的</w:t>
      </w:r>
      <w:r>
        <w:rPr>
          <w:rFonts w:hint="eastAsia" w:ascii="黑体" w:hAnsi="宋体" w:eastAsia="黑体"/>
          <w:color w:val="000000"/>
          <w:sz w:val="28"/>
          <w:szCs w:val="28"/>
        </w:rPr>
        <w:t>证明材料</w:t>
      </w:r>
    </w:p>
    <w:p w14:paraId="468BD9EB">
      <w:pPr>
        <w:spacing w:line="480" w:lineRule="exact"/>
        <w:rPr>
          <w:rFonts w:ascii="黑体" w:eastAsia="黑体"/>
          <w:color w:val="000000"/>
          <w:sz w:val="24"/>
        </w:rPr>
      </w:pPr>
    </w:p>
    <w:p w14:paraId="3ECF2314">
      <w:pPr>
        <w:adjustRightInd w:val="0"/>
        <w:snapToGrid w:val="0"/>
        <w:spacing w:line="360" w:lineRule="auto"/>
        <w:ind w:firstLine="420" w:firstLineChars="200"/>
        <w:jc w:val="left"/>
        <w:rPr>
          <w:rFonts w:ascii="宋体" w:hAnsi="宋体"/>
          <w:color w:val="000000"/>
          <w:szCs w:val="21"/>
        </w:rPr>
      </w:pPr>
      <w:r>
        <w:rPr>
          <w:rFonts w:hint="eastAsia" w:ascii="宋体" w:hAnsi="宋体"/>
          <w:color w:val="000000"/>
          <w:szCs w:val="21"/>
        </w:rPr>
        <w:t>说明：</w:t>
      </w:r>
      <w:r>
        <w:rPr>
          <w:rFonts w:hint="eastAsia" w:ascii="宋体" w:hAnsi="宋体"/>
          <w:bCs/>
          <w:color w:val="000000"/>
          <w:szCs w:val="21"/>
        </w:rPr>
        <w:t>1、</w:t>
      </w:r>
      <w:r>
        <w:rPr>
          <w:rFonts w:hint="eastAsia" w:ascii="宋体" w:hAnsi="宋体"/>
          <w:color w:val="000000"/>
          <w:szCs w:val="21"/>
        </w:rPr>
        <w:t>投标人提供的产品</w:t>
      </w:r>
      <w:r>
        <w:rPr>
          <w:rFonts w:hint="eastAsia" w:ascii="宋体" w:hAnsi="宋体"/>
          <w:bCs/>
          <w:color w:val="000000"/>
          <w:szCs w:val="21"/>
        </w:rPr>
        <w:t>属于强制采购或者优先采购的</w:t>
      </w:r>
      <w:r>
        <w:rPr>
          <w:rFonts w:hint="eastAsia" w:ascii="宋体" w:hAnsi="宋体"/>
          <w:color w:val="000000"/>
          <w:szCs w:val="21"/>
        </w:rPr>
        <w:t>，应按第二章第3</w:t>
      </w:r>
      <w:r>
        <w:rPr>
          <w:rFonts w:ascii="宋体" w:hAnsi="宋体"/>
          <w:color w:val="000000"/>
          <w:szCs w:val="21"/>
        </w:rPr>
        <w:t>6</w:t>
      </w:r>
      <w:r>
        <w:rPr>
          <w:rFonts w:hint="eastAsia" w:ascii="宋体" w:hAnsi="宋体"/>
          <w:color w:val="000000"/>
          <w:szCs w:val="21"/>
        </w:rPr>
        <w:t>.2款或者第3</w:t>
      </w:r>
      <w:r>
        <w:rPr>
          <w:rFonts w:ascii="宋体" w:hAnsi="宋体"/>
          <w:color w:val="000000"/>
          <w:szCs w:val="21"/>
        </w:rPr>
        <w:t>6</w:t>
      </w:r>
      <w:r>
        <w:rPr>
          <w:rFonts w:hint="eastAsia" w:ascii="宋体" w:hAnsi="宋体"/>
          <w:color w:val="000000"/>
          <w:szCs w:val="21"/>
        </w:rPr>
        <w:t>.3款规定提供产品列入《节能产品政府采购品目清单》、《环境标志产品政府采购品目清单》所在页或证书复印件（该页包含制造商或企业名称或申请单位名称、规格型号、有效截止日期等内容），并加盖投标人单位章。在本章《附6-6 提供节能产品、环境标志产品清单》中提供相应数据。</w:t>
      </w:r>
    </w:p>
    <w:p w14:paraId="04AB4A47">
      <w:pPr>
        <w:adjustRightInd w:val="0"/>
        <w:snapToGrid w:val="0"/>
        <w:spacing w:line="360" w:lineRule="auto"/>
        <w:ind w:firstLine="420" w:firstLineChars="200"/>
        <w:rPr>
          <w:rFonts w:ascii="宋体" w:hAnsi="宋体"/>
          <w:bCs/>
          <w:color w:val="000000"/>
          <w:szCs w:val="21"/>
        </w:rPr>
      </w:pPr>
      <w:r>
        <w:rPr>
          <w:rFonts w:hint="eastAsia" w:ascii="宋体" w:hAnsi="宋体"/>
          <w:bCs/>
          <w:color w:val="000000"/>
          <w:szCs w:val="21"/>
        </w:rPr>
        <w:t>2、未按上述要求提供的，评审时不予以考虑。</w:t>
      </w:r>
    </w:p>
    <w:p w14:paraId="34F58B47">
      <w:pPr>
        <w:adjustRightInd w:val="0"/>
        <w:snapToGrid w:val="0"/>
        <w:spacing w:before="50" w:line="360" w:lineRule="auto"/>
        <w:rPr>
          <w:rFonts w:ascii="黑体" w:hAnsi="宋体" w:eastAsia="黑体"/>
          <w:szCs w:val="21"/>
        </w:rPr>
      </w:pPr>
      <w:r>
        <w:rPr>
          <w:rFonts w:hint="eastAsia" w:ascii="黑体" w:hAnsi="宋体" w:eastAsia="黑体"/>
          <w:sz w:val="28"/>
          <w:szCs w:val="28"/>
        </w:rPr>
        <w:br w:type="page"/>
      </w:r>
      <w:r>
        <w:rPr>
          <w:rFonts w:hint="eastAsia" w:ascii="黑体" w:hAnsi="宋体" w:eastAsia="黑体"/>
          <w:szCs w:val="21"/>
        </w:rPr>
        <w:t>附页10-6</w:t>
      </w:r>
    </w:p>
    <w:p w14:paraId="6CDAFFD8">
      <w:pPr>
        <w:adjustRightInd w:val="0"/>
        <w:snapToGrid w:val="0"/>
        <w:spacing w:before="50" w:line="360" w:lineRule="auto"/>
        <w:jc w:val="center"/>
        <w:rPr>
          <w:rFonts w:ascii="宋体" w:hAnsi="宋体"/>
          <w:szCs w:val="21"/>
        </w:rPr>
      </w:pPr>
      <w:r>
        <w:rPr>
          <w:rFonts w:hint="eastAsia" w:ascii="黑体" w:hAnsi="宋体" w:eastAsia="黑体"/>
          <w:sz w:val="28"/>
          <w:szCs w:val="28"/>
        </w:rPr>
        <w:t>提供节能</w:t>
      </w:r>
      <w:r>
        <w:rPr>
          <w:rFonts w:hint="eastAsia" w:ascii="黑体" w:hAnsi="宋体" w:eastAsia="黑体"/>
          <w:bCs/>
          <w:sz w:val="28"/>
          <w:szCs w:val="28"/>
        </w:rPr>
        <w:t>产品</w:t>
      </w:r>
      <w:r>
        <w:rPr>
          <w:rFonts w:hint="eastAsia" w:ascii="黑体" w:hAnsi="宋体" w:eastAsia="黑体"/>
          <w:sz w:val="28"/>
          <w:szCs w:val="28"/>
        </w:rPr>
        <w:t>、环境标志</w:t>
      </w:r>
      <w:r>
        <w:rPr>
          <w:rFonts w:hint="eastAsia" w:ascii="黑体" w:hAnsi="宋体" w:eastAsia="黑体"/>
          <w:bCs/>
          <w:sz w:val="28"/>
          <w:szCs w:val="28"/>
        </w:rPr>
        <w:t>产品</w:t>
      </w:r>
      <w:r>
        <w:rPr>
          <w:rFonts w:hint="eastAsia" w:ascii="黑体" w:hAnsi="宋体" w:eastAsia="黑体"/>
          <w:sz w:val="28"/>
          <w:szCs w:val="28"/>
        </w:rPr>
        <w:t>清单</w:t>
      </w:r>
      <w:r>
        <w:rPr>
          <w:rFonts w:hint="eastAsia" w:hAnsi="宋体"/>
          <w:szCs w:val="21"/>
        </w:rPr>
        <w:t xml:space="preserve">            </w:t>
      </w:r>
    </w:p>
    <w:tbl>
      <w:tblPr>
        <w:tblStyle w:val="40"/>
        <w:tblW w:w="0" w:type="auto"/>
        <w:tblInd w:w="315"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0"/>
        <w:gridCol w:w="1804"/>
        <w:gridCol w:w="862"/>
        <w:gridCol w:w="1033"/>
        <w:gridCol w:w="1207"/>
        <w:gridCol w:w="2411"/>
        <w:gridCol w:w="1218"/>
      </w:tblGrid>
      <w:tr w14:paraId="2A8036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9345" w:type="dxa"/>
            <w:gridSpan w:val="7"/>
            <w:noWrap/>
            <w:vAlign w:val="center"/>
          </w:tcPr>
          <w:p w14:paraId="442FC698">
            <w:pPr>
              <w:widowControl/>
              <w:adjustRightInd w:val="0"/>
              <w:snapToGrid w:val="0"/>
              <w:spacing w:line="360" w:lineRule="auto"/>
              <w:jc w:val="center"/>
              <w:rPr>
                <w:rFonts w:ascii="黑体" w:hAnsi="宋体" w:eastAsia="黑体"/>
                <w:kern w:val="0"/>
                <w:szCs w:val="21"/>
              </w:rPr>
            </w:pPr>
            <w:r>
              <w:rPr>
                <w:rFonts w:hint="eastAsia" w:ascii="黑体" w:hAnsi="宋体" w:eastAsia="黑体"/>
                <w:kern w:val="0"/>
                <w:szCs w:val="21"/>
              </w:rPr>
              <w:t>本公司对本表的真实性负责。如有虚假，将依法承担相应责任。</w:t>
            </w:r>
          </w:p>
        </w:tc>
      </w:tr>
      <w:tr w14:paraId="1FDAE7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10" w:type="dxa"/>
            <w:noWrap/>
            <w:vAlign w:val="center"/>
          </w:tcPr>
          <w:p w14:paraId="5535AC91">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804" w:type="dxa"/>
            <w:noWrap/>
            <w:vAlign w:val="center"/>
          </w:tcPr>
          <w:p w14:paraId="0062FCB5">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862" w:type="dxa"/>
            <w:noWrap/>
            <w:vAlign w:val="center"/>
          </w:tcPr>
          <w:p w14:paraId="113BA356">
            <w:pPr>
              <w:widowControl/>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033" w:type="dxa"/>
            <w:noWrap/>
            <w:vAlign w:val="center"/>
          </w:tcPr>
          <w:p w14:paraId="30BF334D">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207" w:type="dxa"/>
            <w:noWrap/>
            <w:vAlign w:val="center"/>
          </w:tcPr>
          <w:p w14:paraId="33DC3AB7">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2411" w:type="dxa"/>
            <w:noWrap/>
            <w:vAlign w:val="center"/>
          </w:tcPr>
          <w:p w14:paraId="19F75B70">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218" w:type="dxa"/>
            <w:noWrap/>
            <w:vAlign w:val="center"/>
          </w:tcPr>
          <w:p w14:paraId="73BBC7E5">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0B50A6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810" w:type="dxa"/>
            <w:noWrap/>
            <w:vAlign w:val="center"/>
          </w:tcPr>
          <w:p w14:paraId="76E3C400">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804" w:type="dxa"/>
            <w:noWrap/>
            <w:vAlign w:val="center"/>
          </w:tcPr>
          <w:p w14:paraId="76C7DC79">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862" w:type="dxa"/>
            <w:noWrap/>
            <w:vAlign w:val="center"/>
          </w:tcPr>
          <w:p w14:paraId="2551E50A">
            <w:pPr>
              <w:widowControl/>
              <w:adjustRightInd w:val="0"/>
              <w:snapToGrid w:val="0"/>
              <w:spacing w:line="360" w:lineRule="auto"/>
              <w:jc w:val="center"/>
              <w:rPr>
                <w:rFonts w:ascii="宋体" w:hAnsi="宋体"/>
                <w:kern w:val="0"/>
                <w:szCs w:val="21"/>
              </w:rPr>
            </w:pPr>
            <w:r>
              <w:rPr>
                <w:rFonts w:hint="eastAsia" w:ascii="宋体" w:hAnsi="宋体"/>
                <w:kern w:val="0"/>
                <w:szCs w:val="21"/>
              </w:rPr>
              <w:t>数量</w:t>
            </w:r>
          </w:p>
        </w:tc>
        <w:tc>
          <w:tcPr>
            <w:tcW w:w="1033" w:type="dxa"/>
            <w:noWrap/>
            <w:vAlign w:val="center"/>
          </w:tcPr>
          <w:p w14:paraId="2E8497DD">
            <w:pPr>
              <w:widowControl/>
              <w:adjustRightInd w:val="0"/>
              <w:snapToGrid w:val="0"/>
              <w:spacing w:line="360" w:lineRule="auto"/>
              <w:jc w:val="center"/>
              <w:rPr>
                <w:rFonts w:ascii="宋体" w:hAnsi="宋体"/>
                <w:kern w:val="0"/>
                <w:szCs w:val="21"/>
              </w:rPr>
            </w:pPr>
            <w:r>
              <w:rPr>
                <w:rFonts w:hint="eastAsia" w:ascii="宋体" w:hAnsi="宋体"/>
                <w:kern w:val="0"/>
                <w:szCs w:val="21"/>
              </w:rPr>
              <w:t>单价（元）</w:t>
            </w:r>
          </w:p>
        </w:tc>
        <w:tc>
          <w:tcPr>
            <w:tcW w:w="1207" w:type="dxa"/>
            <w:noWrap/>
            <w:vAlign w:val="center"/>
          </w:tcPr>
          <w:p w14:paraId="13414227">
            <w:pPr>
              <w:widowControl/>
              <w:adjustRightInd w:val="0"/>
              <w:snapToGrid w:val="0"/>
              <w:spacing w:line="360" w:lineRule="auto"/>
              <w:jc w:val="center"/>
              <w:rPr>
                <w:rFonts w:ascii="宋体" w:hAnsi="宋体"/>
                <w:kern w:val="0"/>
                <w:szCs w:val="21"/>
              </w:rPr>
            </w:pPr>
            <w:r>
              <w:rPr>
                <w:rFonts w:hint="eastAsia" w:ascii="宋体" w:hAnsi="宋体"/>
                <w:kern w:val="0"/>
                <w:szCs w:val="21"/>
              </w:rPr>
              <w:t>总额（元）</w:t>
            </w:r>
          </w:p>
        </w:tc>
        <w:tc>
          <w:tcPr>
            <w:tcW w:w="2411" w:type="dxa"/>
            <w:noWrap/>
            <w:vAlign w:val="center"/>
          </w:tcPr>
          <w:p w14:paraId="76A1EE64">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218" w:type="dxa"/>
            <w:noWrap/>
            <w:vAlign w:val="center"/>
          </w:tcPr>
          <w:p w14:paraId="5749F7E5">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14:paraId="4BF74C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345" w:type="dxa"/>
            <w:gridSpan w:val="7"/>
            <w:noWrap/>
            <w:vAlign w:val="center"/>
          </w:tcPr>
          <w:p w14:paraId="3C01DC73">
            <w:pPr>
              <w:adjustRightInd w:val="0"/>
              <w:snapToGrid w:val="0"/>
              <w:spacing w:line="360" w:lineRule="auto"/>
              <w:jc w:val="left"/>
              <w:rPr>
                <w:rFonts w:ascii="宋体" w:hAnsi="宋体"/>
                <w:b/>
                <w:szCs w:val="21"/>
              </w:rPr>
            </w:pPr>
            <w:r>
              <w:rPr>
                <w:rFonts w:hint="eastAsia" w:ascii="宋体" w:hAnsi="宋体"/>
                <w:b/>
                <w:szCs w:val="21"/>
              </w:rPr>
              <w:t>节能产品</w:t>
            </w:r>
          </w:p>
        </w:tc>
      </w:tr>
      <w:tr w14:paraId="6478C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10" w:type="dxa"/>
            <w:noWrap/>
            <w:vAlign w:val="center"/>
          </w:tcPr>
          <w:p w14:paraId="2EE16406">
            <w:pPr>
              <w:adjustRightInd w:val="0"/>
              <w:snapToGrid w:val="0"/>
              <w:spacing w:line="360" w:lineRule="auto"/>
              <w:jc w:val="center"/>
              <w:rPr>
                <w:rFonts w:ascii="宋体" w:hAnsi="宋体"/>
                <w:b/>
                <w:szCs w:val="21"/>
              </w:rPr>
            </w:pPr>
          </w:p>
        </w:tc>
        <w:tc>
          <w:tcPr>
            <w:tcW w:w="1804" w:type="dxa"/>
            <w:noWrap/>
            <w:vAlign w:val="center"/>
          </w:tcPr>
          <w:p w14:paraId="03D3CA2E">
            <w:pPr>
              <w:adjustRightInd w:val="0"/>
              <w:snapToGrid w:val="0"/>
              <w:spacing w:line="360" w:lineRule="auto"/>
              <w:jc w:val="center"/>
              <w:rPr>
                <w:rFonts w:ascii="宋体" w:hAnsi="宋体"/>
                <w:b/>
                <w:szCs w:val="21"/>
              </w:rPr>
            </w:pPr>
          </w:p>
        </w:tc>
        <w:tc>
          <w:tcPr>
            <w:tcW w:w="862" w:type="dxa"/>
            <w:noWrap/>
            <w:vAlign w:val="center"/>
          </w:tcPr>
          <w:p w14:paraId="668BDDE9">
            <w:pPr>
              <w:adjustRightInd w:val="0"/>
              <w:snapToGrid w:val="0"/>
              <w:spacing w:line="360" w:lineRule="auto"/>
              <w:jc w:val="center"/>
              <w:rPr>
                <w:rFonts w:ascii="宋体" w:hAnsi="宋体"/>
                <w:b/>
                <w:szCs w:val="21"/>
              </w:rPr>
            </w:pPr>
          </w:p>
        </w:tc>
        <w:tc>
          <w:tcPr>
            <w:tcW w:w="1033" w:type="dxa"/>
            <w:noWrap/>
            <w:vAlign w:val="center"/>
          </w:tcPr>
          <w:p w14:paraId="350060EA">
            <w:pPr>
              <w:adjustRightInd w:val="0"/>
              <w:snapToGrid w:val="0"/>
              <w:spacing w:line="360" w:lineRule="auto"/>
              <w:jc w:val="center"/>
              <w:rPr>
                <w:rFonts w:ascii="宋体" w:hAnsi="宋体"/>
                <w:b/>
                <w:szCs w:val="21"/>
              </w:rPr>
            </w:pPr>
          </w:p>
        </w:tc>
        <w:tc>
          <w:tcPr>
            <w:tcW w:w="1207" w:type="dxa"/>
            <w:noWrap/>
            <w:vAlign w:val="center"/>
          </w:tcPr>
          <w:p w14:paraId="26B81118">
            <w:pPr>
              <w:adjustRightInd w:val="0"/>
              <w:snapToGrid w:val="0"/>
              <w:spacing w:line="360" w:lineRule="auto"/>
              <w:jc w:val="left"/>
              <w:rPr>
                <w:rFonts w:ascii="宋体" w:hAnsi="宋体"/>
                <w:b/>
                <w:szCs w:val="21"/>
              </w:rPr>
            </w:pPr>
          </w:p>
        </w:tc>
        <w:tc>
          <w:tcPr>
            <w:tcW w:w="2411" w:type="dxa"/>
            <w:noWrap/>
            <w:vAlign w:val="center"/>
          </w:tcPr>
          <w:p w14:paraId="150DA602">
            <w:pPr>
              <w:adjustRightInd w:val="0"/>
              <w:snapToGrid w:val="0"/>
              <w:spacing w:line="360" w:lineRule="auto"/>
              <w:jc w:val="center"/>
              <w:rPr>
                <w:rFonts w:ascii="宋体" w:hAnsi="宋体"/>
                <w:b/>
                <w:szCs w:val="21"/>
              </w:rPr>
            </w:pPr>
          </w:p>
        </w:tc>
        <w:tc>
          <w:tcPr>
            <w:tcW w:w="1218" w:type="dxa"/>
            <w:noWrap/>
          </w:tcPr>
          <w:p w14:paraId="052EFEE1">
            <w:pPr>
              <w:adjustRightInd w:val="0"/>
              <w:snapToGrid w:val="0"/>
              <w:spacing w:line="360" w:lineRule="auto"/>
              <w:jc w:val="center"/>
              <w:rPr>
                <w:rFonts w:ascii="宋体" w:hAnsi="宋体"/>
                <w:b/>
                <w:szCs w:val="21"/>
              </w:rPr>
            </w:pPr>
          </w:p>
        </w:tc>
      </w:tr>
      <w:tr w14:paraId="563AB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10" w:type="dxa"/>
            <w:noWrap/>
            <w:vAlign w:val="center"/>
          </w:tcPr>
          <w:p w14:paraId="44F2ED26">
            <w:pPr>
              <w:adjustRightInd w:val="0"/>
              <w:snapToGrid w:val="0"/>
              <w:spacing w:line="360" w:lineRule="auto"/>
              <w:jc w:val="center"/>
              <w:rPr>
                <w:rFonts w:ascii="宋体" w:hAnsi="宋体"/>
                <w:szCs w:val="21"/>
              </w:rPr>
            </w:pPr>
            <w:r>
              <w:rPr>
                <w:rFonts w:hint="eastAsia" w:ascii="宋体" w:hAnsi="宋体"/>
                <w:szCs w:val="21"/>
              </w:rPr>
              <w:t>小计</w:t>
            </w:r>
          </w:p>
        </w:tc>
        <w:tc>
          <w:tcPr>
            <w:tcW w:w="1804" w:type="dxa"/>
            <w:noWrap/>
            <w:vAlign w:val="center"/>
          </w:tcPr>
          <w:p w14:paraId="65865187">
            <w:pPr>
              <w:adjustRightInd w:val="0"/>
              <w:snapToGrid w:val="0"/>
              <w:spacing w:line="360" w:lineRule="auto"/>
              <w:jc w:val="center"/>
              <w:rPr>
                <w:rFonts w:ascii="宋体" w:hAnsi="宋体"/>
                <w:b/>
                <w:szCs w:val="21"/>
              </w:rPr>
            </w:pPr>
            <w:r>
              <w:rPr>
                <w:rFonts w:hint="eastAsia" w:ascii="宋体" w:hAnsi="宋体"/>
                <w:b/>
                <w:szCs w:val="21"/>
              </w:rPr>
              <w:t>/</w:t>
            </w:r>
          </w:p>
        </w:tc>
        <w:tc>
          <w:tcPr>
            <w:tcW w:w="862" w:type="dxa"/>
            <w:noWrap/>
            <w:vAlign w:val="center"/>
          </w:tcPr>
          <w:p w14:paraId="148A2CF9">
            <w:pPr>
              <w:adjustRightInd w:val="0"/>
              <w:snapToGrid w:val="0"/>
              <w:spacing w:line="360" w:lineRule="auto"/>
              <w:jc w:val="center"/>
              <w:rPr>
                <w:rFonts w:ascii="宋体" w:hAnsi="宋体"/>
                <w:b/>
                <w:szCs w:val="21"/>
              </w:rPr>
            </w:pPr>
            <w:r>
              <w:rPr>
                <w:rFonts w:hint="eastAsia" w:ascii="宋体" w:hAnsi="宋体"/>
                <w:b/>
                <w:szCs w:val="21"/>
              </w:rPr>
              <w:t>/</w:t>
            </w:r>
          </w:p>
        </w:tc>
        <w:tc>
          <w:tcPr>
            <w:tcW w:w="1033" w:type="dxa"/>
            <w:noWrap/>
            <w:vAlign w:val="center"/>
          </w:tcPr>
          <w:p w14:paraId="4437690C">
            <w:pPr>
              <w:adjustRightInd w:val="0"/>
              <w:snapToGrid w:val="0"/>
              <w:spacing w:line="360" w:lineRule="auto"/>
              <w:jc w:val="center"/>
              <w:rPr>
                <w:rFonts w:ascii="宋体" w:hAnsi="宋体"/>
                <w:b/>
                <w:szCs w:val="21"/>
              </w:rPr>
            </w:pPr>
            <w:r>
              <w:rPr>
                <w:rFonts w:hint="eastAsia" w:ascii="宋体" w:hAnsi="宋体"/>
                <w:b/>
                <w:szCs w:val="21"/>
              </w:rPr>
              <w:t>/</w:t>
            </w:r>
          </w:p>
        </w:tc>
        <w:tc>
          <w:tcPr>
            <w:tcW w:w="1207" w:type="dxa"/>
            <w:noWrap/>
            <w:vAlign w:val="center"/>
          </w:tcPr>
          <w:p w14:paraId="5CE62970">
            <w:pPr>
              <w:adjustRightInd w:val="0"/>
              <w:snapToGrid w:val="0"/>
              <w:spacing w:line="360" w:lineRule="auto"/>
              <w:jc w:val="left"/>
              <w:rPr>
                <w:rFonts w:ascii="宋体" w:hAnsi="宋体"/>
                <w:b/>
                <w:szCs w:val="21"/>
              </w:rPr>
            </w:pPr>
          </w:p>
        </w:tc>
        <w:tc>
          <w:tcPr>
            <w:tcW w:w="2411" w:type="dxa"/>
            <w:noWrap/>
            <w:vAlign w:val="center"/>
          </w:tcPr>
          <w:p w14:paraId="6522A30B">
            <w:pPr>
              <w:adjustRightInd w:val="0"/>
              <w:snapToGrid w:val="0"/>
              <w:spacing w:line="360" w:lineRule="auto"/>
              <w:jc w:val="center"/>
              <w:rPr>
                <w:rFonts w:ascii="宋体" w:hAnsi="宋体"/>
                <w:b/>
                <w:szCs w:val="21"/>
              </w:rPr>
            </w:pPr>
            <w:r>
              <w:rPr>
                <w:rFonts w:hint="eastAsia" w:ascii="宋体" w:hAnsi="宋体"/>
                <w:b/>
                <w:szCs w:val="21"/>
              </w:rPr>
              <w:t>/</w:t>
            </w:r>
          </w:p>
        </w:tc>
        <w:tc>
          <w:tcPr>
            <w:tcW w:w="1218" w:type="dxa"/>
            <w:noWrap/>
          </w:tcPr>
          <w:p w14:paraId="39629B19">
            <w:pPr>
              <w:adjustRightInd w:val="0"/>
              <w:snapToGrid w:val="0"/>
              <w:spacing w:line="360" w:lineRule="auto"/>
              <w:jc w:val="center"/>
              <w:rPr>
                <w:rFonts w:ascii="宋体" w:hAnsi="宋体"/>
                <w:b/>
                <w:szCs w:val="21"/>
              </w:rPr>
            </w:pPr>
            <w:r>
              <w:rPr>
                <w:rFonts w:hint="eastAsia" w:ascii="宋体" w:hAnsi="宋体"/>
                <w:b/>
                <w:szCs w:val="21"/>
              </w:rPr>
              <w:t>/</w:t>
            </w:r>
          </w:p>
        </w:tc>
      </w:tr>
      <w:tr w14:paraId="099EE1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345" w:type="dxa"/>
            <w:gridSpan w:val="7"/>
            <w:noWrap/>
            <w:vAlign w:val="center"/>
          </w:tcPr>
          <w:p w14:paraId="27841B5B">
            <w:pPr>
              <w:adjustRightInd w:val="0"/>
              <w:snapToGrid w:val="0"/>
              <w:spacing w:line="360" w:lineRule="auto"/>
              <w:jc w:val="left"/>
              <w:rPr>
                <w:rFonts w:ascii="宋体" w:hAnsi="宋体"/>
                <w:b/>
                <w:szCs w:val="21"/>
              </w:rPr>
            </w:pPr>
            <w:r>
              <w:rPr>
                <w:rFonts w:hint="eastAsia" w:ascii="宋体" w:hAnsi="宋体"/>
                <w:b/>
                <w:szCs w:val="21"/>
              </w:rPr>
              <w:t>环境标志产品</w:t>
            </w:r>
          </w:p>
        </w:tc>
      </w:tr>
      <w:tr w14:paraId="36FE82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10" w:type="dxa"/>
            <w:noWrap/>
            <w:vAlign w:val="center"/>
          </w:tcPr>
          <w:p w14:paraId="1136D0E8">
            <w:pPr>
              <w:adjustRightInd w:val="0"/>
              <w:snapToGrid w:val="0"/>
              <w:spacing w:line="360" w:lineRule="auto"/>
              <w:jc w:val="center"/>
              <w:rPr>
                <w:rFonts w:ascii="宋体" w:hAnsi="宋体"/>
                <w:b/>
                <w:szCs w:val="21"/>
              </w:rPr>
            </w:pPr>
          </w:p>
        </w:tc>
        <w:tc>
          <w:tcPr>
            <w:tcW w:w="1804" w:type="dxa"/>
            <w:noWrap/>
            <w:vAlign w:val="center"/>
          </w:tcPr>
          <w:p w14:paraId="6D09F4F8">
            <w:pPr>
              <w:adjustRightInd w:val="0"/>
              <w:snapToGrid w:val="0"/>
              <w:spacing w:line="360" w:lineRule="auto"/>
              <w:jc w:val="center"/>
              <w:rPr>
                <w:rFonts w:ascii="宋体" w:hAnsi="宋体"/>
                <w:b/>
                <w:szCs w:val="21"/>
              </w:rPr>
            </w:pPr>
          </w:p>
        </w:tc>
        <w:tc>
          <w:tcPr>
            <w:tcW w:w="862" w:type="dxa"/>
            <w:noWrap/>
            <w:vAlign w:val="center"/>
          </w:tcPr>
          <w:p w14:paraId="1D83AF3B">
            <w:pPr>
              <w:adjustRightInd w:val="0"/>
              <w:snapToGrid w:val="0"/>
              <w:spacing w:line="360" w:lineRule="auto"/>
              <w:jc w:val="center"/>
              <w:rPr>
                <w:rFonts w:ascii="宋体" w:hAnsi="宋体"/>
                <w:b/>
                <w:szCs w:val="21"/>
              </w:rPr>
            </w:pPr>
          </w:p>
        </w:tc>
        <w:tc>
          <w:tcPr>
            <w:tcW w:w="1033" w:type="dxa"/>
            <w:noWrap/>
            <w:vAlign w:val="center"/>
          </w:tcPr>
          <w:p w14:paraId="4C6784F8">
            <w:pPr>
              <w:adjustRightInd w:val="0"/>
              <w:snapToGrid w:val="0"/>
              <w:spacing w:line="360" w:lineRule="auto"/>
              <w:jc w:val="center"/>
              <w:rPr>
                <w:rFonts w:ascii="宋体" w:hAnsi="宋体"/>
                <w:b/>
                <w:szCs w:val="21"/>
              </w:rPr>
            </w:pPr>
          </w:p>
        </w:tc>
        <w:tc>
          <w:tcPr>
            <w:tcW w:w="1207" w:type="dxa"/>
            <w:noWrap/>
            <w:vAlign w:val="center"/>
          </w:tcPr>
          <w:p w14:paraId="1F13C205">
            <w:pPr>
              <w:adjustRightInd w:val="0"/>
              <w:snapToGrid w:val="0"/>
              <w:spacing w:line="360" w:lineRule="auto"/>
              <w:jc w:val="left"/>
              <w:rPr>
                <w:rFonts w:ascii="宋体" w:hAnsi="宋体"/>
                <w:b/>
                <w:szCs w:val="21"/>
              </w:rPr>
            </w:pPr>
          </w:p>
        </w:tc>
        <w:tc>
          <w:tcPr>
            <w:tcW w:w="2411" w:type="dxa"/>
            <w:noWrap/>
            <w:vAlign w:val="center"/>
          </w:tcPr>
          <w:p w14:paraId="04DCDF57">
            <w:pPr>
              <w:adjustRightInd w:val="0"/>
              <w:snapToGrid w:val="0"/>
              <w:spacing w:line="360" w:lineRule="auto"/>
              <w:jc w:val="center"/>
              <w:rPr>
                <w:rFonts w:ascii="宋体" w:hAnsi="宋体"/>
                <w:b/>
                <w:szCs w:val="21"/>
              </w:rPr>
            </w:pPr>
          </w:p>
        </w:tc>
        <w:tc>
          <w:tcPr>
            <w:tcW w:w="1218" w:type="dxa"/>
            <w:noWrap/>
          </w:tcPr>
          <w:p w14:paraId="2E47662B">
            <w:pPr>
              <w:adjustRightInd w:val="0"/>
              <w:snapToGrid w:val="0"/>
              <w:spacing w:line="360" w:lineRule="auto"/>
              <w:jc w:val="center"/>
              <w:rPr>
                <w:rFonts w:ascii="宋体" w:hAnsi="宋体"/>
                <w:b/>
                <w:szCs w:val="21"/>
              </w:rPr>
            </w:pPr>
          </w:p>
        </w:tc>
      </w:tr>
      <w:tr w14:paraId="1A9CCB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10" w:type="dxa"/>
            <w:noWrap/>
            <w:vAlign w:val="center"/>
          </w:tcPr>
          <w:p w14:paraId="15C5D5A4">
            <w:pPr>
              <w:adjustRightInd w:val="0"/>
              <w:snapToGrid w:val="0"/>
              <w:spacing w:line="360" w:lineRule="auto"/>
              <w:jc w:val="center"/>
              <w:rPr>
                <w:rFonts w:ascii="宋体" w:hAnsi="宋体"/>
                <w:szCs w:val="21"/>
              </w:rPr>
            </w:pPr>
            <w:r>
              <w:rPr>
                <w:rFonts w:hint="eastAsia" w:ascii="宋体" w:hAnsi="宋体"/>
                <w:szCs w:val="21"/>
              </w:rPr>
              <w:t>小计</w:t>
            </w:r>
          </w:p>
        </w:tc>
        <w:tc>
          <w:tcPr>
            <w:tcW w:w="1804" w:type="dxa"/>
            <w:noWrap/>
            <w:vAlign w:val="center"/>
          </w:tcPr>
          <w:p w14:paraId="6C7264EE">
            <w:pPr>
              <w:adjustRightInd w:val="0"/>
              <w:snapToGrid w:val="0"/>
              <w:spacing w:line="360" w:lineRule="auto"/>
              <w:jc w:val="center"/>
              <w:rPr>
                <w:rFonts w:ascii="宋体" w:hAnsi="宋体"/>
                <w:b/>
                <w:szCs w:val="21"/>
              </w:rPr>
            </w:pPr>
            <w:r>
              <w:rPr>
                <w:rFonts w:hint="eastAsia" w:ascii="宋体" w:hAnsi="宋体"/>
                <w:b/>
                <w:szCs w:val="21"/>
              </w:rPr>
              <w:t>/</w:t>
            </w:r>
          </w:p>
        </w:tc>
        <w:tc>
          <w:tcPr>
            <w:tcW w:w="862" w:type="dxa"/>
            <w:noWrap/>
            <w:vAlign w:val="center"/>
          </w:tcPr>
          <w:p w14:paraId="329E047E">
            <w:pPr>
              <w:adjustRightInd w:val="0"/>
              <w:snapToGrid w:val="0"/>
              <w:spacing w:line="360" w:lineRule="auto"/>
              <w:jc w:val="center"/>
              <w:rPr>
                <w:rFonts w:ascii="宋体" w:hAnsi="宋体"/>
                <w:b/>
                <w:szCs w:val="21"/>
              </w:rPr>
            </w:pPr>
            <w:r>
              <w:rPr>
                <w:rFonts w:hint="eastAsia" w:ascii="宋体" w:hAnsi="宋体"/>
                <w:b/>
                <w:szCs w:val="21"/>
              </w:rPr>
              <w:t>/</w:t>
            </w:r>
          </w:p>
        </w:tc>
        <w:tc>
          <w:tcPr>
            <w:tcW w:w="1033" w:type="dxa"/>
            <w:noWrap/>
            <w:vAlign w:val="center"/>
          </w:tcPr>
          <w:p w14:paraId="0D41DAF6">
            <w:pPr>
              <w:adjustRightInd w:val="0"/>
              <w:snapToGrid w:val="0"/>
              <w:spacing w:line="360" w:lineRule="auto"/>
              <w:jc w:val="center"/>
              <w:rPr>
                <w:rFonts w:ascii="宋体" w:hAnsi="宋体"/>
                <w:b/>
                <w:szCs w:val="21"/>
              </w:rPr>
            </w:pPr>
            <w:r>
              <w:rPr>
                <w:rFonts w:hint="eastAsia" w:ascii="宋体" w:hAnsi="宋体"/>
                <w:b/>
                <w:szCs w:val="21"/>
              </w:rPr>
              <w:t>/</w:t>
            </w:r>
          </w:p>
        </w:tc>
        <w:tc>
          <w:tcPr>
            <w:tcW w:w="1207" w:type="dxa"/>
            <w:noWrap/>
            <w:vAlign w:val="center"/>
          </w:tcPr>
          <w:p w14:paraId="264D691C">
            <w:pPr>
              <w:adjustRightInd w:val="0"/>
              <w:snapToGrid w:val="0"/>
              <w:spacing w:line="360" w:lineRule="auto"/>
              <w:jc w:val="left"/>
              <w:rPr>
                <w:rFonts w:ascii="宋体" w:hAnsi="宋体"/>
                <w:b/>
                <w:szCs w:val="21"/>
              </w:rPr>
            </w:pPr>
          </w:p>
        </w:tc>
        <w:tc>
          <w:tcPr>
            <w:tcW w:w="2411" w:type="dxa"/>
            <w:noWrap/>
            <w:vAlign w:val="center"/>
          </w:tcPr>
          <w:p w14:paraId="2B1C7D1E">
            <w:pPr>
              <w:adjustRightInd w:val="0"/>
              <w:snapToGrid w:val="0"/>
              <w:spacing w:line="360" w:lineRule="auto"/>
              <w:jc w:val="center"/>
              <w:rPr>
                <w:rFonts w:ascii="宋体" w:hAnsi="宋体"/>
                <w:b/>
                <w:szCs w:val="21"/>
              </w:rPr>
            </w:pPr>
            <w:r>
              <w:rPr>
                <w:rFonts w:hint="eastAsia" w:ascii="宋体" w:hAnsi="宋体"/>
                <w:b/>
                <w:szCs w:val="21"/>
              </w:rPr>
              <w:t>/</w:t>
            </w:r>
          </w:p>
        </w:tc>
        <w:tc>
          <w:tcPr>
            <w:tcW w:w="1218" w:type="dxa"/>
            <w:noWrap/>
          </w:tcPr>
          <w:p w14:paraId="26A02E8C">
            <w:pPr>
              <w:adjustRightInd w:val="0"/>
              <w:snapToGrid w:val="0"/>
              <w:spacing w:line="360" w:lineRule="auto"/>
              <w:jc w:val="center"/>
              <w:rPr>
                <w:rFonts w:ascii="宋体" w:hAnsi="宋体"/>
                <w:b/>
                <w:szCs w:val="21"/>
              </w:rPr>
            </w:pPr>
            <w:r>
              <w:rPr>
                <w:rFonts w:hint="eastAsia" w:ascii="宋体" w:hAnsi="宋体"/>
                <w:b/>
                <w:szCs w:val="21"/>
              </w:rPr>
              <w:t>/</w:t>
            </w:r>
          </w:p>
        </w:tc>
      </w:tr>
    </w:tbl>
    <w:p w14:paraId="797B15DB">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本表用于计算节能产品、环境标志产品的政策功能加分或价格扣除。</w:t>
      </w:r>
    </w:p>
    <w:p w14:paraId="4EB037C3">
      <w:pPr>
        <w:adjustRightInd w:val="0"/>
        <w:snapToGrid w:val="0"/>
        <w:spacing w:line="360" w:lineRule="auto"/>
        <w:ind w:firstLine="630" w:firstLineChars="300"/>
        <w:jc w:val="left"/>
        <w:rPr>
          <w:rFonts w:ascii="宋体" w:hAnsi="宋体"/>
          <w:szCs w:val="21"/>
        </w:rPr>
      </w:pPr>
      <w:r>
        <w:rPr>
          <w:rFonts w:hint="eastAsia" w:ascii="宋体" w:hAnsi="宋体"/>
          <w:szCs w:val="21"/>
        </w:rPr>
        <w:t>2、栏目7“政策功能编码”是指货物的中国环境标志认证证书编号、节能标志认证证书号（货物同时属于节能产品、环境标志产品只填写一种）。</w:t>
      </w:r>
    </w:p>
    <w:p w14:paraId="6EAA270B">
      <w:pPr>
        <w:adjustRightInd w:val="0"/>
        <w:snapToGrid w:val="0"/>
        <w:spacing w:line="360" w:lineRule="auto"/>
        <w:ind w:firstLine="630" w:firstLineChars="300"/>
        <w:jc w:val="left"/>
        <w:rPr>
          <w:rFonts w:ascii="宋体" w:hAnsi="宋体"/>
          <w:szCs w:val="21"/>
        </w:rPr>
      </w:pPr>
      <w:r>
        <w:rPr>
          <w:rFonts w:hint="eastAsia" w:ascii="宋体" w:hAnsi="宋体"/>
          <w:szCs w:val="21"/>
        </w:rPr>
        <w:t>3、栏目4“单价”为综合单价，包含货物所有隐含的内容，如运输费、保险费、管理费和利润等。</w:t>
      </w:r>
    </w:p>
    <w:p w14:paraId="6703C20C">
      <w:pPr>
        <w:adjustRightInd w:val="0"/>
        <w:snapToGrid w:val="0"/>
        <w:spacing w:line="360" w:lineRule="auto"/>
        <w:ind w:firstLine="630" w:firstLineChars="300"/>
        <w:rPr>
          <w:rFonts w:ascii="宋体" w:hAnsi="宋体"/>
          <w:bCs/>
          <w:szCs w:val="21"/>
        </w:rPr>
      </w:pPr>
      <w:r>
        <w:rPr>
          <w:rFonts w:hint="eastAsia" w:ascii="宋体" w:hAnsi="宋体"/>
          <w:bCs/>
          <w:szCs w:val="21"/>
        </w:rPr>
        <w:t>4、未按上述要求提供、</w:t>
      </w:r>
      <w:r>
        <w:rPr>
          <w:rFonts w:hint="eastAsia" w:ascii="宋体" w:hAnsi="宋体"/>
          <w:szCs w:val="21"/>
        </w:rPr>
        <w:t>填写的，</w:t>
      </w:r>
      <w:r>
        <w:rPr>
          <w:rFonts w:hint="eastAsia" w:ascii="宋体" w:hAnsi="宋体"/>
          <w:bCs/>
          <w:szCs w:val="21"/>
        </w:rPr>
        <w:t>评审时本表所有优惠不予以考虑。</w:t>
      </w:r>
    </w:p>
    <w:p w14:paraId="4B4165D8">
      <w:pPr>
        <w:adjustRightInd w:val="0"/>
        <w:snapToGrid w:val="0"/>
        <w:spacing w:line="360" w:lineRule="auto"/>
        <w:rPr>
          <w:rFonts w:ascii="宋体" w:hAnsi="宋体"/>
          <w:szCs w:val="21"/>
        </w:rPr>
      </w:pPr>
    </w:p>
    <w:p w14:paraId="5617E694">
      <w:pPr>
        <w:adjustRightInd w:val="0"/>
        <w:snapToGrid w:val="0"/>
        <w:spacing w:line="360" w:lineRule="auto"/>
        <w:rPr>
          <w:rFonts w:ascii="宋体" w:hAnsi="宋体"/>
          <w:szCs w:val="21"/>
        </w:rPr>
      </w:pPr>
    </w:p>
    <w:p w14:paraId="18990202">
      <w:pPr>
        <w:adjustRightInd w:val="0"/>
        <w:snapToGrid w:val="0"/>
        <w:spacing w:line="360" w:lineRule="auto"/>
        <w:rPr>
          <w:rFonts w:ascii="宋体" w:hAnsi="宋体"/>
          <w:szCs w:val="21"/>
        </w:rPr>
      </w:pPr>
      <w:r>
        <w:rPr>
          <w:rFonts w:hint="eastAsia" w:ascii="宋体" w:hAnsi="宋体"/>
          <w:szCs w:val="21"/>
        </w:rPr>
        <w:t>投标人名称（盖单位章）：</w:t>
      </w:r>
    </w:p>
    <w:p w14:paraId="3B960D64">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1F13595">
      <w:pPr>
        <w:adjustRightInd w:val="0"/>
        <w:snapToGrid w:val="0"/>
        <w:spacing w:line="360" w:lineRule="auto"/>
        <w:jc w:val="center"/>
        <w:rPr>
          <w:rFonts w:ascii="黑体" w:hAnsi="宋体" w:eastAsia="黑体"/>
          <w:sz w:val="28"/>
          <w:szCs w:val="28"/>
        </w:rPr>
      </w:pPr>
      <w:r>
        <w:rPr>
          <w:rFonts w:hint="eastAsia" w:ascii="黑体" w:hAnsi="宋体" w:eastAsia="黑体"/>
          <w:sz w:val="28"/>
          <w:szCs w:val="28"/>
        </w:rPr>
        <w:br w:type="page"/>
      </w:r>
    </w:p>
    <w:p w14:paraId="6B0A78BA">
      <w:pPr>
        <w:pStyle w:val="4"/>
        <w:adjustRightInd w:val="0"/>
        <w:snapToGrid w:val="0"/>
        <w:spacing w:before="0" w:after="0" w:line="360" w:lineRule="auto"/>
        <w:jc w:val="center"/>
        <w:rPr>
          <w:rFonts w:ascii="黑体" w:hAnsi="宋体" w:eastAsia="黑体"/>
          <w:sz w:val="28"/>
          <w:szCs w:val="28"/>
        </w:rPr>
      </w:pPr>
      <w:bookmarkStart w:id="151" w:name="_Toc20651272"/>
      <w:r>
        <w:rPr>
          <w:rFonts w:hint="eastAsia" w:ascii="黑体" w:hAnsi="宋体" w:eastAsia="黑体"/>
          <w:sz w:val="28"/>
          <w:szCs w:val="28"/>
        </w:rPr>
        <w:t>十一、投标人认为需提供的其他资料</w:t>
      </w:r>
      <w:bookmarkEnd w:id="151"/>
    </w:p>
    <w:p w14:paraId="144F58A7">
      <w:pPr>
        <w:adjustRightInd w:val="0"/>
        <w:snapToGrid w:val="0"/>
        <w:spacing w:beforeLines="50" w:line="360" w:lineRule="auto"/>
        <w:rPr>
          <w:rFonts w:ascii="宋体" w:hAnsi="宋体"/>
        </w:rPr>
      </w:pPr>
    </w:p>
    <w:p w14:paraId="4AC6EC44">
      <w:pPr>
        <w:adjustRightInd w:val="0"/>
        <w:snapToGrid w:val="0"/>
        <w:spacing w:beforeLines="50" w:line="360" w:lineRule="auto"/>
        <w:rPr>
          <w:rFonts w:ascii="宋体" w:hAnsi="宋体"/>
        </w:rPr>
      </w:pPr>
      <w:r>
        <w:rPr>
          <w:rFonts w:hint="eastAsia" w:ascii="宋体" w:hAnsi="宋体"/>
        </w:rPr>
        <w:t>备注：投标人认为需提供的其他资料包括：</w:t>
      </w:r>
    </w:p>
    <w:p w14:paraId="704EF0D7">
      <w:pPr>
        <w:adjustRightInd w:val="0"/>
        <w:snapToGrid w:val="0"/>
        <w:spacing w:beforeLines="50" w:line="360" w:lineRule="auto"/>
        <w:ind w:firstLine="420" w:firstLineChars="200"/>
        <w:rPr>
          <w:rFonts w:ascii="宋体" w:hAnsi="宋体"/>
          <w:sz w:val="21"/>
          <w:szCs w:val="21"/>
        </w:rPr>
      </w:pPr>
      <w:r>
        <w:rPr>
          <w:rFonts w:hint="eastAsia" w:ascii="宋体" w:hAnsi="宋体"/>
          <w:sz w:val="21"/>
          <w:szCs w:val="21"/>
        </w:rPr>
        <w:t>（1）招标文件第五章采购需求要求的其他资料；</w:t>
      </w:r>
    </w:p>
    <w:p w14:paraId="76725CA5">
      <w:pPr>
        <w:pStyle w:val="38"/>
        <w:adjustRightInd w:val="0"/>
        <w:snapToGrid w:val="0"/>
        <w:spacing w:line="360" w:lineRule="auto"/>
        <w:ind w:firstLine="420" w:firstLineChars="200"/>
        <w:rPr>
          <w:rFonts w:ascii="宋体" w:hAnsi="宋体"/>
          <w:sz w:val="21"/>
          <w:szCs w:val="21"/>
        </w:rPr>
      </w:pPr>
      <w:r>
        <w:rPr>
          <w:rFonts w:hint="eastAsia" w:ascii="宋体" w:hAnsi="宋体"/>
          <w:sz w:val="21"/>
          <w:szCs w:val="21"/>
        </w:rPr>
        <w:t>（2）招标文件第四章评标方法及标准要求的其他相关资料。</w:t>
      </w:r>
    </w:p>
    <w:p w14:paraId="3F706342">
      <w:pPr>
        <w:pStyle w:val="25"/>
        <w:adjustRightInd w:val="0"/>
        <w:snapToGrid w:val="0"/>
        <w:spacing w:beforeLines="50" w:line="360" w:lineRule="auto"/>
      </w:pPr>
    </w:p>
    <w:p w14:paraId="26904118">
      <w:pPr>
        <w:tabs>
          <w:tab w:val="left" w:pos="4725"/>
        </w:tabs>
        <w:adjustRightInd w:val="0"/>
        <w:snapToGrid w:val="0"/>
        <w:spacing w:line="360" w:lineRule="auto"/>
        <w:outlineLvl w:val="0"/>
        <w:rPr>
          <w:rFonts w:ascii="宋体" w:hAnsi="宋体" w:cs="宋体"/>
          <w:sz w:val="28"/>
          <w:szCs w:val="28"/>
        </w:rPr>
      </w:pPr>
    </w:p>
    <w:p w14:paraId="3E236EC7">
      <w:pPr>
        <w:tabs>
          <w:tab w:val="left" w:pos="4725"/>
        </w:tabs>
        <w:adjustRightInd w:val="0"/>
        <w:snapToGrid w:val="0"/>
        <w:spacing w:line="360" w:lineRule="auto"/>
        <w:jc w:val="center"/>
        <w:rPr>
          <w:rFonts w:ascii="宋体" w:hAnsi="宋体" w:cs="宋体"/>
          <w:szCs w:val="21"/>
        </w:rPr>
      </w:pPr>
    </w:p>
    <w:sectPr>
      <w:pgSz w:w="11906" w:h="16838"/>
      <w:pgMar w:top="1440" w:right="1080" w:bottom="1440" w:left="1080" w:header="737" w:footer="907"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C3E61F9-7D4D-448D-BB18-0A54EFF6FCB1}"/>
  </w:font>
  <w:font w:name="Arial">
    <w:panose1 w:val="020B0604020202020204"/>
    <w:charset w:val="01"/>
    <w:family w:val="swiss"/>
    <w:pitch w:val="default"/>
    <w:sig w:usb0="E0002EFF" w:usb1="C000785B" w:usb2="00000009" w:usb3="00000000" w:csb0="400001FF" w:csb1="FFFF0000"/>
    <w:embedRegular r:id="rId2" w:fontKey="{5F37BAF0-007F-495A-B9B1-B74AD4FB9E22}"/>
  </w:font>
  <w:font w:name="黑体">
    <w:panose1 w:val="02010609060101010101"/>
    <w:charset w:val="86"/>
    <w:family w:val="auto"/>
    <w:pitch w:val="default"/>
    <w:sig w:usb0="800002BF" w:usb1="38CF7CFA" w:usb2="00000016" w:usb3="00000000" w:csb0="00040001" w:csb1="00000000"/>
    <w:embedRegular r:id="rId3" w:fontKey="{130CAC39-F7A4-471D-BD2A-E9AA8845A0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69541ADE-9E98-42D8-BF70-320AB4A9C83F}"/>
  </w:font>
  <w:font w:name="仿宋_GB2312">
    <w:altName w:val="仿宋"/>
    <w:panose1 w:val="02010609030101010101"/>
    <w:charset w:val="86"/>
    <w:family w:val="modern"/>
    <w:pitch w:val="default"/>
    <w:sig w:usb0="00000000" w:usb1="00000000" w:usb2="00000000" w:usb3="00000000" w:csb0="00040000" w:csb1="00000000"/>
    <w:embedRegular r:id="rId5" w:fontKey="{56848ACF-1DD1-4179-9599-BA4CDE41E5DB}"/>
  </w:font>
  <w:font w:name="仿宋">
    <w:panose1 w:val="02010609060101010101"/>
    <w:charset w:val="86"/>
    <w:family w:val="modern"/>
    <w:pitch w:val="default"/>
    <w:sig w:usb0="800002BF" w:usb1="38CF7CFA" w:usb2="00000016" w:usb3="00000000" w:csb0="00040001" w:csb1="00000000"/>
    <w:embedRegular r:id="rId6" w:fontKey="{58316A06-7A1E-497F-B7FF-B5063B26863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7" w:fontKey="{887CC31B-E5E2-4B08-9E3F-C495A7695F3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7F" w:usb3="00000000" w:csb0="203F01FF" w:csb1="DFFF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00000001" w:usb1="08000000" w:usb2="00000000" w:usb3="00000000" w:csb0="00040000" w:csb1="00000000"/>
    <w:embedRegular r:id="rId8" w:fontKey="{A3E29FFE-246C-4849-A980-6AC05011A8FD}"/>
  </w:font>
  <w:font w:name="Segoe UI">
    <w:panose1 w:val="020B0502040204020203"/>
    <w:charset w:val="00"/>
    <w:family w:val="auto"/>
    <w:pitch w:val="default"/>
    <w:sig w:usb0="E4002EFF" w:usb1="C000E47F" w:usb2="00000009" w:usb3="00000000" w:csb0="200001FF" w:csb1="00000000"/>
    <w:embedRegular r:id="rId9" w:fontKey="{078B5B69-8F71-438F-A799-B963B2E70466}"/>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embedRegular r:id="rId10" w:fontKey="{A9807337-9222-453A-AE6E-AEBD4BB77A3B}"/>
  </w:font>
  <w:font w:name="方正小标宋_GBK">
    <w:altName w:val="微软雅黑"/>
    <w:panose1 w:val="02000000000000000000"/>
    <w:charset w:val="86"/>
    <w:family w:val="script"/>
    <w:pitch w:val="default"/>
    <w:sig w:usb0="00000000" w:usb1="00000000" w:usb2="00082016" w:usb3="00000000" w:csb0="00040001" w:csb1="00000000"/>
    <w:embedRegular r:id="rId11" w:fontKey="{99AD24C8-7D85-4309-8AF3-8B68DADA38E7}"/>
  </w:font>
  <w:font w:name="华文宋体">
    <w:altName w:val="宋体"/>
    <w:panose1 w:val="02010600040101010101"/>
    <w:charset w:val="86"/>
    <w:family w:val="auto"/>
    <w:pitch w:val="default"/>
    <w:sig w:usb0="00000000" w:usb1="00000000" w:usb2="00000000" w:usb3="00000000" w:csb0="0004009F" w:csb1="DFD70000"/>
    <w:embedRegular r:id="rId12" w:fontKey="{C4D0B431-E327-43A4-8C09-1D74EC87F1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240C2">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9"/>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14:paraId="60143F87">
                          <w:pPr>
                            <w:pStyle w:val="2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4vdRNAAAAACAQAADwAAAAAAAAABACAAAAAiAAAAZHJz&#10;L2Rvd25yZXYueG1sUEsBAhQAFAAAAAgAh07iQB6ywCDTAQAApQMAAA4AAAAAAAAAAQAgAAAAHwEA&#10;AGRycy9lMm9Eb2MueG1sUEsFBgAAAAAGAAYAWQEAAGQFAAAAAA==&#10;">
              <v:fill on="f" focussize="0,0"/>
              <v:stroke on="f"/>
              <v:imagedata o:title=""/>
              <o:lock v:ext="edit" aspectratio="f"/>
              <v:textbox inset="0mm,0mm,0mm,0mm" style="mso-fit-shape-to-text:t;">
                <w:txbxContent>
                  <w:p w14:paraId="60143F87">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48D54">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0"/>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14:paraId="5568782F">
                          <w:pPr>
                            <w:pStyle w:val="28"/>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4vdRNAAAAACAQAADwAAAAAAAAABACAAAAAiAAAAZHJz&#10;L2Rvd25yZXYueG1sUEsBAhQAFAAAAAgAh07iQPxmNmnTAQAApQMAAA4AAAAAAAAAAQAgAAAAHwEA&#10;AGRycy9lMm9Eb2MueG1sUEsFBgAAAAAGAAYAWQEAAGQFAAAAAA==&#10;">
              <v:fill on="f" focussize="0,0"/>
              <v:stroke on="f"/>
              <v:imagedata o:title=""/>
              <o:lock v:ext="edit" aspectratio="f"/>
              <v:textbox inset="0mm,0mm,0mm,0mm" style="mso-fit-shape-to-text:t;">
                <w:txbxContent>
                  <w:p w14:paraId="5568782F">
                    <w:pPr>
                      <w:pStyle w:val="2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D80FC">
    <w:pPr>
      <w:pStyle w:val="2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2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a:effectLst/>
                    </wps:spPr>
                    <wps:txbx>
                      <w:txbxContent>
                        <w:p w14:paraId="696F33C9">
                          <w:pPr>
                            <w:pStyle w:val="28"/>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文本框 21"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V+SdAAAAADAQAADwAAAAAAAAABACAAAAAiAAAAZHJz&#10;L2Rvd25yZXYueG1sUEsBAhQAFAAAAAgAh07iQOqs6nPTAQAApgMAAA4AAAAAAAAAAQAgAAAAHwEA&#10;AGRycy9lMm9Eb2MueG1sUEsFBgAAAAAGAAYAWQEAAGQFAAAAAA==&#10;">
              <v:fill on="f" focussize="0,0"/>
              <v:stroke on="f"/>
              <v:imagedata o:title=""/>
              <o:lock v:ext="edit" aspectratio="f"/>
              <v:textbox inset="0mm,0mm,0mm,0mm" style="mso-fit-shape-to-text:t;">
                <w:txbxContent>
                  <w:p w14:paraId="696F33C9">
                    <w:pPr>
                      <w:pStyle w:val="28"/>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F929">
    <w:pPr>
      <w:spacing w:line="177" w:lineRule="auto"/>
      <w:ind w:left="8000"/>
      <w:rPr>
        <w:rFonts w:ascii="宋体" w:hAnsi="宋体" w:cs="宋体"/>
        <w:sz w:val="32"/>
        <w:szCs w:val="32"/>
      </w:rPr>
    </w:pPr>
    <w:r>
      <w:rPr>
        <w:sz w:val="3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8E405EB">
                          <w:pPr>
                            <w:pStyle w:val="28"/>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78E405EB">
                    <w:pPr>
                      <w:pStyle w:val="28"/>
                    </w:pPr>
                    <w:r>
                      <w:fldChar w:fldCharType="begin"/>
                    </w:r>
                    <w:r>
                      <w:instrText xml:space="preserve"> PAGE  \* MERGEFORMAT </w:instrText>
                    </w:r>
                    <w:r>
                      <w:fldChar w:fldCharType="separate"/>
                    </w:r>
                    <w:r>
                      <w:t>87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F68F5">
    <w:pPr>
      <w:pStyle w:val="29"/>
      <w:pBdr>
        <w:bottom w:val="single" w:color="auto" w:sz="6" w:space="3"/>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00809">
    <w:pPr>
      <w:pStyle w:val="29"/>
      <w:pBdr>
        <w:bottom w:val="none" w:color="auto" w:sz="0" w:space="1"/>
      </w:pBdr>
      <w:jc w:val="left"/>
      <w:rPr>
        <w:color w:val="0C0C0C"/>
        <w:spacing w:val="-11"/>
        <w:sz w:val="20"/>
        <w:szCs w:val="20"/>
      </w:rPr>
    </w:pPr>
  </w:p>
  <w:p w14:paraId="5CF66805">
    <w:pPr>
      <w:pStyle w:val="29"/>
      <w:pBdr>
        <w:bottom w:val="none" w:color="auto" w:sz="0" w:space="1"/>
      </w:pBdr>
      <w:jc w:val="left"/>
      <w:rPr>
        <w:color w:val="0C0C0C"/>
        <w:spacing w:val="-11"/>
        <w:sz w:val="20"/>
        <w:szCs w:val="20"/>
      </w:rPr>
    </w:pPr>
  </w:p>
  <w:p w14:paraId="1A06C906">
    <w:pPr>
      <w:pStyle w:val="29"/>
      <w:keepNext w:val="0"/>
      <w:keepLines w:val="0"/>
      <w:pageBreakBefore w:val="0"/>
      <w:widowControl w:val="0"/>
      <w:pBdr>
        <w:bottom w:val="single" w:color="auto" w:sz="4" w:space="1"/>
      </w:pBdr>
      <w:kinsoku/>
      <w:wordWrap w:val="0"/>
      <w:overflowPunct/>
      <w:topLinePunct w:val="0"/>
      <w:bidi w:val="0"/>
      <w:adjustRightInd w:val="0"/>
      <w:snapToGrid w:val="0"/>
      <w:spacing w:before="0" w:beforeLines="50" w:line="360" w:lineRule="auto"/>
      <w:jc w:val="left"/>
      <w:textAlignment w:val="auto"/>
      <w:rPr>
        <w:rFonts w:hint="eastAsia" w:eastAsia="宋体"/>
        <w:color w:val="0C0C0C"/>
        <w:spacing w:val="-11"/>
        <w:sz w:val="20"/>
        <w:szCs w:val="20"/>
        <w:lang w:eastAsia="zh-CN"/>
      </w:rPr>
    </w:pPr>
    <w:r>
      <w:rPr>
        <w:rFonts w:hint="eastAsia"/>
        <w:color w:val="0C0C0C"/>
        <w:spacing w:val="-11"/>
        <w:sz w:val="20"/>
        <w:szCs w:val="20"/>
        <w:lang w:eastAsia="zh-CN"/>
      </w:rPr>
      <w:t>岳阳市人民医院麻醉机、多功能监护仪采购项目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75A0B">
    <w:pPr>
      <w:pStyle w:val="29"/>
      <w:jc w:val="both"/>
      <w:rPr>
        <w:rFonts w:hint="eastAsia" w:eastAsia="宋体"/>
        <w:lang w:eastAsia="zh-CN"/>
      </w:rPr>
    </w:pPr>
    <w:r>
      <w:rPr>
        <w:rFonts w:hint="eastAsia"/>
        <w:lang w:eastAsia="zh-CN"/>
      </w:rPr>
      <w:t>岳阳市人民医院麻醉机、多功能监护仪采购项目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chineseCountingThousand"/>
      <w:pStyle w:val="161"/>
      <w:lvlText w:val="%1、"/>
      <w:lvlJc w:val="left"/>
      <w:pPr>
        <w:tabs>
          <w:tab w:val="left" w:pos="425"/>
        </w:tabs>
        <w:ind w:left="425" w:hanging="425"/>
      </w:pPr>
      <w:rPr>
        <w:rFonts w:hint="eastAsia"/>
      </w:rPr>
    </w:lvl>
    <w:lvl w:ilvl="1" w:tentative="0">
      <w:start w:val="1"/>
      <w:numFmt w:val="decimal"/>
      <w:pStyle w:val="154"/>
      <w:isLgl/>
      <w:suff w:val="space"/>
      <w:lvlText w:val="%1.%2"/>
      <w:lvlJc w:val="left"/>
      <w:pPr>
        <w:ind w:left="992" w:hanging="567"/>
      </w:pPr>
      <w:rPr>
        <w:rFonts w:hint="eastAsia"/>
      </w:rPr>
    </w:lvl>
    <w:lvl w:ilvl="2" w:tentative="0">
      <w:start w:val="1"/>
      <w:numFmt w:val="decimal"/>
      <w:pStyle w:val="155"/>
      <w:isLgl/>
      <w:lvlText w:val="%1.%2.%3"/>
      <w:lvlJc w:val="left"/>
      <w:pPr>
        <w:ind w:left="2126" w:hanging="567"/>
      </w:pPr>
      <w:rPr>
        <w:rFonts w:hint="eastAsia"/>
      </w:rPr>
    </w:lvl>
    <w:lvl w:ilvl="3" w:tentative="0">
      <w:start w:val="1"/>
      <w:numFmt w:val="decimal"/>
      <w:pStyle w:val="156"/>
      <w:isLgl/>
      <w:suff w:val="space"/>
      <w:lvlText w:val="%1.%2.%3.%4"/>
      <w:lvlJc w:val="left"/>
      <w:pPr>
        <w:ind w:left="0" w:firstLine="1134"/>
      </w:pPr>
      <w:rPr>
        <w:rFonts w:hint="eastAsia"/>
      </w:rPr>
    </w:lvl>
    <w:lvl w:ilvl="4" w:tentative="0">
      <w:start w:val="1"/>
      <w:numFmt w:val="decimal"/>
      <w:isLgl/>
      <w:lvlText w:val="%1.%2.%3.%4.%5"/>
      <w:lvlJc w:val="left"/>
      <w:pPr>
        <w:ind w:left="2551" w:hanging="850"/>
      </w:pPr>
      <w:rPr>
        <w:rFonts w:hint="eastAsia"/>
      </w:rPr>
    </w:lvl>
    <w:lvl w:ilvl="5" w:tentative="0">
      <w:start w:val="1"/>
      <w:numFmt w:val="decimal"/>
      <w:isLgl/>
      <w:lvlText w:val="%1.%2.%3.%4.%5.%6"/>
      <w:lvlJc w:val="left"/>
      <w:pPr>
        <w:ind w:left="3260" w:hanging="1134"/>
      </w:pPr>
      <w:rPr>
        <w:rFonts w:hint="eastAsia"/>
      </w:rPr>
    </w:lvl>
    <w:lvl w:ilvl="6" w:tentative="0">
      <w:start w:val="1"/>
      <w:numFmt w:val="decimal"/>
      <w:isLgl/>
      <w:lvlText w:val="%1.%2.%3.%4.%5.%6.%7"/>
      <w:lvlJc w:val="left"/>
      <w:pPr>
        <w:ind w:left="3827" w:hanging="1276"/>
      </w:pPr>
      <w:rPr>
        <w:rFonts w:hint="eastAsia"/>
      </w:rPr>
    </w:lvl>
    <w:lvl w:ilvl="7" w:tentative="0">
      <w:start w:val="1"/>
      <w:numFmt w:val="decimal"/>
      <w:isLgl/>
      <w:lvlText w:val="%1.%2.%3.%4.%5.%6.%7.%8"/>
      <w:lvlJc w:val="left"/>
      <w:pPr>
        <w:ind w:left="4394" w:hanging="1418"/>
      </w:pPr>
      <w:rPr>
        <w:rFonts w:hint="eastAsia"/>
      </w:rPr>
    </w:lvl>
    <w:lvl w:ilvl="8" w:tentative="0">
      <w:start w:val="1"/>
      <w:numFmt w:val="decimal"/>
      <w:isLgl/>
      <w:lvlText w:val="%1.%2.%3.%4.%5.%6.%7.%8.%9"/>
      <w:lvlJc w:val="left"/>
      <w:pPr>
        <w:ind w:left="5102" w:hanging="1700"/>
      </w:pPr>
      <w:rPr>
        <w:rFonts w:hint="eastAsia"/>
      </w:rPr>
    </w:lvl>
  </w:abstractNum>
  <w:abstractNum w:abstractNumId="1">
    <w:nsid w:val="00000004"/>
    <w:multiLevelType w:val="singleLevel"/>
    <w:tmpl w:val="00000004"/>
    <w:lvl w:ilvl="0" w:tentative="0">
      <w:start w:val="1"/>
      <w:numFmt w:val="decimal"/>
      <w:suff w:val="nothing"/>
      <w:lvlText w:val="%1、"/>
      <w:lvlJc w:val="left"/>
    </w:lvl>
  </w:abstractNum>
  <w:abstractNum w:abstractNumId="2">
    <w:nsid w:val="00AD17BD"/>
    <w:multiLevelType w:val="multilevel"/>
    <w:tmpl w:val="00AD17BD"/>
    <w:lvl w:ilvl="0" w:tentative="0">
      <w:start w:val="1"/>
      <w:numFmt w:val="decimal"/>
      <w:suff w:val="nothing"/>
      <w:lvlText w:val="3.6.%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9AA6454"/>
    <w:multiLevelType w:val="multilevel"/>
    <w:tmpl w:val="09AA6454"/>
    <w:lvl w:ilvl="0" w:tentative="0">
      <w:start w:val="1"/>
      <w:numFmt w:val="decimal"/>
      <w:suff w:val="nothing"/>
      <w:lvlText w:val="3.1.%1."/>
      <w:lvlJc w:val="left"/>
      <w:pPr>
        <w:ind w:left="360" w:hanging="360"/>
      </w:pPr>
      <w:rPr>
        <w:rFonts w:hint="default"/>
      </w:rPr>
    </w:lvl>
    <w:lvl w:ilvl="1" w:tentative="0">
      <w:start w:val="3"/>
      <w:numFmt w:val="bullet"/>
      <w:lvlText w:val="★"/>
      <w:lvlJc w:val="left"/>
      <w:pPr>
        <w:ind w:left="720" w:hanging="360"/>
      </w:pPr>
      <w:rPr>
        <w:rFonts w:hint="eastAsia" w:ascii="等线" w:hAnsi="等线" w:eastAsia="等线" w:cs="Arial"/>
      </w:r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4">
    <w:nsid w:val="19C717BE"/>
    <w:multiLevelType w:val="multilevel"/>
    <w:tmpl w:val="19C717BE"/>
    <w:lvl w:ilvl="0" w:tentative="0">
      <w:start w:val="1"/>
      <w:numFmt w:val="decimal"/>
      <w:lvlText w:val="%1."/>
      <w:lvlJc w:val="left"/>
      <w:pPr>
        <w:ind w:left="420" w:hanging="420"/>
      </w:pPr>
    </w:lvl>
    <w:lvl w:ilvl="1" w:tentative="0">
      <w:start w:val="0"/>
      <w:numFmt w:val="bullet"/>
      <w:lvlText w:val="★"/>
      <w:lvlJc w:val="left"/>
      <w:pPr>
        <w:ind w:left="780" w:hanging="360"/>
      </w:pPr>
      <w:rPr>
        <w:rFonts w:hint="eastAsia" w:ascii="宋体" w:hAnsi="宋体" w:eastAsia="宋体" w:cs="Times New Roman"/>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B9A304C"/>
    <w:multiLevelType w:val="multilevel"/>
    <w:tmpl w:val="3B9A304C"/>
    <w:lvl w:ilvl="0" w:tentative="0">
      <w:start w:val="1"/>
      <w:numFmt w:val="decimal"/>
      <w:suff w:val="nothing"/>
      <w:lvlText w:val="3.5.%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47E4FAA"/>
    <w:multiLevelType w:val="multilevel"/>
    <w:tmpl w:val="447E4FAA"/>
    <w:lvl w:ilvl="0" w:tentative="0">
      <w:start w:val="1"/>
      <w:numFmt w:val="decimal"/>
      <w:lvlText w:val="%1."/>
      <w:lvlJc w:val="left"/>
      <w:pPr>
        <w:ind w:left="360" w:hanging="360"/>
      </w:pPr>
      <w:rPr>
        <w:b/>
        <w:bCs/>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495D29DB"/>
    <w:multiLevelType w:val="multilevel"/>
    <w:tmpl w:val="495D29DB"/>
    <w:lvl w:ilvl="0" w:tentative="0">
      <w:start w:val="1"/>
      <w:numFmt w:val="decimal"/>
      <w:suff w:val="nothing"/>
      <w:lvlText w:val="3.2.%1."/>
      <w:lvlJc w:val="left"/>
      <w:pPr>
        <w:ind w:left="36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8">
    <w:nsid w:val="551E1D57"/>
    <w:multiLevelType w:val="multilevel"/>
    <w:tmpl w:val="551E1D57"/>
    <w:lvl w:ilvl="0" w:tentative="0">
      <w:start w:val="1"/>
      <w:numFmt w:val="decimal"/>
      <w:suff w:val="nothing"/>
      <w:lvlText w:val="4.%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C9B6CC8"/>
    <w:multiLevelType w:val="multilevel"/>
    <w:tmpl w:val="5C9B6CC8"/>
    <w:lvl w:ilvl="0" w:tentative="0">
      <w:start w:val="1"/>
      <w:numFmt w:val="decimal"/>
      <w:lvlText w:val="3.%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61635D21"/>
    <w:multiLevelType w:val="multilevel"/>
    <w:tmpl w:val="61635D21"/>
    <w:lvl w:ilvl="0" w:tentative="0">
      <w:start w:val="1"/>
      <w:numFmt w:val="decimal"/>
      <w:suff w:val="nothing"/>
      <w:lvlText w:val="3.4.%1."/>
      <w:lvlJc w:val="left"/>
      <w:pPr>
        <w:ind w:left="36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num w:numId="1">
    <w:abstractNumId w:val="0"/>
  </w:num>
  <w:num w:numId="2">
    <w:abstractNumId w:val="6"/>
  </w:num>
  <w:num w:numId="3">
    <w:abstractNumId w:val="9"/>
  </w:num>
  <w:num w:numId="4">
    <w:abstractNumId w:val="3"/>
  </w:num>
  <w:num w:numId="5">
    <w:abstractNumId w:val="7"/>
  </w:num>
  <w:num w:numId="6">
    <w:abstractNumId w:val="10"/>
  </w:num>
  <w:num w:numId="7">
    <w:abstractNumId w:val="5"/>
  </w:num>
  <w:num w:numId="8">
    <w:abstractNumId w:val="2"/>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jNmZjMGUyYzA3ZGEyZTQwNGQ3YzZkZWUwMGI5ODkifQ=="/>
  </w:docVars>
  <w:rsids>
    <w:rsidRoot w:val="499B0676"/>
    <w:rsid w:val="00000A4E"/>
    <w:rsid w:val="000013FE"/>
    <w:rsid w:val="0000186F"/>
    <w:rsid w:val="00001A03"/>
    <w:rsid w:val="000037DE"/>
    <w:rsid w:val="0001024D"/>
    <w:rsid w:val="00010382"/>
    <w:rsid w:val="00011857"/>
    <w:rsid w:val="00012CBC"/>
    <w:rsid w:val="00013466"/>
    <w:rsid w:val="00013574"/>
    <w:rsid w:val="00013923"/>
    <w:rsid w:val="00017581"/>
    <w:rsid w:val="00017649"/>
    <w:rsid w:val="00017F9C"/>
    <w:rsid w:val="000217F7"/>
    <w:rsid w:val="00022FDC"/>
    <w:rsid w:val="0002404C"/>
    <w:rsid w:val="000252F0"/>
    <w:rsid w:val="0002572C"/>
    <w:rsid w:val="00025EED"/>
    <w:rsid w:val="000260CC"/>
    <w:rsid w:val="000312D1"/>
    <w:rsid w:val="00031705"/>
    <w:rsid w:val="000333AE"/>
    <w:rsid w:val="00034FB8"/>
    <w:rsid w:val="000356C7"/>
    <w:rsid w:val="000358FA"/>
    <w:rsid w:val="00037B3D"/>
    <w:rsid w:val="00040247"/>
    <w:rsid w:val="00040313"/>
    <w:rsid w:val="00040E14"/>
    <w:rsid w:val="0004168B"/>
    <w:rsid w:val="00045B4B"/>
    <w:rsid w:val="0004635F"/>
    <w:rsid w:val="00046654"/>
    <w:rsid w:val="00046881"/>
    <w:rsid w:val="00046AFE"/>
    <w:rsid w:val="000508AD"/>
    <w:rsid w:val="0005168D"/>
    <w:rsid w:val="00053BE1"/>
    <w:rsid w:val="00053C94"/>
    <w:rsid w:val="00056A07"/>
    <w:rsid w:val="00057421"/>
    <w:rsid w:val="00061310"/>
    <w:rsid w:val="00061914"/>
    <w:rsid w:val="00063D23"/>
    <w:rsid w:val="000662FC"/>
    <w:rsid w:val="000665A8"/>
    <w:rsid w:val="000674CE"/>
    <w:rsid w:val="000675BE"/>
    <w:rsid w:val="000677C7"/>
    <w:rsid w:val="00067D62"/>
    <w:rsid w:val="00071011"/>
    <w:rsid w:val="0007234E"/>
    <w:rsid w:val="00072573"/>
    <w:rsid w:val="0007343D"/>
    <w:rsid w:val="000745C1"/>
    <w:rsid w:val="0007473A"/>
    <w:rsid w:val="00074CB8"/>
    <w:rsid w:val="00076502"/>
    <w:rsid w:val="000769CD"/>
    <w:rsid w:val="000775DD"/>
    <w:rsid w:val="00080119"/>
    <w:rsid w:val="00082346"/>
    <w:rsid w:val="000841E5"/>
    <w:rsid w:val="00087CA6"/>
    <w:rsid w:val="00091737"/>
    <w:rsid w:val="00091751"/>
    <w:rsid w:val="000917F5"/>
    <w:rsid w:val="00092E61"/>
    <w:rsid w:val="0009483A"/>
    <w:rsid w:val="00095ECE"/>
    <w:rsid w:val="000960B2"/>
    <w:rsid w:val="000A0657"/>
    <w:rsid w:val="000A0CD6"/>
    <w:rsid w:val="000A1812"/>
    <w:rsid w:val="000A2631"/>
    <w:rsid w:val="000A4283"/>
    <w:rsid w:val="000A6AFA"/>
    <w:rsid w:val="000B07FC"/>
    <w:rsid w:val="000B080E"/>
    <w:rsid w:val="000B150D"/>
    <w:rsid w:val="000B1637"/>
    <w:rsid w:val="000B1715"/>
    <w:rsid w:val="000B2722"/>
    <w:rsid w:val="000B320F"/>
    <w:rsid w:val="000B3A4F"/>
    <w:rsid w:val="000B538A"/>
    <w:rsid w:val="000B5D7D"/>
    <w:rsid w:val="000B67D9"/>
    <w:rsid w:val="000B6EA7"/>
    <w:rsid w:val="000B75AB"/>
    <w:rsid w:val="000B7DF1"/>
    <w:rsid w:val="000B7EF2"/>
    <w:rsid w:val="000C01FC"/>
    <w:rsid w:val="000C245B"/>
    <w:rsid w:val="000C2AE6"/>
    <w:rsid w:val="000C354A"/>
    <w:rsid w:val="000C3BCA"/>
    <w:rsid w:val="000C4336"/>
    <w:rsid w:val="000C49B5"/>
    <w:rsid w:val="000C4FD9"/>
    <w:rsid w:val="000C52A0"/>
    <w:rsid w:val="000C6B2C"/>
    <w:rsid w:val="000D04C8"/>
    <w:rsid w:val="000D0E5E"/>
    <w:rsid w:val="000D1018"/>
    <w:rsid w:val="000D1038"/>
    <w:rsid w:val="000D2A3F"/>
    <w:rsid w:val="000D494E"/>
    <w:rsid w:val="000D5249"/>
    <w:rsid w:val="000D6514"/>
    <w:rsid w:val="000E46D9"/>
    <w:rsid w:val="000E4E95"/>
    <w:rsid w:val="000E50DD"/>
    <w:rsid w:val="000E7417"/>
    <w:rsid w:val="000E741F"/>
    <w:rsid w:val="000F1A45"/>
    <w:rsid w:val="000F1AF9"/>
    <w:rsid w:val="000F1BB4"/>
    <w:rsid w:val="000F21C8"/>
    <w:rsid w:val="000F4155"/>
    <w:rsid w:val="000F44CB"/>
    <w:rsid w:val="000F5099"/>
    <w:rsid w:val="000F5866"/>
    <w:rsid w:val="000F74AB"/>
    <w:rsid w:val="000F7568"/>
    <w:rsid w:val="000F7E42"/>
    <w:rsid w:val="00102CD3"/>
    <w:rsid w:val="001047E3"/>
    <w:rsid w:val="00105A9C"/>
    <w:rsid w:val="00106446"/>
    <w:rsid w:val="00110B4B"/>
    <w:rsid w:val="00111596"/>
    <w:rsid w:val="00111CC9"/>
    <w:rsid w:val="00112032"/>
    <w:rsid w:val="00113388"/>
    <w:rsid w:val="00113C61"/>
    <w:rsid w:val="0011564D"/>
    <w:rsid w:val="0011569B"/>
    <w:rsid w:val="001178EB"/>
    <w:rsid w:val="0012174B"/>
    <w:rsid w:val="001228FD"/>
    <w:rsid w:val="00123CC1"/>
    <w:rsid w:val="00124410"/>
    <w:rsid w:val="0012510B"/>
    <w:rsid w:val="00125769"/>
    <w:rsid w:val="00125B14"/>
    <w:rsid w:val="00125EF8"/>
    <w:rsid w:val="00125F48"/>
    <w:rsid w:val="00126A59"/>
    <w:rsid w:val="00130B73"/>
    <w:rsid w:val="00131028"/>
    <w:rsid w:val="0013172D"/>
    <w:rsid w:val="001327AB"/>
    <w:rsid w:val="00132924"/>
    <w:rsid w:val="00134894"/>
    <w:rsid w:val="00137798"/>
    <w:rsid w:val="001413DF"/>
    <w:rsid w:val="00141575"/>
    <w:rsid w:val="00141BEE"/>
    <w:rsid w:val="0014220A"/>
    <w:rsid w:val="00144141"/>
    <w:rsid w:val="0014699B"/>
    <w:rsid w:val="00146D14"/>
    <w:rsid w:val="00146EB7"/>
    <w:rsid w:val="001522A5"/>
    <w:rsid w:val="00153C89"/>
    <w:rsid w:val="001540C5"/>
    <w:rsid w:val="001547FC"/>
    <w:rsid w:val="0016110C"/>
    <w:rsid w:val="001617E9"/>
    <w:rsid w:val="00162F23"/>
    <w:rsid w:val="001642C4"/>
    <w:rsid w:val="00164661"/>
    <w:rsid w:val="00167194"/>
    <w:rsid w:val="00167763"/>
    <w:rsid w:val="001708E8"/>
    <w:rsid w:val="00173D83"/>
    <w:rsid w:val="001753FA"/>
    <w:rsid w:val="00175FE2"/>
    <w:rsid w:val="0017741D"/>
    <w:rsid w:val="00181D2E"/>
    <w:rsid w:val="001846F2"/>
    <w:rsid w:val="001850A4"/>
    <w:rsid w:val="00185B43"/>
    <w:rsid w:val="00187DB6"/>
    <w:rsid w:val="00190C8F"/>
    <w:rsid w:val="00192075"/>
    <w:rsid w:val="001924BD"/>
    <w:rsid w:val="00192709"/>
    <w:rsid w:val="00194B0E"/>
    <w:rsid w:val="001967E9"/>
    <w:rsid w:val="00197153"/>
    <w:rsid w:val="00197441"/>
    <w:rsid w:val="001A053D"/>
    <w:rsid w:val="001A09D1"/>
    <w:rsid w:val="001A101A"/>
    <w:rsid w:val="001A2566"/>
    <w:rsid w:val="001A3AA5"/>
    <w:rsid w:val="001A3AFC"/>
    <w:rsid w:val="001A561A"/>
    <w:rsid w:val="001A58C6"/>
    <w:rsid w:val="001B2294"/>
    <w:rsid w:val="001B313B"/>
    <w:rsid w:val="001B4F01"/>
    <w:rsid w:val="001B5907"/>
    <w:rsid w:val="001C274B"/>
    <w:rsid w:val="001C369A"/>
    <w:rsid w:val="001C3EC1"/>
    <w:rsid w:val="001C5444"/>
    <w:rsid w:val="001C560E"/>
    <w:rsid w:val="001C7034"/>
    <w:rsid w:val="001D0919"/>
    <w:rsid w:val="001D0F5F"/>
    <w:rsid w:val="001D26DC"/>
    <w:rsid w:val="001D300D"/>
    <w:rsid w:val="001D302B"/>
    <w:rsid w:val="001D5B75"/>
    <w:rsid w:val="001D730D"/>
    <w:rsid w:val="001E3D6A"/>
    <w:rsid w:val="001E4458"/>
    <w:rsid w:val="001E4C72"/>
    <w:rsid w:val="001E5669"/>
    <w:rsid w:val="001E59F7"/>
    <w:rsid w:val="001F1819"/>
    <w:rsid w:val="001F3740"/>
    <w:rsid w:val="001F4878"/>
    <w:rsid w:val="001F526E"/>
    <w:rsid w:val="001F5B18"/>
    <w:rsid w:val="001F7861"/>
    <w:rsid w:val="001F7AFA"/>
    <w:rsid w:val="001F7F7E"/>
    <w:rsid w:val="002008A9"/>
    <w:rsid w:val="00200C39"/>
    <w:rsid w:val="00201610"/>
    <w:rsid w:val="00201853"/>
    <w:rsid w:val="002018AB"/>
    <w:rsid w:val="002023F0"/>
    <w:rsid w:val="0020308E"/>
    <w:rsid w:val="00203EA6"/>
    <w:rsid w:val="0020512D"/>
    <w:rsid w:val="00206F11"/>
    <w:rsid w:val="002105AC"/>
    <w:rsid w:val="00210F21"/>
    <w:rsid w:val="0021139E"/>
    <w:rsid w:val="0021498F"/>
    <w:rsid w:val="0021548B"/>
    <w:rsid w:val="00215D98"/>
    <w:rsid w:val="00221240"/>
    <w:rsid w:val="00221BE4"/>
    <w:rsid w:val="00222AE0"/>
    <w:rsid w:val="00223541"/>
    <w:rsid w:val="002240A4"/>
    <w:rsid w:val="0023235C"/>
    <w:rsid w:val="00232836"/>
    <w:rsid w:val="00235123"/>
    <w:rsid w:val="00236C48"/>
    <w:rsid w:val="00240354"/>
    <w:rsid w:val="002419D0"/>
    <w:rsid w:val="00241A39"/>
    <w:rsid w:val="00241B1C"/>
    <w:rsid w:val="00242A62"/>
    <w:rsid w:val="002444EA"/>
    <w:rsid w:val="00245EF6"/>
    <w:rsid w:val="00246A7A"/>
    <w:rsid w:val="002504DB"/>
    <w:rsid w:val="00251252"/>
    <w:rsid w:val="0025131F"/>
    <w:rsid w:val="00253669"/>
    <w:rsid w:val="00253BFE"/>
    <w:rsid w:val="00254043"/>
    <w:rsid w:val="00255AC7"/>
    <w:rsid w:val="00256464"/>
    <w:rsid w:val="00256A84"/>
    <w:rsid w:val="002570A1"/>
    <w:rsid w:val="002579E4"/>
    <w:rsid w:val="00261AC6"/>
    <w:rsid w:val="00262EA5"/>
    <w:rsid w:val="00262FCB"/>
    <w:rsid w:val="00263878"/>
    <w:rsid w:val="00263CC4"/>
    <w:rsid w:val="0026439A"/>
    <w:rsid w:val="002643E5"/>
    <w:rsid w:val="00264DF3"/>
    <w:rsid w:val="00264EB2"/>
    <w:rsid w:val="00265009"/>
    <w:rsid w:val="00265E1A"/>
    <w:rsid w:val="002663DF"/>
    <w:rsid w:val="0026705D"/>
    <w:rsid w:val="00267C83"/>
    <w:rsid w:val="002721FF"/>
    <w:rsid w:val="00272434"/>
    <w:rsid w:val="00272498"/>
    <w:rsid w:val="00276AC4"/>
    <w:rsid w:val="0027767A"/>
    <w:rsid w:val="002815E4"/>
    <w:rsid w:val="0028240A"/>
    <w:rsid w:val="00283A43"/>
    <w:rsid w:val="0028486F"/>
    <w:rsid w:val="00285A81"/>
    <w:rsid w:val="00285F61"/>
    <w:rsid w:val="002868A8"/>
    <w:rsid w:val="0028703F"/>
    <w:rsid w:val="00287BEA"/>
    <w:rsid w:val="00290DAB"/>
    <w:rsid w:val="00290DD1"/>
    <w:rsid w:val="00291C24"/>
    <w:rsid w:val="00292441"/>
    <w:rsid w:val="00292F73"/>
    <w:rsid w:val="00293A07"/>
    <w:rsid w:val="00293AA8"/>
    <w:rsid w:val="002963B2"/>
    <w:rsid w:val="00297284"/>
    <w:rsid w:val="00297B75"/>
    <w:rsid w:val="00297DCC"/>
    <w:rsid w:val="002A0C4E"/>
    <w:rsid w:val="002A1672"/>
    <w:rsid w:val="002A22D6"/>
    <w:rsid w:val="002A3505"/>
    <w:rsid w:val="002A379E"/>
    <w:rsid w:val="002A4598"/>
    <w:rsid w:val="002A65E2"/>
    <w:rsid w:val="002A67CA"/>
    <w:rsid w:val="002A7BBC"/>
    <w:rsid w:val="002B15AC"/>
    <w:rsid w:val="002B1662"/>
    <w:rsid w:val="002B469A"/>
    <w:rsid w:val="002B51EA"/>
    <w:rsid w:val="002B7256"/>
    <w:rsid w:val="002C1AB9"/>
    <w:rsid w:val="002C2061"/>
    <w:rsid w:val="002C2D6E"/>
    <w:rsid w:val="002C363B"/>
    <w:rsid w:val="002C465A"/>
    <w:rsid w:val="002C6E3F"/>
    <w:rsid w:val="002D0F14"/>
    <w:rsid w:val="002D10AB"/>
    <w:rsid w:val="002D13DD"/>
    <w:rsid w:val="002D2F30"/>
    <w:rsid w:val="002D398C"/>
    <w:rsid w:val="002D5AAF"/>
    <w:rsid w:val="002D61AB"/>
    <w:rsid w:val="002E236F"/>
    <w:rsid w:val="002E273F"/>
    <w:rsid w:val="002E28E9"/>
    <w:rsid w:val="002E36ED"/>
    <w:rsid w:val="002E3F2A"/>
    <w:rsid w:val="002E5727"/>
    <w:rsid w:val="002E6631"/>
    <w:rsid w:val="002E7D64"/>
    <w:rsid w:val="002F1C4E"/>
    <w:rsid w:val="002F2A20"/>
    <w:rsid w:val="002F4865"/>
    <w:rsid w:val="002F5627"/>
    <w:rsid w:val="002F5764"/>
    <w:rsid w:val="002F654F"/>
    <w:rsid w:val="002F7B60"/>
    <w:rsid w:val="002F7BD9"/>
    <w:rsid w:val="003009CE"/>
    <w:rsid w:val="00300C8F"/>
    <w:rsid w:val="00303366"/>
    <w:rsid w:val="00304AFA"/>
    <w:rsid w:val="00304CC3"/>
    <w:rsid w:val="00304DD8"/>
    <w:rsid w:val="00306A74"/>
    <w:rsid w:val="003107CD"/>
    <w:rsid w:val="00311F8B"/>
    <w:rsid w:val="00313325"/>
    <w:rsid w:val="0031396B"/>
    <w:rsid w:val="00313A4D"/>
    <w:rsid w:val="00313F34"/>
    <w:rsid w:val="00314D70"/>
    <w:rsid w:val="00314DB9"/>
    <w:rsid w:val="00315C1C"/>
    <w:rsid w:val="00320EE5"/>
    <w:rsid w:val="00321E2F"/>
    <w:rsid w:val="0032557C"/>
    <w:rsid w:val="00327515"/>
    <w:rsid w:val="00331031"/>
    <w:rsid w:val="003327BF"/>
    <w:rsid w:val="00334278"/>
    <w:rsid w:val="003350FF"/>
    <w:rsid w:val="00335312"/>
    <w:rsid w:val="00335CCE"/>
    <w:rsid w:val="00335FD1"/>
    <w:rsid w:val="003360BC"/>
    <w:rsid w:val="003401C3"/>
    <w:rsid w:val="00340374"/>
    <w:rsid w:val="003405EA"/>
    <w:rsid w:val="00340A1C"/>
    <w:rsid w:val="00340B45"/>
    <w:rsid w:val="00340E34"/>
    <w:rsid w:val="00342E44"/>
    <w:rsid w:val="00342EA3"/>
    <w:rsid w:val="00345BBA"/>
    <w:rsid w:val="0034766E"/>
    <w:rsid w:val="00347DC8"/>
    <w:rsid w:val="00350118"/>
    <w:rsid w:val="00350642"/>
    <w:rsid w:val="0035087B"/>
    <w:rsid w:val="00352E5D"/>
    <w:rsid w:val="00353D3F"/>
    <w:rsid w:val="00354E41"/>
    <w:rsid w:val="003563EA"/>
    <w:rsid w:val="0035647A"/>
    <w:rsid w:val="00356C0C"/>
    <w:rsid w:val="0036003D"/>
    <w:rsid w:val="003608CF"/>
    <w:rsid w:val="00361E5C"/>
    <w:rsid w:val="00363C66"/>
    <w:rsid w:val="00364BE7"/>
    <w:rsid w:val="00365420"/>
    <w:rsid w:val="00365849"/>
    <w:rsid w:val="0036592F"/>
    <w:rsid w:val="0036754C"/>
    <w:rsid w:val="00367761"/>
    <w:rsid w:val="003716F6"/>
    <w:rsid w:val="003723EC"/>
    <w:rsid w:val="00372E6F"/>
    <w:rsid w:val="00373228"/>
    <w:rsid w:val="00374C27"/>
    <w:rsid w:val="0037765F"/>
    <w:rsid w:val="0037789B"/>
    <w:rsid w:val="003779F0"/>
    <w:rsid w:val="00381353"/>
    <w:rsid w:val="00382317"/>
    <w:rsid w:val="00383E27"/>
    <w:rsid w:val="00384B52"/>
    <w:rsid w:val="00384F53"/>
    <w:rsid w:val="00385E98"/>
    <w:rsid w:val="00387315"/>
    <w:rsid w:val="00391805"/>
    <w:rsid w:val="00392462"/>
    <w:rsid w:val="003927AD"/>
    <w:rsid w:val="003966A4"/>
    <w:rsid w:val="00396E9F"/>
    <w:rsid w:val="003A4099"/>
    <w:rsid w:val="003A48A3"/>
    <w:rsid w:val="003A56B4"/>
    <w:rsid w:val="003A5FEB"/>
    <w:rsid w:val="003A67B9"/>
    <w:rsid w:val="003A7D94"/>
    <w:rsid w:val="003B074C"/>
    <w:rsid w:val="003B099D"/>
    <w:rsid w:val="003B1302"/>
    <w:rsid w:val="003B652C"/>
    <w:rsid w:val="003B65C0"/>
    <w:rsid w:val="003B6B4B"/>
    <w:rsid w:val="003C054C"/>
    <w:rsid w:val="003C0A14"/>
    <w:rsid w:val="003C1256"/>
    <w:rsid w:val="003C1404"/>
    <w:rsid w:val="003C193D"/>
    <w:rsid w:val="003C2BD3"/>
    <w:rsid w:val="003C2F63"/>
    <w:rsid w:val="003C7A73"/>
    <w:rsid w:val="003D16A0"/>
    <w:rsid w:val="003D33BF"/>
    <w:rsid w:val="003D4669"/>
    <w:rsid w:val="003D475A"/>
    <w:rsid w:val="003D5168"/>
    <w:rsid w:val="003D5E2A"/>
    <w:rsid w:val="003D710E"/>
    <w:rsid w:val="003E031B"/>
    <w:rsid w:val="003E0880"/>
    <w:rsid w:val="003E3CBC"/>
    <w:rsid w:val="003E44E8"/>
    <w:rsid w:val="003E46D4"/>
    <w:rsid w:val="003E4F45"/>
    <w:rsid w:val="003E5316"/>
    <w:rsid w:val="003E587C"/>
    <w:rsid w:val="003E63DA"/>
    <w:rsid w:val="003E6E9A"/>
    <w:rsid w:val="003E77E5"/>
    <w:rsid w:val="003F0052"/>
    <w:rsid w:val="003F0750"/>
    <w:rsid w:val="003F080A"/>
    <w:rsid w:val="003F1CA7"/>
    <w:rsid w:val="003F3C0E"/>
    <w:rsid w:val="003F50DE"/>
    <w:rsid w:val="003F67AD"/>
    <w:rsid w:val="003F6BCC"/>
    <w:rsid w:val="003F6DCF"/>
    <w:rsid w:val="003F7A5C"/>
    <w:rsid w:val="00400ACB"/>
    <w:rsid w:val="00401EA9"/>
    <w:rsid w:val="00403331"/>
    <w:rsid w:val="004047E0"/>
    <w:rsid w:val="0040501F"/>
    <w:rsid w:val="00405498"/>
    <w:rsid w:val="0040556F"/>
    <w:rsid w:val="00405C57"/>
    <w:rsid w:val="00405CF4"/>
    <w:rsid w:val="0040634B"/>
    <w:rsid w:val="0040642E"/>
    <w:rsid w:val="00406717"/>
    <w:rsid w:val="00406F15"/>
    <w:rsid w:val="00411123"/>
    <w:rsid w:val="004112B7"/>
    <w:rsid w:val="004117C4"/>
    <w:rsid w:val="0041189C"/>
    <w:rsid w:val="00412EDA"/>
    <w:rsid w:val="00413ED6"/>
    <w:rsid w:val="00415978"/>
    <w:rsid w:val="00415ACD"/>
    <w:rsid w:val="00416A2C"/>
    <w:rsid w:val="00416C93"/>
    <w:rsid w:val="0041713C"/>
    <w:rsid w:val="00421828"/>
    <w:rsid w:val="004237B8"/>
    <w:rsid w:val="00423AB0"/>
    <w:rsid w:val="004241CA"/>
    <w:rsid w:val="0043056E"/>
    <w:rsid w:val="00431DCD"/>
    <w:rsid w:val="00432EDE"/>
    <w:rsid w:val="004346A4"/>
    <w:rsid w:val="00434E74"/>
    <w:rsid w:val="00435FE1"/>
    <w:rsid w:val="00436879"/>
    <w:rsid w:val="00437C4F"/>
    <w:rsid w:val="00437DC8"/>
    <w:rsid w:val="0044006B"/>
    <w:rsid w:val="00440E17"/>
    <w:rsid w:val="00441569"/>
    <w:rsid w:val="00441DE0"/>
    <w:rsid w:val="004438EC"/>
    <w:rsid w:val="00444082"/>
    <w:rsid w:val="00446471"/>
    <w:rsid w:val="004470B6"/>
    <w:rsid w:val="004470BD"/>
    <w:rsid w:val="00447F68"/>
    <w:rsid w:val="00454519"/>
    <w:rsid w:val="004604E5"/>
    <w:rsid w:val="00460668"/>
    <w:rsid w:val="00460D7A"/>
    <w:rsid w:val="004611C1"/>
    <w:rsid w:val="0046306C"/>
    <w:rsid w:val="00465AF5"/>
    <w:rsid w:val="004661B0"/>
    <w:rsid w:val="00466857"/>
    <w:rsid w:val="00470775"/>
    <w:rsid w:val="00473A7F"/>
    <w:rsid w:val="00474576"/>
    <w:rsid w:val="0047627C"/>
    <w:rsid w:val="004770D1"/>
    <w:rsid w:val="00477E58"/>
    <w:rsid w:val="00481E00"/>
    <w:rsid w:val="00484599"/>
    <w:rsid w:val="00484DBE"/>
    <w:rsid w:val="004851C5"/>
    <w:rsid w:val="00485F0D"/>
    <w:rsid w:val="004906F2"/>
    <w:rsid w:val="004929AF"/>
    <w:rsid w:val="00494A80"/>
    <w:rsid w:val="004955E3"/>
    <w:rsid w:val="004A1A83"/>
    <w:rsid w:val="004A5362"/>
    <w:rsid w:val="004A5ABE"/>
    <w:rsid w:val="004A774F"/>
    <w:rsid w:val="004A7AFF"/>
    <w:rsid w:val="004B2359"/>
    <w:rsid w:val="004B3A3B"/>
    <w:rsid w:val="004B4AA0"/>
    <w:rsid w:val="004B501F"/>
    <w:rsid w:val="004B6A9B"/>
    <w:rsid w:val="004B6B72"/>
    <w:rsid w:val="004B7546"/>
    <w:rsid w:val="004C0A57"/>
    <w:rsid w:val="004C3F0B"/>
    <w:rsid w:val="004C4320"/>
    <w:rsid w:val="004C5034"/>
    <w:rsid w:val="004C6C6E"/>
    <w:rsid w:val="004C780E"/>
    <w:rsid w:val="004D11C5"/>
    <w:rsid w:val="004D4549"/>
    <w:rsid w:val="004D55F9"/>
    <w:rsid w:val="004D5ACE"/>
    <w:rsid w:val="004E0B8E"/>
    <w:rsid w:val="004E0BE3"/>
    <w:rsid w:val="004E15FF"/>
    <w:rsid w:val="004E1894"/>
    <w:rsid w:val="004E1B32"/>
    <w:rsid w:val="004E2CF6"/>
    <w:rsid w:val="004E567C"/>
    <w:rsid w:val="004E6F94"/>
    <w:rsid w:val="004E7331"/>
    <w:rsid w:val="004E7578"/>
    <w:rsid w:val="004F3090"/>
    <w:rsid w:val="004F3836"/>
    <w:rsid w:val="004F3E65"/>
    <w:rsid w:val="004F4346"/>
    <w:rsid w:val="004F4D75"/>
    <w:rsid w:val="00502086"/>
    <w:rsid w:val="00504154"/>
    <w:rsid w:val="0050436C"/>
    <w:rsid w:val="005057CC"/>
    <w:rsid w:val="00505858"/>
    <w:rsid w:val="00505F80"/>
    <w:rsid w:val="00507E86"/>
    <w:rsid w:val="005115F3"/>
    <w:rsid w:val="00511F70"/>
    <w:rsid w:val="00512BF2"/>
    <w:rsid w:val="00515EB7"/>
    <w:rsid w:val="005168C3"/>
    <w:rsid w:val="00520518"/>
    <w:rsid w:val="00520CD4"/>
    <w:rsid w:val="0052205A"/>
    <w:rsid w:val="00523D1E"/>
    <w:rsid w:val="0052422C"/>
    <w:rsid w:val="0052537E"/>
    <w:rsid w:val="005257D5"/>
    <w:rsid w:val="00525F48"/>
    <w:rsid w:val="0052611C"/>
    <w:rsid w:val="00531BF0"/>
    <w:rsid w:val="00532CE9"/>
    <w:rsid w:val="00533FFC"/>
    <w:rsid w:val="00534D98"/>
    <w:rsid w:val="0053539D"/>
    <w:rsid w:val="005360CC"/>
    <w:rsid w:val="005361E0"/>
    <w:rsid w:val="00540302"/>
    <w:rsid w:val="00540570"/>
    <w:rsid w:val="0054365D"/>
    <w:rsid w:val="005447D5"/>
    <w:rsid w:val="00545154"/>
    <w:rsid w:val="00545D91"/>
    <w:rsid w:val="00547B5A"/>
    <w:rsid w:val="00550282"/>
    <w:rsid w:val="0055319D"/>
    <w:rsid w:val="0055403A"/>
    <w:rsid w:val="005547A8"/>
    <w:rsid w:val="005550DD"/>
    <w:rsid w:val="005551C1"/>
    <w:rsid w:val="00560F77"/>
    <w:rsid w:val="00561899"/>
    <w:rsid w:val="00562C7F"/>
    <w:rsid w:val="00563557"/>
    <w:rsid w:val="005635C8"/>
    <w:rsid w:val="00564B12"/>
    <w:rsid w:val="005665E1"/>
    <w:rsid w:val="005701BB"/>
    <w:rsid w:val="005709B5"/>
    <w:rsid w:val="00570BB9"/>
    <w:rsid w:val="00572418"/>
    <w:rsid w:val="00572520"/>
    <w:rsid w:val="00572EF3"/>
    <w:rsid w:val="00573857"/>
    <w:rsid w:val="00573BE5"/>
    <w:rsid w:val="00574301"/>
    <w:rsid w:val="005744DA"/>
    <w:rsid w:val="00574806"/>
    <w:rsid w:val="00574963"/>
    <w:rsid w:val="005752A3"/>
    <w:rsid w:val="00575CB7"/>
    <w:rsid w:val="00577537"/>
    <w:rsid w:val="005779C0"/>
    <w:rsid w:val="005804B8"/>
    <w:rsid w:val="005824F4"/>
    <w:rsid w:val="00583F70"/>
    <w:rsid w:val="00584D05"/>
    <w:rsid w:val="0058523D"/>
    <w:rsid w:val="005870BA"/>
    <w:rsid w:val="00587C00"/>
    <w:rsid w:val="00587E4F"/>
    <w:rsid w:val="0059449D"/>
    <w:rsid w:val="005A0E67"/>
    <w:rsid w:val="005A20D1"/>
    <w:rsid w:val="005A50A0"/>
    <w:rsid w:val="005A55EB"/>
    <w:rsid w:val="005A6D02"/>
    <w:rsid w:val="005B03C3"/>
    <w:rsid w:val="005B0C96"/>
    <w:rsid w:val="005B1244"/>
    <w:rsid w:val="005B252C"/>
    <w:rsid w:val="005B3314"/>
    <w:rsid w:val="005B36F6"/>
    <w:rsid w:val="005B43B8"/>
    <w:rsid w:val="005B64F8"/>
    <w:rsid w:val="005B6C58"/>
    <w:rsid w:val="005C2DE6"/>
    <w:rsid w:val="005C36C3"/>
    <w:rsid w:val="005C3A98"/>
    <w:rsid w:val="005C5098"/>
    <w:rsid w:val="005C58EB"/>
    <w:rsid w:val="005C6B10"/>
    <w:rsid w:val="005C7559"/>
    <w:rsid w:val="005D04A2"/>
    <w:rsid w:val="005D088D"/>
    <w:rsid w:val="005D1F21"/>
    <w:rsid w:val="005D1FBC"/>
    <w:rsid w:val="005D392F"/>
    <w:rsid w:val="005D3F16"/>
    <w:rsid w:val="005D4549"/>
    <w:rsid w:val="005D5FFA"/>
    <w:rsid w:val="005D64B2"/>
    <w:rsid w:val="005D78A2"/>
    <w:rsid w:val="005E15EC"/>
    <w:rsid w:val="005E1C52"/>
    <w:rsid w:val="005E2E68"/>
    <w:rsid w:val="005E33D2"/>
    <w:rsid w:val="005E4BD2"/>
    <w:rsid w:val="005E50F3"/>
    <w:rsid w:val="005E73B6"/>
    <w:rsid w:val="005F1B70"/>
    <w:rsid w:val="005F2D4C"/>
    <w:rsid w:val="005F37D4"/>
    <w:rsid w:val="005F42D2"/>
    <w:rsid w:val="005F430D"/>
    <w:rsid w:val="005F4DD9"/>
    <w:rsid w:val="005F6815"/>
    <w:rsid w:val="00600216"/>
    <w:rsid w:val="00601B2C"/>
    <w:rsid w:val="00601EF9"/>
    <w:rsid w:val="00603AAF"/>
    <w:rsid w:val="00603AC2"/>
    <w:rsid w:val="00605007"/>
    <w:rsid w:val="006108AB"/>
    <w:rsid w:val="00610DCD"/>
    <w:rsid w:val="00611562"/>
    <w:rsid w:val="006119B8"/>
    <w:rsid w:val="00616BBC"/>
    <w:rsid w:val="00616BF1"/>
    <w:rsid w:val="00617730"/>
    <w:rsid w:val="00620483"/>
    <w:rsid w:val="00620808"/>
    <w:rsid w:val="006217E3"/>
    <w:rsid w:val="00621A67"/>
    <w:rsid w:val="00621EDB"/>
    <w:rsid w:val="00623F7E"/>
    <w:rsid w:val="0062497C"/>
    <w:rsid w:val="00625271"/>
    <w:rsid w:val="006349D2"/>
    <w:rsid w:val="00636643"/>
    <w:rsid w:val="00637F16"/>
    <w:rsid w:val="00640A47"/>
    <w:rsid w:val="00642501"/>
    <w:rsid w:val="0064267E"/>
    <w:rsid w:val="006430FF"/>
    <w:rsid w:val="00643967"/>
    <w:rsid w:val="006463AC"/>
    <w:rsid w:val="00647F9D"/>
    <w:rsid w:val="00653B74"/>
    <w:rsid w:val="006545A5"/>
    <w:rsid w:val="006569FD"/>
    <w:rsid w:val="00657B10"/>
    <w:rsid w:val="0066096D"/>
    <w:rsid w:val="0066100B"/>
    <w:rsid w:val="00662EE0"/>
    <w:rsid w:val="0066454E"/>
    <w:rsid w:val="00665A8B"/>
    <w:rsid w:val="00667220"/>
    <w:rsid w:val="00667D33"/>
    <w:rsid w:val="00671324"/>
    <w:rsid w:val="0067452B"/>
    <w:rsid w:val="00676087"/>
    <w:rsid w:val="00677156"/>
    <w:rsid w:val="006779A1"/>
    <w:rsid w:val="006807B3"/>
    <w:rsid w:val="006813A4"/>
    <w:rsid w:val="00681F77"/>
    <w:rsid w:val="00682BA0"/>
    <w:rsid w:val="00682E7A"/>
    <w:rsid w:val="0068390A"/>
    <w:rsid w:val="006855D3"/>
    <w:rsid w:val="00685F80"/>
    <w:rsid w:val="00690243"/>
    <w:rsid w:val="0069139A"/>
    <w:rsid w:val="006920E4"/>
    <w:rsid w:val="0069219F"/>
    <w:rsid w:val="006944EB"/>
    <w:rsid w:val="00694C2D"/>
    <w:rsid w:val="00695459"/>
    <w:rsid w:val="006A0435"/>
    <w:rsid w:val="006A1B12"/>
    <w:rsid w:val="006A2D0E"/>
    <w:rsid w:val="006A2DD2"/>
    <w:rsid w:val="006A34AC"/>
    <w:rsid w:val="006A50E4"/>
    <w:rsid w:val="006A58C6"/>
    <w:rsid w:val="006A7371"/>
    <w:rsid w:val="006B0438"/>
    <w:rsid w:val="006B0910"/>
    <w:rsid w:val="006B0C15"/>
    <w:rsid w:val="006B0C80"/>
    <w:rsid w:val="006B1602"/>
    <w:rsid w:val="006B26CA"/>
    <w:rsid w:val="006B4795"/>
    <w:rsid w:val="006B5791"/>
    <w:rsid w:val="006B5C9A"/>
    <w:rsid w:val="006B7B54"/>
    <w:rsid w:val="006C0536"/>
    <w:rsid w:val="006C0F76"/>
    <w:rsid w:val="006C23C2"/>
    <w:rsid w:val="006C2B61"/>
    <w:rsid w:val="006C33AC"/>
    <w:rsid w:val="006C48FD"/>
    <w:rsid w:val="006C5C39"/>
    <w:rsid w:val="006D0536"/>
    <w:rsid w:val="006D0E3B"/>
    <w:rsid w:val="006D2054"/>
    <w:rsid w:val="006D3851"/>
    <w:rsid w:val="006D3A6D"/>
    <w:rsid w:val="006D4F91"/>
    <w:rsid w:val="006D6ADB"/>
    <w:rsid w:val="006E0419"/>
    <w:rsid w:val="006E14C0"/>
    <w:rsid w:val="006E2594"/>
    <w:rsid w:val="006E278E"/>
    <w:rsid w:val="006E45CC"/>
    <w:rsid w:val="006E4AF5"/>
    <w:rsid w:val="006E63DE"/>
    <w:rsid w:val="006E64C6"/>
    <w:rsid w:val="006E70D1"/>
    <w:rsid w:val="006F137B"/>
    <w:rsid w:val="006F1DC1"/>
    <w:rsid w:val="006F2292"/>
    <w:rsid w:val="006F3B2C"/>
    <w:rsid w:val="006F4901"/>
    <w:rsid w:val="006F4B65"/>
    <w:rsid w:val="006F53F1"/>
    <w:rsid w:val="006F6D52"/>
    <w:rsid w:val="007001BB"/>
    <w:rsid w:val="00704082"/>
    <w:rsid w:val="00704D2C"/>
    <w:rsid w:val="00705B51"/>
    <w:rsid w:val="00707D21"/>
    <w:rsid w:val="00707DAE"/>
    <w:rsid w:val="00710C2B"/>
    <w:rsid w:val="0071593B"/>
    <w:rsid w:val="00715BB2"/>
    <w:rsid w:val="007168DB"/>
    <w:rsid w:val="00717ABB"/>
    <w:rsid w:val="007203FF"/>
    <w:rsid w:val="00722005"/>
    <w:rsid w:val="00722CFC"/>
    <w:rsid w:val="00725683"/>
    <w:rsid w:val="007257D4"/>
    <w:rsid w:val="00726F2B"/>
    <w:rsid w:val="00727A5C"/>
    <w:rsid w:val="00732F1A"/>
    <w:rsid w:val="007360FB"/>
    <w:rsid w:val="007369A0"/>
    <w:rsid w:val="00740E6A"/>
    <w:rsid w:val="0074150C"/>
    <w:rsid w:val="007432CA"/>
    <w:rsid w:val="007434B4"/>
    <w:rsid w:val="00744360"/>
    <w:rsid w:val="00745685"/>
    <w:rsid w:val="00746586"/>
    <w:rsid w:val="00747779"/>
    <w:rsid w:val="00747DDA"/>
    <w:rsid w:val="00747F03"/>
    <w:rsid w:val="00751EBB"/>
    <w:rsid w:val="00751F7C"/>
    <w:rsid w:val="007553E8"/>
    <w:rsid w:val="00755DE5"/>
    <w:rsid w:val="00755F77"/>
    <w:rsid w:val="007567BC"/>
    <w:rsid w:val="007568EE"/>
    <w:rsid w:val="00760328"/>
    <w:rsid w:val="007606C3"/>
    <w:rsid w:val="00760E64"/>
    <w:rsid w:val="00761F02"/>
    <w:rsid w:val="007661D6"/>
    <w:rsid w:val="0076675E"/>
    <w:rsid w:val="0076684A"/>
    <w:rsid w:val="007677C8"/>
    <w:rsid w:val="0077276B"/>
    <w:rsid w:val="00772BAC"/>
    <w:rsid w:val="007741AD"/>
    <w:rsid w:val="00775065"/>
    <w:rsid w:val="00776F5F"/>
    <w:rsid w:val="00777453"/>
    <w:rsid w:val="00780CB0"/>
    <w:rsid w:val="00781BF2"/>
    <w:rsid w:val="00783119"/>
    <w:rsid w:val="00785D69"/>
    <w:rsid w:val="00787713"/>
    <w:rsid w:val="00787B90"/>
    <w:rsid w:val="00792FF7"/>
    <w:rsid w:val="007936B7"/>
    <w:rsid w:val="007938A2"/>
    <w:rsid w:val="00793C99"/>
    <w:rsid w:val="0079531F"/>
    <w:rsid w:val="00795D1A"/>
    <w:rsid w:val="007967C8"/>
    <w:rsid w:val="007972B8"/>
    <w:rsid w:val="007A1B60"/>
    <w:rsid w:val="007A3ABD"/>
    <w:rsid w:val="007A646C"/>
    <w:rsid w:val="007A69F1"/>
    <w:rsid w:val="007A6EC0"/>
    <w:rsid w:val="007B0491"/>
    <w:rsid w:val="007B3D2B"/>
    <w:rsid w:val="007B4A00"/>
    <w:rsid w:val="007B55DC"/>
    <w:rsid w:val="007B741B"/>
    <w:rsid w:val="007C0045"/>
    <w:rsid w:val="007C08E9"/>
    <w:rsid w:val="007C139D"/>
    <w:rsid w:val="007C1433"/>
    <w:rsid w:val="007C165C"/>
    <w:rsid w:val="007C196E"/>
    <w:rsid w:val="007C2C9D"/>
    <w:rsid w:val="007C302F"/>
    <w:rsid w:val="007C3D72"/>
    <w:rsid w:val="007C4610"/>
    <w:rsid w:val="007C5C1F"/>
    <w:rsid w:val="007C76F3"/>
    <w:rsid w:val="007D1483"/>
    <w:rsid w:val="007D23C8"/>
    <w:rsid w:val="007D2ACE"/>
    <w:rsid w:val="007D405F"/>
    <w:rsid w:val="007D460B"/>
    <w:rsid w:val="007D57AF"/>
    <w:rsid w:val="007D6E84"/>
    <w:rsid w:val="007D7812"/>
    <w:rsid w:val="007E0993"/>
    <w:rsid w:val="007E1DC0"/>
    <w:rsid w:val="007E4215"/>
    <w:rsid w:val="007E4969"/>
    <w:rsid w:val="007E4CA2"/>
    <w:rsid w:val="007F29C8"/>
    <w:rsid w:val="007F5C7E"/>
    <w:rsid w:val="007F6ECA"/>
    <w:rsid w:val="007F77C0"/>
    <w:rsid w:val="008022B0"/>
    <w:rsid w:val="00802329"/>
    <w:rsid w:val="00802E2B"/>
    <w:rsid w:val="008031EC"/>
    <w:rsid w:val="008041E9"/>
    <w:rsid w:val="0080537C"/>
    <w:rsid w:val="00805E68"/>
    <w:rsid w:val="00807527"/>
    <w:rsid w:val="00811F9E"/>
    <w:rsid w:val="0081296D"/>
    <w:rsid w:val="008137E0"/>
    <w:rsid w:val="00813A91"/>
    <w:rsid w:val="00813D58"/>
    <w:rsid w:val="00814F1A"/>
    <w:rsid w:val="00817239"/>
    <w:rsid w:val="00817E88"/>
    <w:rsid w:val="008205E0"/>
    <w:rsid w:val="00820C24"/>
    <w:rsid w:val="008242DC"/>
    <w:rsid w:val="00824B7E"/>
    <w:rsid w:val="008255B9"/>
    <w:rsid w:val="00825E93"/>
    <w:rsid w:val="00826A07"/>
    <w:rsid w:val="00827F5B"/>
    <w:rsid w:val="00831BEF"/>
    <w:rsid w:val="00832224"/>
    <w:rsid w:val="00833685"/>
    <w:rsid w:val="008348A7"/>
    <w:rsid w:val="008368A0"/>
    <w:rsid w:val="0084050F"/>
    <w:rsid w:val="00840AB2"/>
    <w:rsid w:val="008417A5"/>
    <w:rsid w:val="00843563"/>
    <w:rsid w:val="00845390"/>
    <w:rsid w:val="00845511"/>
    <w:rsid w:val="00846C2C"/>
    <w:rsid w:val="0085129C"/>
    <w:rsid w:val="008514BB"/>
    <w:rsid w:val="00852675"/>
    <w:rsid w:val="00852853"/>
    <w:rsid w:val="00853659"/>
    <w:rsid w:val="00860B3B"/>
    <w:rsid w:val="00860E07"/>
    <w:rsid w:val="00861135"/>
    <w:rsid w:val="008613AD"/>
    <w:rsid w:val="00862AC9"/>
    <w:rsid w:val="00862E2B"/>
    <w:rsid w:val="00865FEB"/>
    <w:rsid w:val="00873715"/>
    <w:rsid w:val="00874C18"/>
    <w:rsid w:val="0088016F"/>
    <w:rsid w:val="00880277"/>
    <w:rsid w:val="0088062D"/>
    <w:rsid w:val="008821CE"/>
    <w:rsid w:val="00882419"/>
    <w:rsid w:val="00882F88"/>
    <w:rsid w:val="0088391A"/>
    <w:rsid w:val="0088546D"/>
    <w:rsid w:val="00886FAE"/>
    <w:rsid w:val="00887570"/>
    <w:rsid w:val="008915B0"/>
    <w:rsid w:val="00891A77"/>
    <w:rsid w:val="008920E5"/>
    <w:rsid w:val="00892D2C"/>
    <w:rsid w:val="0089319D"/>
    <w:rsid w:val="00893531"/>
    <w:rsid w:val="008961A9"/>
    <w:rsid w:val="00897720"/>
    <w:rsid w:val="008978AE"/>
    <w:rsid w:val="00897ACD"/>
    <w:rsid w:val="008A1CC1"/>
    <w:rsid w:val="008A558F"/>
    <w:rsid w:val="008A64F6"/>
    <w:rsid w:val="008A6C2A"/>
    <w:rsid w:val="008A739E"/>
    <w:rsid w:val="008A79B2"/>
    <w:rsid w:val="008B064A"/>
    <w:rsid w:val="008B12BD"/>
    <w:rsid w:val="008B14D5"/>
    <w:rsid w:val="008B4ECD"/>
    <w:rsid w:val="008B53FD"/>
    <w:rsid w:val="008B6347"/>
    <w:rsid w:val="008B685F"/>
    <w:rsid w:val="008B7563"/>
    <w:rsid w:val="008C008E"/>
    <w:rsid w:val="008C2834"/>
    <w:rsid w:val="008C2DE1"/>
    <w:rsid w:val="008C3296"/>
    <w:rsid w:val="008C3A07"/>
    <w:rsid w:val="008C41AF"/>
    <w:rsid w:val="008C47C2"/>
    <w:rsid w:val="008C5902"/>
    <w:rsid w:val="008C5988"/>
    <w:rsid w:val="008C6F0F"/>
    <w:rsid w:val="008C7DE5"/>
    <w:rsid w:val="008D0C02"/>
    <w:rsid w:val="008D2413"/>
    <w:rsid w:val="008D2E07"/>
    <w:rsid w:val="008D3FC4"/>
    <w:rsid w:val="008D4892"/>
    <w:rsid w:val="008D499A"/>
    <w:rsid w:val="008D4A08"/>
    <w:rsid w:val="008D5A64"/>
    <w:rsid w:val="008D745F"/>
    <w:rsid w:val="008E1B2E"/>
    <w:rsid w:val="008E306A"/>
    <w:rsid w:val="008E3C1A"/>
    <w:rsid w:val="008E4017"/>
    <w:rsid w:val="008E6453"/>
    <w:rsid w:val="008E6DFB"/>
    <w:rsid w:val="008F0797"/>
    <w:rsid w:val="008F587E"/>
    <w:rsid w:val="008F63FC"/>
    <w:rsid w:val="008F64D6"/>
    <w:rsid w:val="008F78B6"/>
    <w:rsid w:val="00900351"/>
    <w:rsid w:val="0090312E"/>
    <w:rsid w:val="009032AA"/>
    <w:rsid w:val="00904FDD"/>
    <w:rsid w:val="009069C0"/>
    <w:rsid w:val="00907438"/>
    <w:rsid w:val="0090766C"/>
    <w:rsid w:val="009104A6"/>
    <w:rsid w:val="00910FB9"/>
    <w:rsid w:val="0091102F"/>
    <w:rsid w:val="00914055"/>
    <w:rsid w:val="00914916"/>
    <w:rsid w:val="00915C2A"/>
    <w:rsid w:val="009162EE"/>
    <w:rsid w:val="00916580"/>
    <w:rsid w:val="00917370"/>
    <w:rsid w:val="00917978"/>
    <w:rsid w:val="00917B30"/>
    <w:rsid w:val="00921556"/>
    <w:rsid w:val="0092181D"/>
    <w:rsid w:val="009226FF"/>
    <w:rsid w:val="009256D8"/>
    <w:rsid w:val="00926E98"/>
    <w:rsid w:val="0093049E"/>
    <w:rsid w:val="0093169F"/>
    <w:rsid w:val="0093245B"/>
    <w:rsid w:val="00932798"/>
    <w:rsid w:val="00932D24"/>
    <w:rsid w:val="00941D78"/>
    <w:rsid w:val="00942853"/>
    <w:rsid w:val="009438E2"/>
    <w:rsid w:val="00945B02"/>
    <w:rsid w:val="009471C8"/>
    <w:rsid w:val="00951E05"/>
    <w:rsid w:val="00955B59"/>
    <w:rsid w:val="00955E59"/>
    <w:rsid w:val="00956364"/>
    <w:rsid w:val="00956792"/>
    <w:rsid w:val="00960AEF"/>
    <w:rsid w:val="00962287"/>
    <w:rsid w:val="009631BA"/>
    <w:rsid w:val="00964404"/>
    <w:rsid w:val="0096607E"/>
    <w:rsid w:val="00966A87"/>
    <w:rsid w:val="00967FBE"/>
    <w:rsid w:val="009703A7"/>
    <w:rsid w:val="0097053B"/>
    <w:rsid w:val="009716E8"/>
    <w:rsid w:val="00974BFD"/>
    <w:rsid w:val="00974D37"/>
    <w:rsid w:val="00975617"/>
    <w:rsid w:val="009764A4"/>
    <w:rsid w:val="009770C4"/>
    <w:rsid w:val="0098151F"/>
    <w:rsid w:val="009822F0"/>
    <w:rsid w:val="00982966"/>
    <w:rsid w:val="009864CF"/>
    <w:rsid w:val="009868D4"/>
    <w:rsid w:val="00986F61"/>
    <w:rsid w:val="00991EB4"/>
    <w:rsid w:val="00992975"/>
    <w:rsid w:val="00992BAF"/>
    <w:rsid w:val="00993871"/>
    <w:rsid w:val="009938CB"/>
    <w:rsid w:val="009942F0"/>
    <w:rsid w:val="00994CAD"/>
    <w:rsid w:val="0099509B"/>
    <w:rsid w:val="00995A71"/>
    <w:rsid w:val="00996B4D"/>
    <w:rsid w:val="00996D0D"/>
    <w:rsid w:val="0099752F"/>
    <w:rsid w:val="009A30BF"/>
    <w:rsid w:val="009A3F9F"/>
    <w:rsid w:val="009A5E9C"/>
    <w:rsid w:val="009A66CA"/>
    <w:rsid w:val="009A73C9"/>
    <w:rsid w:val="009A74DD"/>
    <w:rsid w:val="009A7525"/>
    <w:rsid w:val="009B06BC"/>
    <w:rsid w:val="009B1F47"/>
    <w:rsid w:val="009B327E"/>
    <w:rsid w:val="009B339A"/>
    <w:rsid w:val="009B4683"/>
    <w:rsid w:val="009B5378"/>
    <w:rsid w:val="009B56E8"/>
    <w:rsid w:val="009B5973"/>
    <w:rsid w:val="009C0224"/>
    <w:rsid w:val="009C39BD"/>
    <w:rsid w:val="009C45B1"/>
    <w:rsid w:val="009C4844"/>
    <w:rsid w:val="009C754F"/>
    <w:rsid w:val="009C773C"/>
    <w:rsid w:val="009D223D"/>
    <w:rsid w:val="009D3A2D"/>
    <w:rsid w:val="009D7095"/>
    <w:rsid w:val="009E4229"/>
    <w:rsid w:val="009E4A6F"/>
    <w:rsid w:val="009E599E"/>
    <w:rsid w:val="009E5BB5"/>
    <w:rsid w:val="009E6740"/>
    <w:rsid w:val="009F3C62"/>
    <w:rsid w:val="009F60DA"/>
    <w:rsid w:val="009F6627"/>
    <w:rsid w:val="009F67A3"/>
    <w:rsid w:val="009F7461"/>
    <w:rsid w:val="009F7737"/>
    <w:rsid w:val="00A0440E"/>
    <w:rsid w:val="00A068BD"/>
    <w:rsid w:val="00A079C5"/>
    <w:rsid w:val="00A10DF5"/>
    <w:rsid w:val="00A14AF3"/>
    <w:rsid w:val="00A14F25"/>
    <w:rsid w:val="00A1604E"/>
    <w:rsid w:val="00A2099A"/>
    <w:rsid w:val="00A21F26"/>
    <w:rsid w:val="00A23F0B"/>
    <w:rsid w:val="00A26A5C"/>
    <w:rsid w:val="00A27620"/>
    <w:rsid w:val="00A312B0"/>
    <w:rsid w:val="00A334C4"/>
    <w:rsid w:val="00A34A1C"/>
    <w:rsid w:val="00A356A9"/>
    <w:rsid w:val="00A35822"/>
    <w:rsid w:val="00A368D7"/>
    <w:rsid w:val="00A3740A"/>
    <w:rsid w:val="00A40786"/>
    <w:rsid w:val="00A40795"/>
    <w:rsid w:val="00A410EA"/>
    <w:rsid w:val="00A42EF0"/>
    <w:rsid w:val="00A44584"/>
    <w:rsid w:val="00A44AA1"/>
    <w:rsid w:val="00A47B85"/>
    <w:rsid w:val="00A5126E"/>
    <w:rsid w:val="00A51B00"/>
    <w:rsid w:val="00A5361A"/>
    <w:rsid w:val="00A538D5"/>
    <w:rsid w:val="00A53A4C"/>
    <w:rsid w:val="00A572BD"/>
    <w:rsid w:val="00A57B0B"/>
    <w:rsid w:val="00A62310"/>
    <w:rsid w:val="00A62B81"/>
    <w:rsid w:val="00A64028"/>
    <w:rsid w:val="00A67076"/>
    <w:rsid w:val="00A67152"/>
    <w:rsid w:val="00A67E2B"/>
    <w:rsid w:val="00A70C49"/>
    <w:rsid w:val="00A71D21"/>
    <w:rsid w:val="00A74B0D"/>
    <w:rsid w:val="00A74F07"/>
    <w:rsid w:val="00A76084"/>
    <w:rsid w:val="00A764D4"/>
    <w:rsid w:val="00A76533"/>
    <w:rsid w:val="00A800B7"/>
    <w:rsid w:val="00A801A5"/>
    <w:rsid w:val="00A806A9"/>
    <w:rsid w:val="00A81C21"/>
    <w:rsid w:val="00A83F45"/>
    <w:rsid w:val="00A845AA"/>
    <w:rsid w:val="00A869D6"/>
    <w:rsid w:val="00A86ECE"/>
    <w:rsid w:val="00A90B18"/>
    <w:rsid w:val="00A92142"/>
    <w:rsid w:val="00A92238"/>
    <w:rsid w:val="00A92883"/>
    <w:rsid w:val="00A93090"/>
    <w:rsid w:val="00A933B4"/>
    <w:rsid w:val="00A93F57"/>
    <w:rsid w:val="00A9541B"/>
    <w:rsid w:val="00A96972"/>
    <w:rsid w:val="00A972A5"/>
    <w:rsid w:val="00A979CB"/>
    <w:rsid w:val="00AA203D"/>
    <w:rsid w:val="00AA4545"/>
    <w:rsid w:val="00AA4B35"/>
    <w:rsid w:val="00AA4C3B"/>
    <w:rsid w:val="00AA5080"/>
    <w:rsid w:val="00AA5473"/>
    <w:rsid w:val="00AA5D3D"/>
    <w:rsid w:val="00AB1164"/>
    <w:rsid w:val="00AB5225"/>
    <w:rsid w:val="00AB621A"/>
    <w:rsid w:val="00AC14AF"/>
    <w:rsid w:val="00AC1CF2"/>
    <w:rsid w:val="00AC25B2"/>
    <w:rsid w:val="00AC282F"/>
    <w:rsid w:val="00AC3825"/>
    <w:rsid w:val="00AC46E7"/>
    <w:rsid w:val="00AC7D32"/>
    <w:rsid w:val="00AD0017"/>
    <w:rsid w:val="00AD0343"/>
    <w:rsid w:val="00AD15B0"/>
    <w:rsid w:val="00AD28A2"/>
    <w:rsid w:val="00AD44DC"/>
    <w:rsid w:val="00AD5A5C"/>
    <w:rsid w:val="00AE0EF8"/>
    <w:rsid w:val="00AE43C4"/>
    <w:rsid w:val="00AE4454"/>
    <w:rsid w:val="00AE4D65"/>
    <w:rsid w:val="00AE5041"/>
    <w:rsid w:val="00AE754C"/>
    <w:rsid w:val="00AF0141"/>
    <w:rsid w:val="00AF6181"/>
    <w:rsid w:val="00AF78BA"/>
    <w:rsid w:val="00AF7B5E"/>
    <w:rsid w:val="00B00935"/>
    <w:rsid w:val="00B012BD"/>
    <w:rsid w:val="00B014E7"/>
    <w:rsid w:val="00B02A7E"/>
    <w:rsid w:val="00B0794C"/>
    <w:rsid w:val="00B115CA"/>
    <w:rsid w:val="00B13996"/>
    <w:rsid w:val="00B15A97"/>
    <w:rsid w:val="00B15B55"/>
    <w:rsid w:val="00B15C5A"/>
    <w:rsid w:val="00B216C6"/>
    <w:rsid w:val="00B218D2"/>
    <w:rsid w:val="00B21BCE"/>
    <w:rsid w:val="00B221AB"/>
    <w:rsid w:val="00B226B1"/>
    <w:rsid w:val="00B22735"/>
    <w:rsid w:val="00B22BB2"/>
    <w:rsid w:val="00B233A7"/>
    <w:rsid w:val="00B26607"/>
    <w:rsid w:val="00B275E6"/>
    <w:rsid w:val="00B27D90"/>
    <w:rsid w:val="00B31CB9"/>
    <w:rsid w:val="00B34A5F"/>
    <w:rsid w:val="00B36AA3"/>
    <w:rsid w:val="00B36BAC"/>
    <w:rsid w:val="00B37CD6"/>
    <w:rsid w:val="00B420B0"/>
    <w:rsid w:val="00B42258"/>
    <w:rsid w:val="00B42450"/>
    <w:rsid w:val="00B45413"/>
    <w:rsid w:val="00B46449"/>
    <w:rsid w:val="00B46900"/>
    <w:rsid w:val="00B471AE"/>
    <w:rsid w:val="00B47A89"/>
    <w:rsid w:val="00B47B5C"/>
    <w:rsid w:val="00B47F99"/>
    <w:rsid w:val="00B50B02"/>
    <w:rsid w:val="00B52FFC"/>
    <w:rsid w:val="00B53341"/>
    <w:rsid w:val="00B53D89"/>
    <w:rsid w:val="00B551D4"/>
    <w:rsid w:val="00B575F0"/>
    <w:rsid w:val="00B61172"/>
    <w:rsid w:val="00B61262"/>
    <w:rsid w:val="00B618A0"/>
    <w:rsid w:val="00B629EE"/>
    <w:rsid w:val="00B63F55"/>
    <w:rsid w:val="00B6426D"/>
    <w:rsid w:val="00B65534"/>
    <w:rsid w:val="00B661D4"/>
    <w:rsid w:val="00B70D74"/>
    <w:rsid w:val="00B716F8"/>
    <w:rsid w:val="00B7326F"/>
    <w:rsid w:val="00B73A03"/>
    <w:rsid w:val="00B758E6"/>
    <w:rsid w:val="00B75F93"/>
    <w:rsid w:val="00B762A9"/>
    <w:rsid w:val="00B76AC4"/>
    <w:rsid w:val="00B77BB6"/>
    <w:rsid w:val="00B80B41"/>
    <w:rsid w:val="00B8333A"/>
    <w:rsid w:val="00B83403"/>
    <w:rsid w:val="00B8443F"/>
    <w:rsid w:val="00B86ECD"/>
    <w:rsid w:val="00B90723"/>
    <w:rsid w:val="00B924B9"/>
    <w:rsid w:val="00B92795"/>
    <w:rsid w:val="00B93D7E"/>
    <w:rsid w:val="00B959D2"/>
    <w:rsid w:val="00B96203"/>
    <w:rsid w:val="00BA0710"/>
    <w:rsid w:val="00BA20DF"/>
    <w:rsid w:val="00BA27AD"/>
    <w:rsid w:val="00BA2A64"/>
    <w:rsid w:val="00BA3DEF"/>
    <w:rsid w:val="00BA598D"/>
    <w:rsid w:val="00BA5A47"/>
    <w:rsid w:val="00BB0963"/>
    <w:rsid w:val="00BB1678"/>
    <w:rsid w:val="00BB3745"/>
    <w:rsid w:val="00BB572E"/>
    <w:rsid w:val="00BB7E13"/>
    <w:rsid w:val="00BC0943"/>
    <w:rsid w:val="00BC23A2"/>
    <w:rsid w:val="00BC4CC0"/>
    <w:rsid w:val="00BC51EA"/>
    <w:rsid w:val="00BC5F46"/>
    <w:rsid w:val="00BC61E8"/>
    <w:rsid w:val="00BC62F1"/>
    <w:rsid w:val="00BC65C5"/>
    <w:rsid w:val="00BC6F2C"/>
    <w:rsid w:val="00BD3615"/>
    <w:rsid w:val="00BD5E01"/>
    <w:rsid w:val="00BE0C22"/>
    <w:rsid w:val="00BE1802"/>
    <w:rsid w:val="00BE2379"/>
    <w:rsid w:val="00BE28ED"/>
    <w:rsid w:val="00BE3417"/>
    <w:rsid w:val="00BE3967"/>
    <w:rsid w:val="00BE4EF1"/>
    <w:rsid w:val="00BE5541"/>
    <w:rsid w:val="00BF0168"/>
    <w:rsid w:val="00BF2A3D"/>
    <w:rsid w:val="00BF39FE"/>
    <w:rsid w:val="00BF3DF7"/>
    <w:rsid w:val="00BF4C07"/>
    <w:rsid w:val="00BF6DCB"/>
    <w:rsid w:val="00BF6E8D"/>
    <w:rsid w:val="00BF7233"/>
    <w:rsid w:val="00BF79D5"/>
    <w:rsid w:val="00C00EE7"/>
    <w:rsid w:val="00C0230C"/>
    <w:rsid w:val="00C02977"/>
    <w:rsid w:val="00C0330A"/>
    <w:rsid w:val="00C04F00"/>
    <w:rsid w:val="00C10611"/>
    <w:rsid w:val="00C11D0C"/>
    <w:rsid w:val="00C11DB1"/>
    <w:rsid w:val="00C1232C"/>
    <w:rsid w:val="00C12F2F"/>
    <w:rsid w:val="00C16988"/>
    <w:rsid w:val="00C17281"/>
    <w:rsid w:val="00C23D8A"/>
    <w:rsid w:val="00C23E80"/>
    <w:rsid w:val="00C251FE"/>
    <w:rsid w:val="00C2628C"/>
    <w:rsid w:val="00C2755A"/>
    <w:rsid w:val="00C30134"/>
    <w:rsid w:val="00C30F2B"/>
    <w:rsid w:val="00C315B1"/>
    <w:rsid w:val="00C3302E"/>
    <w:rsid w:val="00C33EC6"/>
    <w:rsid w:val="00C343EE"/>
    <w:rsid w:val="00C345F2"/>
    <w:rsid w:val="00C35288"/>
    <w:rsid w:val="00C359BF"/>
    <w:rsid w:val="00C40DA5"/>
    <w:rsid w:val="00C4109D"/>
    <w:rsid w:val="00C439A8"/>
    <w:rsid w:val="00C446C2"/>
    <w:rsid w:val="00C45961"/>
    <w:rsid w:val="00C469CD"/>
    <w:rsid w:val="00C46B5A"/>
    <w:rsid w:val="00C475AC"/>
    <w:rsid w:val="00C51556"/>
    <w:rsid w:val="00C5245A"/>
    <w:rsid w:val="00C528A8"/>
    <w:rsid w:val="00C53170"/>
    <w:rsid w:val="00C536AF"/>
    <w:rsid w:val="00C54739"/>
    <w:rsid w:val="00C549B2"/>
    <w:rsid w:val="00C54C6E"/>
    <w:rsid w:val="00C5696E"/>
    <w:rsid w:val="00C578FA"/>
    <w:rsid w:val="00C613C2"/>
    <w:rsid w:val="00C61777"/>
    <w:rsid w:val="00C62CE9"/>
    <w:rsid w:val="00C62FE6"/>
    <w:rsid w:val="00C6328C"/>
    <w:rsid w:val="00C63C78"/>
    <w:rsid w:val="00C63CB0"/>
    <w:rsid w:val="00C645F4"/>
    <w:rsid w:val="00C65169"/>
    <w:rsid w:val="00C67517"/>
    <w:rsid w:val="00C67694"/>
    <w:rsid w:val="00C67AF0"/>
    <w:rsid w:val="00C70195"/>
    <w:rsid w:val="00C71E43"/>
    <w:rsid w:val="00C745C5"/>
    <w:rsid w:val="00C74E21"/>
    <w:rsid w:val="00C75910"/>
    <w:rsid w:val="00C7696B"/>
    <w:rsid w:val="00C77DF9"/>
    <w:rsid w:val="00C814BA"/>
    <w:rsid w:val="00C81682"/>
    <w:rsid w:val="00C81B0F"/>
    <w:rsid w:val="00C8238D"/>
    <w:rsid w:val="00C829F6"/>
    <w:rsid w:val="00C84BEE"/>
    <w:rsid w:val="00C84D95"/>
    <w:rsid w:val="00C86F99"/>
    <w:rsid w:val="00C87E5A"/>
    <w:rsid w:val="00C91A48"/>
    <w:rsid w:val="00C9280F"/>
    <w:rsid w:val="00C93184"/>
    <w:rsid w:val="00C94A69"/>
    <w:rsid w:val="00C9576D"/>
    <w:rsid w:val="00C957B6"/>
    <w:rsid w:val="00C95C73"/>
    <w:rsid w:val="00C95EB0"/>
    <w:rsid w:val="00CA1B7C"/>
    <w:rsid w:val="00CA3F26"/>
    <w:rsid w:val="00CA5EA0"/>
    <w:rsid w:val="00CA6433"/>
    <w:rsid w:val="00CA752A"/>
    <w:rsid w:val="00CA7A3F"/>
    <w:rsid w:val="00CB003D"/>
    <w:rsid w:val="00CB0E79"/>
    <w:rsid w:val="00CB110F"/>
    <w:rsid w:val="00CB1BDE"/>
    <w:rsid w:val="00CB4393"/>
    <w:rsid w:val="00CB566F"/>
    <w:rsid w:val="00CB5F45"/>
    <w:rsid w:val="00CB68B5"/>
    <w:rsid w:val="00CC191F"/>
    <w:rsid w:val="00CC1E37"/>
    <w:rsid w:val="00CC231E"/>
    <w:rsid w:val="00CC37C0"/>
    <w:rsid w:val="00CC44EE"/>
    <w:rsid w:val="00CC479D"/>
    <w:rsid w:val="00CC4990"/>
    <w:rsid w:val="00CC4EB2"/>
    <w:rsid w:val="00CC60E8"/>
    <w:rsid w:val="00CC6AA0"/>
    <w:rsid w:val="00CC72C5"/>
    <w:rsid w:val="00CD13E8"/>
    <w:rsid w:val="00CD2906"/>
    <w:rsid w:val="00CD4243"/>
    <w:rsid w:val="00CE004D"/>
    <w:rsid w:val="00CE198C"/>
    <w:rsid w:val="00CE20E6"/>
    <w:rsid w:val="00CE7123"/>
    <w:rsid w:val="00CE7C1A"/>
    <w:rsid w:val="00CF2D70"/>
    <w:rsid w:val="00CF3B1D"/>
    <w:rsid w:val="00CF5178"/>
    <w:rsid w:val="00CF565F"/>
    <w:rsid w:val="00CF6927"/>
    <w:rsid w:val="00CF7E10"/>
    <w:rsid w:val="00D0186B"/>
    <w:rsid w:val="00D045AB"/>
    <w:rsid w:val="00D05CC8"/>
    <w:rsid w:val="00D06806"/>
    <w:rsid w:val="00D102D4"/>
    <w:rsid w:val="00D10C94"/>
    <w:rsid w:val="00D1130C"/>
    <w:rsid w:val="00D11C1D"/>
    <w:rsid w:val="00D13355"/>
    <w:rsid w:val="00D153C1"/>
    <w:rsid w:val="00D1657F"/>
    <w:rsid w:val="00D173A3"/>
    <w:rsid w:val="00D17CB4"/>
    <w:rsid w:val="00D203F6"/>
    <w:rsid w:val="00D20FE9"/>
    <w:rsid w:val="00D21663"/>
    <w:rsid w:val="00D2243A"/>
    <w:rsid w:val="00D24163"/>
    <w:rsid w:val="00D25618"/>
    <w:rsid w:val="00D25B6D"/>
    <w:rsid w:val="00D270CB"/>
    <w:rsid w:val="00D2732B"/>
    <w:rsid w:val="00D305EC"/>
    <w:rsid w:val="00D30A10"/>
    <w:rsid w:val="00D32A90"/>
    <w:rsid w:val="00D32D49"/>
    <w:rsid w:val="00D333A4"/>
    <w:rsid w:val="00D3360B"/>
    <w:rsid w:val="00D358A0"/>
    <w:rsid w:val="00D366FB"/>
    <w:rsid w:val="00D422AA"/>
    <w:rsid w:val="00D441F1"/>
    <w:rsid w:val="00D47B57"/>
    <w:rsid w:val="00D52529"/>
    <w:rsid w:val="00D539C8"/>
    <w:rsid w:val="00D53B50"/>
    <w:rsid w:val="00D54A93"/>
    <w:rsid w:val="00D55FE2"/>
    <w:rsid w:val="00D62DC7"/>
    <w:rsid w:val="00D6347E"/>
    <w:rsid w:val="00D64BEC"/>
    <w:rsid w:val="00D66DC1"/>
    <w:rsid w:val="00D66F25"/>
    <w:rsid w:val="00D679C2"/>
    <w:rsid w:val="00D67A16"/>
    <w:rsid w:val="00D71866"/>
    <w:rsid w:val="00D774C7"/>
    <w:rsid w:val="00D82C72"/>
    <w:rsid w:val="00D835D3"/>
    <w:rsid w:val="00D83A2E"/>
    <w:rsid w:val="00D84079"/>
    <w:rsid w:val="00D8453D"/>
    <w:rsid w:val="00D84D5F"/>
    <w:rsid w:val="00D854A2"/>
    <w:rsid w:val="00D85DC3"/>
    <w:rsid w:val="00D86957"/>
    <w:rsid w:val="00D86A93"/>
    <w:rsid w:val="00D87F54"/>
    <w:rsid w:val="00D90937"/>
    <w:rsid w:val="00D90A72"/>
    <w:rsid w:val="00D94248"/>
    <w:rsid w:val="00D94FEB"/>
    <w:rsid w:val="00D962ED"/>
    <w:rsid w:val="00D96B28"/>
    <w:rsid w:val="00D97D9C"/>
    <w:rsid w:val="00DA0D97"/>
    <w:rsid w:val="00DA2F07"/>
    <w:rsid w:val="00DA43B5"/>
    <w:rsid w:val="00DA4AC8"/>
    <w:rsid w:val="00DA5DC0"/>
    <w:rsid w:val="00DA788C"/>
    <w:rsid w:val="00DB025C"/>
    <w:rsid w:val="00DB2595"/>
    <w:rsid w:val="00DB2A0E"/>
    <w:rsid w:val="00DB4A79"/>
    <w:rsid w:val="00DB65C0"/>
    <w:rsid w:val="00DB74B1"/>
    <w:rsid w:val="00DC144A"/>
    <w:rsid w:val="00DC181C"/>
    <w:rsid w:val="00DC2D0C"/>
    <w:rsid w:val="00DC44D3"/>
    <w:rsid w:val="00DC4A83"/>
    <w:rsid w:val="00DD0C8B"/>
    <w:rsid w:val="00DD33A0"/>
    <w:rsid w:val="00DD38E0"/>
    <w:rsid w:val="00DD4A1D"/>
    <w:rsid w:val="00DD6272"/>
    <w:rsid w:val="00DD790D"/>
    <w:rsid w:val="00DE0220"/>
    <w:rsid w:val="00DE2806"/>
    <w:rsid w:val="00DE2D8D"/>
    <w:rsid w:val="00DE3359"/>
    <w:rsid w:val="00DE485F"/>
    <w:rsid w:val="00DE6364"/>
    <w:rsid w:val="00DE7D7D"/>
    <w:rsid w:val="00DF39D2"/>
    <w:rsid w:val="00DF3E27"/>
    <w:rsid w:val="00DF44F3"/>
    <w:rsid w:val="00DF53AF"/>
    <w:rsid w:val="00DF759D"/>
    <w:rsid w:val="00DF7BAE"/>
    <w:rsid w:val="00E01802"/>
    <w:rsid w:val="00E0313A"/>
    <w:rsid w:val="00E03639"/>
    <w:rsid w:val="00E05BA4"/>
    <w:rsid w:val="00E05EE8"/>
    <w:rsid w:val="00E05EFE"/>
    <w:rsid w:val="00E06ACE"/>
    <w:rsid w:val="00E06DA8"/>
    <w:rsid w:val="00E075DA"/>
    <w:rsid w:val="00E0766E"/>
    <w:rsid w:val="00E07EB2"/>
    <w:rsid w:val="00E10395"/>
    <w:rsid w:val="00E12D3B"/>
    <w:rsid w:val="00E13BD4"/>
    <w:rsid w:val="00E13C13"/>
    <w:rsid w:val="00E14283"/>
    <w:rsid w:val="00E15A39"/>
    <w:rsid w:val="00E17EE4"/>
    <w:rsid w:val="00E22C58"/>
    <w:rsid w:val="00E23EBF"/>
    <w:rsid w:val="00E25115"/>
    <w:rsid w:val="00E25F5E"/>
    <w:rsid w:val="00E2648E"/>
    <w:rsid w:val="00E26F87"/>
    <w:rsid w:val="00E3015C"/>
    <w:rsid w:val="00E302AF"/>
    <w:rsid w:val="00E3127B"/>
    <w:rsid w:val="00E3454D"/>
    <w:rsid w:val="00E34719"/>
    <w:rsid w:val="00E35AF1"/>
    <w:rsid w:val="00E36870"/>
    <w:rsid w:val="00E372AE"/>
    <w:rsid w:val="00E42AB8"/>
    <w:rsid w:val="00E42AE6"/>
    <w:rsid w:val="00E43872"/>
    <w:rsid w:val="00E43FD1"/>
    <w:rsid w:val="00E451F3"/>
    <w:rsid w:val="00E46065"/>
    <w:rsid w:val="00E46551"/>
    <w:rsid w:val="00E50005"/>
    <w:rsid w:val="00E5009F"/>
    <w:rsid w:val="00E50AC9"/>
    <w:rsid w:val="00E52BCA"/>
    <w:rsid w:val="00E54D53"/>
    <w:rsid w:val="00E554E8"/>
    <w:rsid w:val="00E61894"/>
    <w:rsid w:val="00E6275B"/>
    <w:rsid w:val="00E630EB"/>
    <w:rsid w:val="00E63140"/>
    <w:rsid w:val="00E633DC"/>
    <w:rsid w:val="00E63958"/>
    <w:rsid w:val="00E65CD8"/>
    <w:rsid w:val="00E66603"/>
    <w:rsid w:val="00E674B2"/>
    <w:rsid w:val="00E70838"/>
    <w:rsid w:val="00E711EA"/>
    <w:rsid w:val="00E7297B"/>
    <w:rsid w:val="00E729EB"/>
    <w:rsid w:val="00E735A9"/>
    <w:rsid w:val="00E73ACF"/>
    <w:rsid w:val="00E73D3C"/>
    <w:rsid w:val="00E80640"/>
    <w:rsid w:val="00E8157E"/>
    <w:rsid w:val="00E81736"/>
    <w:rsid w:val="00E8176E"/>
    <w:rsid w:val="00E81AA7"/>
    <w:rsid w:val="00E82F1F"/>
    <w:rsid w:val="00E84D69"/>
    <w:rsid w:val="00E85C7C"/>
    <w:rsid w:val="00E85DC7"/>
    <w:rsid w:val="00E86488"/>
    <w:rsid w:val="00E86683"/>
    <w:rsid w:val="00E90C02"/>
    <w:rsid w:val="00E912B1"/>
    <w:rsid w:val="00E92022"/>
    <w:rsid w:val="00E9219E"/>
    <w:rsid w:val="00E979F7"/>
    <w:rsid w:val="00EA3000"/>
    <w:rsid w:val="00EA3936"/>
    <w:rsid w:val="00EA5CD1"/>
    <w:rsid w:val="00EA6D1B"/>
    <w:rsid w:val="00EA7CD0"/>
    <w:rsid w:val="00EB0A04"/>
    <w:rsid w:val="00EB2020"/>
    <w:rsid w:val="00EB2478"/>
    <w:rsid w:val="00EB2E09"/>
    <w:rsid w:val="00EB53D8"/>
    <w:rsid w:val="00EB62A9"/>
    <w:rsid w:val="00EC02BE"/>
    <w:rsid w:val="00EC35DE"/>
    <w:rsid w:val="00EC3601"/>
    <w:rsid w:val="00EC3A0F"/>
    <w:rsid w:val="00EC409F"/>
    <w:rsid w:val="00EC6766"/>
    <w:rsid w:val="00EC7AE3"/>
    <w:rsid w:val="00EC7E08"/>
    <w:rsid w:val="00ED1CFE"/>
    <w:rsid w:val="00ED2563"/>
    <w:rsid w:val="00ED4D41"/>
    <w:rsid w:val="00ED5FC2"/>
    <w:rsid w:val="00ED6B4A"/>
    <w:rsid w:val="00EE0822"/>
    <w:rsid w:val="00EE2D3E"/>
    <w:rsid w:val="00EE5590"/>
    <w:rsid w:val="00EE68FC"/>
    <w:rsid w:val="00EE7A5E"/>
    <w:rsid w:val="00EF11CE"/>
    <w:rsid w:val="00EF13FE"/>
    <w:rsid w:val="00EF4F51"/>
    <w:rsid w:val="00EF6960"/>
    <w:rsid w:val="00EF7D4C"/>
    <w:rsid w:val="00F062AC"/>
    <w:rsid w:val="00F068A0"/>
    <w:rsid w:val="00F0745D"/>
    <w:rsid w:val="00F0782A"/>
    <w:rsid w:val="00F10C63"/>
    <w:rsid w:val="00F121CB"/>
    <w:rsid w:val="00F17101"/>
    <w:rsid w:val="00F175F6"/>
    <w:rsid w:val="00F17AC1"/>
    <w:rsid w:val="00F2026D"/>
    <w:rsid w:val="00F20A25"/>
    <w:rsid w:val="00F20D6E"/>
    <w:rsid w:val="00F23521"/>
    <w:rsid w:val="00F2386A"/>
    <w:rsid w:val="00F24F6A"/>
    <w:rsid w:val="00F25E05"/>
    <w:rsid w:val="00F26DD4"/>
    <w:rsid w:val="00F314CA"/>
    <w:rsid w:val="00F32A62"/>
    <w:rsid w:val="00F34039"/>
    <w:rsid w:val="00F342A7"/>
    <w:rsid w:val="00F35350"/>
    <w:rsid w:val="00F35E37"/>
    <w:rsid w:val="00F4022D"/>
    <w:rsid w:val="00F40A22"/>
    <w:rsid w:val="00F435DD"/>
    <w:rsid w:val="00F43806"/>
    <w:rsid w:val="00F44A54"/>
    <w:rsid w:val="00F46DC9"/>
    <w:rsid w:val="00F471F8"/>
    <w:rsid w:val="00F47574"/>
    <w:rsid w:val="00F50615"/>
    <w:rsid w:val="00F54AF7"/>
    <w:rsid w:val="00F5558D"/>
    <w:rsid w:val="00F5645F"/>
    <w:rsid w:val="00F61323"/>
    <w:rsid w:val="00F61F2B"/>
    <w:rsid w:val="00F632F0"/>
    <w:rsid w:val="00F639CF"/>
    <w:rsid w:val="00F650C6"/>
    <w:rsid w:val="00F65D2B"/>
    <w:rsid w:val="00F670C5"/>
    <w:rsid w:val="00F675A5"/>
    <w:rsid w:val="00F67D94"/>
    <w:rsid w:val="00F7266E"/>
    <w:rsid w:val="00F74487"/>
    <w:rsid w:val="00F775F5"/>
    <w:rsid w:val="00F81B41"/>
    <w:rsid w:val="00F857A6"/>
    <w:rsid w:val="00F86924"/>
    <w:rsid w:val="00F877BC"/>
    <w:rsid w:val="00F87873"/>
    <w:rsid w:val="00F90FD1"/>
    <w:rsid w:val="00F92E0D"/>
    <w:rsid w:val="00F951A8"/>
    <w:rsid w:val="00F97276"/>
    <w:rsid w:val="00F973B8"/>
    <w:rsid w:val="00F978C4"/>
    <w:rsid w:val="00F97D34"/>
    <w:rsid w:val="00FA1AFF"/>
    <w:rsid w:val="00FA33EA"/>
    <w:rsid w:val="00FA41E0"/>
    <w:rsid w:val="00FA4E6A"/>
    <w:rsid w:val="00FA7041"/>
    <w:rsid w:val="00FA7190"/>
    <w:rsid w:val="00FB1F32"/>
    <w:rsid w:val="00FB2681"/>
    <w:rsid w:val="00FB38C1"/>
    <w:rsid w:val="00FB4EEC"/>
    <w:rsid w:val="00FB56E3"/>
    <w:rsid w:val="00FB580A"/>
    <w:rsid w:val="00FB7526"/>
    <w:rsid w:val="00FC2BFC"/>
    <w:rsid w:val="00FC2FEF"/>
    <w:rsid w:val="00FC43F2"/>
    <w:rsid w:val="00FC4E0A"/>
    <w:rsid w:val="00FC65CF"/>
    <w:rsid w:val="00FD0107"/>
    <w:rsid w:val="00FD0552"/>
    <w:rsid w:val="00FD121E"/>
    <w:rsid w:val="00FD16B2"/>
    <w:rsid w:val="00FD25AA"/>
    <w:rsid w:val="00FD5B9A"/>
    <w:rsid w:val="00FD5BAB"/>
    <w:rsid w:val="00FD6264"/>
    <w:rsid w:val="00FD6621"/>
    <w:rsid w:val="00FE2EBF"/>
    <w:rsid w:val="00FE2FFD"/>
    <w:rsid w:val="00FE4CEE"/>
    <w:rsid w:val="00FE65CB"/>
    <w:rsid w:val="00FF1535"/>
    <w:rsid w:val="00FF1921"/>
    <w:rsid w:val="00FF5CDC"/>
    <w:rsid w:val="00FF67A6"/>
    <w:rsid w:val="00FF77B0"/>
    <w:rsid w:val="00FF77BF"/>
    <w:rsid w:val="00FF7E78"/>
    <w:rsid w:val="01144C97"/>
    <w:rsid w:val="012923F4"/>
    <w:rsid w:val="01565EAD"/>
    <w:rsid w:val="017D2FE6"/>
    <w:rsid w:val="018207C5"/>
    <w:rsid w:val="018358E1"/>
    <w:rsid w:val="018C2557"/>
    <w:rsid w:val="018E48F0"/>
    <w:rsid w:val="01923283"/>
    <w:rsid w:val="019A3B52"/>
    <w:rsid w:val="019B3F2B"/>
    <w:rsid w:val="01AA4A61"/>
    <w:rsid w:val="01CC435D"/>
    <w:rsid w:val="01D55D76"/>
    <w:rsid w:val="01DE03EE"/>
    <w:rsid w:val="01EA722A"/>
    <w:rsid w:val="01F36FCC"/>
    <w:rsid w:val="0218075F"/>
    <w:rsid w:val="021A3C01"/>
    <w:rsid w:val="02245145"/>
    <w:rsid w:val="023C7FD4"/>
    <w:rsid w:val="025A3DEF"/>
    <w:rsid w:val="025E04C0"/>
    <w:rsid w:val="027E7E7B"/>
    <w:rsid w:val="027F37B0"/>
    <w:rsid w:val="028436C2"/>
    <w:rsid w:val="029F404A"/>
    <w:rsid w:val="02B306CC"/>
    <w:rsid w:val="02B52B3C"/>
    <w:rsid w:val="02D57D43"/>
    <w:rsid w:val="02E75438"/>
    <w:rsid w:val="02E77952"/>
    <w:rsid w:val="02EF3DA2"/>
    <w:rsid w:val="030B2844"/>
    <w:rsid w:val="03156571"/>
    <w:rsid w:val="03195AE4"/>
    <w:rsid w:val="03420CF5"/>
    <w:rsid w:val="034845A6"/>
    <w:rsid w:val="0348523C"/>
    <w:rsid w:val="0353569A"/>
    <w:rsid w:val="035E1A03"/>
    <w:rsid w:val="03665F86"/>
    <w:rsid w:val="036B3C7F"/>
    <w:rsid w:val="03975ED0"/>
    <w:rsid w:val="03B07E34"/>
    <w:rsid w:val="03CF5817"/>
    <w:rsid w:val="03DA7196"/>
    <w:rsid w:val="03E27853"/>
    <w:rsid w:val="03F92894"/>
    <w:rsid w:val="0403200E"/>
    <w:rsid w:val="040C48E4"/>
    <w:rsid w:val="04264F72"/>
    <w:rsid w:val="042E2662"/>
    <w:rsid w:val="04460984"/>
    <w:rsid w:val="044E4986"/>
    <w:rsid w:val="04512980"/>
    <w:rsid w:val="0466453E"/>
    <w:rsid w:val="047A1549"/>
    <w:rsid w:val="048B2931"/>
    <w:rsid w:val="049A5E25"/>
    <w:rsid w:val="04A27DCF"/>
    <w:rsid w:val="04AC1477"/>
    <w:rsid w:val="04AD3745"/>
    <w:rsid w:val="04B0756A"/>
    <w:rsid w:val="04B37075"/>
    <w:rsid w:val="04B862AB"/>
    <w:rsid w:val="04B86BAD"/>
    <w:rsid w:val="04C85AB6"/>
    <w:rsid w:val="04D4725B"/>
    <w:rsid w:val="04D556EE"/>
    <w:rsid w:val="04F65252"/>
    <w:rsid w:val="050B0B9E"/>
    <w:rsid w:val="050F7B09"/>
    <w:rsid w:val="05192E56"/>
    <w:rsid w:val="051C73A1"/>
    <w:rsid w:val="052467E4"/>
    <w:rsid w:val="053E0E14"/>
    <w:rsid w:val="054C0C9F"/>
    <w:rsid w:val="05595E26"/>
    <w:rsid w:val="055E4766"/>
    <w:rsid w:val="05751654"/>
    <w:rsid w:val="05755E57"/>
    <w:rsid w:val="057D60AF"/>
    <w:rsid w:val="058D40EB"/>
    <w:rsid w:val="0591718E"/>
    <w:rsid w:val="05936802"/>
    <w:rsid w:val="05964B2B"/>
    <w:rsid w:val="05BA0E64"/>
    <w:rsid w:val="05BB6989"/>
    <w:rsid w:val="05CC0260"/>
    <w:rsid w:val="05CC2C17"/>
    <w:rsid w:val="05D1187B"/>
    <w:rsid w:val="05DA08B3"/>
    <w:rsid w:val="05DE6F29"/>
    <w:rsid w:val="05E6685B"/>
    <w:rsid w:val="05F742F0"/>
    <w:rsid w:val="05FF3F3F"/>
    <w:rsid w:val="060D2E24"/>
    <w:rsid w:val="06124315"/>
    <w:rsid w:val="06153BFC"/>
    <w:rsid w:val="06154322"/>
    <w:rsid w:val="062C7E4D"/>
    <w:rsid w:val="0674641F"/>
    <w:rsid w:val="067F410E"/>
    <w:rsid w:val="06862B05"/>
    <w:rsid w:val="06B33FE8"/>
    <w:rsid w:val="06B5519A"/>
    <w:rsid w:val="06B6038C"/>
    <w:rsid w:val="06C23411"/>
    <w:rsid w:val="06C83809"/>
    <w:rsid w:val="06EA0F05"/>
    <w:rsid w:val="06F06D80"/>
    <w:rsid w:val="0713726C"/>
    <w:rsid w:val="07290225"/>
    <w:rsid w:val="073318BD"/>
    <w:rsid w:val="07380D4E"/>
    <w:rsid w:val="073A7498"/>
    <w:rsid w:val="073C2A71"/>
    <w:rsid w:val="073F3784"/>
    <w:rsid w:val="07400105"/>
    <w:rsid w:val="07414A8C"/>
    <w:rsid w:val="07453C99"/>
    <w:rsid w:val="0746567C"/>
    <w:rsid w:val="074A69F7"/>
    <w:rsid w:val="075E4B38"/>
    <w:rsid w:val="076037D1"/>
    <w:rsid w:val="07622DBC"/>
    <w:rsid w:val="076856A5"/>
    <w:rsid w:val="078526AD"/>
    <w:rsid w:val="079A3796"/>
    <w:rsid w:val="079D7E24"/>
    <w:rsid w:val="07A01468"/>
    <w:rsid w:val="07A82607"/>
    <w:rsid w:val="07F651B5"/>
    <w:rsid w:val="081034FB"/>
    <w:rsid w:val="08380483"/>
    <w:rsid w:val="08620D2D"/>
    <w:rsid w:val="08994665"/>
    <w:rsid w:val="08A37057"/>
    <w:rsid w:val="08A532C4"/>
    <w:rsid w:val="08AC6127"/>
    <w:rsid w:val="08B57FDF"/>
    <w:rsid w:val="08CC227D"/>
    <w:rsid w:val="08CC4A1B"/>
    <w:rsid w:val="08E6713A"/>
    <w:rsid w:val="08EA184D"/>
    <w:rsid w:val="08EA4E50"/>
    <w:rsid w:val="08EB6C4F"/>
    <w:rsid w:val="08FF5D87"/>
    <w:rsid w:val="09167E06"/>
    <w:rsid w:val="0922701E"/>
    <w:rsid w:val="09881FFC"/>
    <w:rsid w:val="09945607"/>
    <w:rsid w:val="09AD353A"/>
    <w:rsid w:val="09B24A3E"/>
    <w:rsid w:val="09B2616E"/>
    <w:rsid w:val="09D34473"/>
    <w:rsid w:val="09E516E3"/>
    <w:rsid w:val="09EE5230"/>
    <w:rsid w:val="0A11032E"/>
    <w:rsid w:val="0A125400"/>
    <w:rsid w:val="0A20316A"/>
    <w:rsid w:val="0A232D8A"/>
    <w:rsid w:val="0A343089"/>
    <w:rsid w:val="0A375166"/>
    <w:rsid w:val="0A466107"/>
    <w:rsid w:val="0A567F31"/>
    <w:rsid w:val="0A675CEA"/>
    <w:rsid w:val="0A6A5F16"/>
    <w:rsid w:val="0A7F3BE1"/>
    <w:rsid w:val="0AA82C42"/>
    <w:rsid w:val="0AC36ECD"/>
    <w:rsid w:val="0AEB54FE"/>
    <w:rsid w:val="0B074DA0"/>
    <w:rsid w:val="0B080E10"/>
    <w:rsid w:val="0B0C0DB7"/>
    <w:rsid w:val="0B0F06D0"/>
    <w:rsid w:val="0B0F0EBD"/>
    <w:rsid w:val="0B175D4A"/>
    <w:rsid w:val="0B1A3996"/>
    <w:rsid w:val="0B2A7B63"/>
    <w:rsid w:val="0B31791A"/>
    <w:rsid w:val="0B343278"/>
    <w:rsid w:val="0B431BBC"/>
    <w:rsid w:val="0B487BFD"/>
    <w:rsid w:val="0B5B75CC"/>
    <w:rsid w:val="0B696551"/>
    <w:rsid w:val="0B6E2EC2"/>
    <w:rsid w:val="0B750357"/>
    <w:rsid w:val="0B7F22C5"/>
    <w:rsid w:val="0B8F0B82"/>
    <w:rsid w:val="0B9A4692"/>
    <w:rsid w:val="0B9E091F"/>
    <w:rsid w:val="0BAA44B5"/>
    <w:rsid w:val="0BAB446E"/>
    <w:rsid w:val="0BDA5B4D"/>
    <w:rsid w:val="0BE741D0"/>
    <w:rsid w:val="0BF23C06"/>
    <w:rsid w:val="0C2865C2"/>
    <w:rsid w:val="0C297944"/>
    <w:rsid w:val="0C2D757F"/>
    <w:rsid w:val="0C6B3CBC"/>
    <w:rsid w:val="0C7144AB"/>
    <w:rsid w:val="0C715667"/>
    <w:rsid w:val="0C783118"/>
    <w:rsid w:val="0C8D73AE"/>
    <w:rsid w:val="0C8D7523"/>
    <w:rsid w:val="0C937D2A"/>
    <w:rsid w:val="0C9744FE"/>
    <w:rsid w:val="0CAA38D7"/>
    <w:rsid w:val="0CAC27FF"/>
    <w:rsid w:val="0CC227C4"/>
    <w:rsid w:val="0CD02730"/>
    <w:rsid w:val="0CD21CC2"/>
    <w:rsid w:val="0CDA4A8F"/>
    <w:rsid w:val="0CDB5C0B"/>
    <w:rsid w:val="0CE57C3F"/>
    <w:rsid w:val="0CF17083"/>
    <w:rsid w:val="0CFE1202"/>
    <w:rsid w:val="0CFF627B"/>
    <w:rsid w:val="0D0256F0"/>
    <w:rsid w:val="0D2F5790"/>
    <w:rsid w:val="0D366907"/>
    <w:rsid w:val="0D3F4664"/>
    <w:rsid w:val="0D4A0DEA"/>
    <w:rsid w:val="0D4C7B69"/>
    <w:rsid w:val="0D5247D6"/>
    <w:rsid w:val="0D572F2A"/>
    <w:rsid w:val="0D71036D"/>
    <w:rsid w:val="0D8256A8"/>
    <w:rsid w:val="0D833E19"/>
    <w:rsid w:val="0D9F331E"/>
    <w:rsid w:val="0D9F5D46"/>
    <w:rsid w:val="0DA37836"/>
    <w:rsid w:val="0DA868B0"/>
    <w:rsid w:val="0DC75B79"/>
    <w:rsid w:val="0DCA4EDF"/>
    <w:rsid w:val="0DD56AC6"/>
    <w:rsid w:val="0DEF567D"/>
    <w:rsid w:val="0DF30547"/>
    <w:rsid w:val="0E1578A4"/>
    <w:rsid w:val="0E200997"/>
    <w:rsid w:val="0E214837"/>
    <w:rsid w:val="0E6B438E"/>
    <w:rsid w:val="0E7122AF"/>
    <w:rsid w:val="0E77074F"/>
    <w:rsid w:val="0EA55AF2"/>
    <w:rsid w:val="0EB136AD"/>
    <w:rsid w:val="0EC330BB"/>
    <w:rsid w:val="0ED56144"/>
    <w:rsid w:val="0EE01FD7"/>
    <w:rsid w:val="0EE23A30"/>
    <w:rsid w:val="0EEC54CF"/>
    <w:rsid w:val="0EF80ABD"/>
    <w:rsid w:val="0F0B47BD"/>
    <w:rsid w:val="0F270F20"/>
    <w:rsid w:val="0F285AB4"/>
    <w:rsid w:val="0F2D17CC"/>
    <w:rsid w:val="0F382869"/>
    <w:rsid w:val="0F48798D"/>
    <w:rsid w:val="0F4E0AD0"/>
    <w:rsid w:val="0F501717"/>
    <w:rsid w:val="0F522086"/>
    <w:rsid w:val="0F525FB7"/>
    <w:rsid w:val="0F5472DE"/>
    <w:rsid w:val="0F613425"/>
    <w:rsid w:val="0F635282"/>
    <w:rsid w:val="0F6A0E9A"/>
    <w:rsid w:val="0F6B5442"/>
    <w:rsid w:val="0F9C1E1A"/>
    <w:rsid w:val="0FA230A8"/>
    <w:rsid w:val="0FAB5491"/>
    <w:rsid w:val="0FC227C2"/>
    <w:rsid w:val="0FE50226"/>
    <w:rsid w:val="0FE83AAB"/>
    <w:rsid w:val="0FED0213"/>
    <w:rsid w:val="0FEE7599"/>
    <w:rsid w:val="0FF52D01"/>
    <w:rsid w:val="10010B73"/>
    <w:rsid w:val="10054D77"/>
    <w:rsid w:val="10083F3E"/>
    <w:rsid w:val="100A5D7E"/>
    <w:rsid w:val="1037024A"/>
    <w:rsid w:val="10440657"/>
    <w:rsid w:val="104B5698"/>
    <w:rsid w:val="106F09BF"/>
    <w:rsid w:val="10812C36"/>
    <w:rsid w:val="10831F34"/>
    <w:rsid w:val="108405DA"/>
    <w:rsid w:val="1099291F"/>
    <w:rsid w:val="10BF584E"/>
    <w:rsid w:val="10D73F5D"/>
    <w:rsid w:val="10DC0A22"/>
    <w:rsid w:val="10EA1D17"/>
    <w:rsid w:val="10FB6483"/>
    <w:rsid w:val="11025200"/>
    <w:rsid w:val="11141740"/>
    <w:rsid w:val="111A4082"/>
    <w:rsid w:val="111E2E5E"/>
    <w:rsid w:val="113F1DF0"/>
    <w:rsid w:val="11420F2E"/>
    <w:rsid w:val="11571778"/>
    <w:rsid w:val="1159349F"/>
    <w:rsid w:val="115E48E5"/>
    <w:rsid w:val="115F211D"/>
    <w:rsid w:val="1162723F"/>
    <w:rsid w:val="117A7779"/>
    <w:rsid w:val="119B7DD7"/>
    <w:rsid w:val="11A46C06"/>
    <w:rsid w:val="11AA7D7A"/>
    <w:rsid w:val="11AB239A"/>
    <w:rsid w:val="11AE73FC"/>
    <w:rsid w:val="11B221D1"/>
    <w:rsid w:val="11BF2DC6"/>
    <w:rsid w:val="11C83CE9"/>
    <w:rsid w:val="11CF7A56"/>
    <w:rsid w:val="11D22709"/>
    <w:rsid w:val="11D233D5"/>
    <w:rsid w:val="11E46E2F"/>
    <w:rsid w:val="12073604"/>
    <w:rsid w:val="120C1582"/>
    <w:rsid w:val="1230601B"/>
    <w:rsid w:val="12323B41"/>
    <w:rsid w:val="12477E45"/>
    <w:rsid w:val="124D79DC"/>
    <w:rsid w:val="124E5618"/>
    <w:rsid w:val="1262148C"/>
    <w:rsid w:val="126A45CA"/>
    <w:rsid w:val="1272664D"/>
    <w:rsid w:val="12767BC9"/>
    <w:rsid w:val="12876E01"/>
    <w:rsid w:val="129345A4"/>
    <w:rsid w:val="12974B1E"/>
    <w:rsid w:val="12A30A79"/>
    <w:rsid w:val="12BD7B77"/>
    <w:rsid w:val="12D20067"/>
    <w:rsid w:val="12DE23E5"/>
    <w:rsid w:val="12E3173E"/>
    <w:rsid w:val="12ED1069"/>
    <w:rsid w:val="130321D7"/>
    <w:rsid w:val="130610C1"/>
    <w:rsid w:val="130F2E07"/>
    <w:rsid w:val="131521AF"/>
    <w:rsid w:val="131752B8"/>
    <w:rsid w:val="13213657"/>
    <w:rsid w:val="1335111F"/>
    <w:rsid w:val="13525009"/>
    <w:rsid w:val="135A2C58"/>
    <w:rsid w:val="135D7DD3"/>
    <w:rsid w:val="135F1060"/>
    <w:rsid w:val="136E64BD"/>
    <w:rsid w:val="137030B1"/>
    <w:rsid w:val="137A2890"/>
    <w:rsid w:val="137E5EFF"/>
    <w:rsid w:val="13851BB0"/>
    <w:rsid w:val="13A07D5B"/>
    <w:rsid w:val="13A3757B"/>
    <w:rsid w:val="13AC1403"/>
    <w:rsid w:val="13AD52A3"/>
    <w:rsid w:val="13B80076"/>
    <w:rsid w:val="13C9396E"/>
    <w:rsid w:val="13C95C89"/>
    <w:rsid w:val="13D1527E"/>
    <w:rsid w:val="13E07D1E"/>
    <w:rsid w:val="13F6294C"/>
    <w:rsid w:val="13FB2338"/>
    <w:rsid w:val="14021A65"/>
    <w:rsid w:val="140569A4"/>
    <w:rsid w:val="140A6F26"/>
    <w:rsid w:val="1417471F"/>
    <w:rsid w:val="14207BC2"/>
    <w:rsid w:val="142147E2"/>
    <w:rsid w:val="142F1C1F"/>
    <w:rsid w:val="143E58E9"/>
    <w:rsid w:val="145B05B2"/>
    <w:rsid w:val="1463025A"/>
    <w:rsid w:val="146E424F"/>
    <w:rsid w:val="148B53AB"/>
    <w:rsid w:val="14A9470D"/>
    <w:rsid w:val="14C34AAA"/>
    <w:rsid w:val="14CB26E6"/>
    <w:rsid w:val="14D85525"/>
    <w:rsid w:val="14FA3F2A"/>
    <w:rsid w:val="15093050"/>
    <w:rsid w:val="151C47A6"/>
    <w:rsid w:val="15250DB9"/>
    <w:rsid w:val="15345B4B"/>
    <w:rsid w:val="1537321C"/>
    <w:rsid w:val="1546430D"/>
    <w:rsid w:val="15482A3B"/>
    <w:rsid w:val="154B29DC"/>
    <w:rsid w:val="1552637F"/>
    <w:rsid w:val="1556369A"/>
    <w:rsid w:val="15634DF1"/>
    <w:rsid w:val="156D617C"/>
    <w:rsid w:val="156E0D26"/>
    <w:rsid w:val="15853553"/>
    <w:rsid w:val="15873642"/>
    <w:rsid w:val="15877D00"/>
    <w:rsid w:val="158B3EB5"/>
    <w:rsid w:val="158B5EC8"/>
    <w:rsid w:val="158C615D"/>
    <w:rsid w:val="159A3457"/>
    <w:rsid w:val="159C41BD"/>
    <w:rsid w:val="15AD398C"/>
    <w:rsid w:val="15BA2BE1"/>
    <w:rsid w:val="15C714C2"/>
    <w:rsid w:val="15C93C5F"/>
    <w:rsid w:val="15F734E6"/>
    <w:rsid w:val="15FD236A"/>
    <w:rsid w:val="16084FF0"/>
    <w:rsid w:val="161276CC"/>
    <w:rsid w:val="16222FDC"/>
    <w:rsid w:val="162543E1"/>
    <w:rsid w:val="164E7894"/>
    <w:rsid w:val="1654289E"/>
    <w:rsid w:val="1659168E"/>
    <w:rsid w:val="165B3E62"/>
    <w:rsid w:val="166529CA"/>
    <w:rsid w:val="1665349E"/>
    <w:rsid w:val="16900E7E"/>
    <w:rsid w:val="16A070E1"/>
    <w:rsid w:val="16AD19E8"/>
    <w:rsid w:val="16B72839"/>
    <w:rsid w:val="17046FFC"/>
    <w:rsid w:val="17075C31"/>
    <w:rsid w:val="170D06D3"/>
    <w:rsid w:val="17160153"/>
    <w:rsid w:val="171C0A16"/>
    <w:rsid w:val="172E5D32"/>
    <w:rsid w:val="172F5E72"/>
    <w:rsid w:val="175032C2"/>
    <w:rsid w:val="17725C08"/>
    <w:rsid w:val="17791642"/>
    <w:rsid w:val="1796247C"/>
    <w:rsid w:val="17A16898"/>
    <w:rsid w:val="17A2749A"/>
    <w:rsid w:val="17A6031B"/>
    <w:rsid w:val="17C94CA0"/>
    <w:rsid w:val="17D1787A"/>
    <w:rsid w:val="17E56F60"/>
    <w:rsid w:val="17EA2FA8"/>
    <w:rsid w:val="17FF7156"/>
    <w:rsid w:val="18014330"/>
    <w:rsid w:val="18030C03"/>
    <w:rsid w:val="18071CB3"/>
    <w:rsid w:val="18131086"/>
    <w:rsid w:val="182455B3"/>
    <w:rsid w:val="18281EDB"/>
    <w:rsid w:val="183D6FDE"/>
    <w:rsid w:val="18522150"/>
    <w:rsid w:val="187B4376"/>
    <w:rsid w:val="188755EE"/>
    <w:rsid w:val="18897E78"/>
    <w:rsid w:val="18B55715"/>
    <w:rsid w:val="18BC23B6"/>
    <w:rsid w:val="18D23085"/>
    <w:rsid w:val="18D36FB2"/>
    <w:rsid w:val="18F024AA"/>
    <w:rsid w:val="18F46084"/>
    <w:rsid w:val="18FC03F4"/>
    <w:rsid w:val="190300BB"/>
    <w:rsid w:val="190D3B48"/>
    <w:rsid w:val="19103658"/>
    <w:rsid w:val="191A480A"/>
    <w:rsid w:val="191B5FB9"/>
    <w:rsid w:val="192207B1"/>
    <w:rsid w:val="19283909"/>
    <w:rsid w:val="193277E2"/>
    <w:rsid w:val="193F26E5"/>
    <w:rsid w:val="19402AB4"/>
    <w:rsid w:val="19575C3B"/>
    <w:rsid w:val="195F7653"/>
    <w:rsid w:val="19752E9E"/>
    <w:rsid w:val="197E1393"/>
    <w:rsid w:val="19882F7C"/>
    <w:rsid w:val="19945193"/>
    <w:rsid w:val="199B21A3"/>
    <w:rsid w:val="19C135AA"/>
    <w:rsid w:val="19C621AF"/>
    <w:rsid w:val="19C818AF"/>
    <w:rsid w:val="19D454DE"/>
    <w:rsid w:val="19DD19D1"/>
    <w:rsid w:val="19E35721"/>
    <w:rsid w:val="19E576EB"/>
    <w:rsid w:val="19F3565C"/>
    <w:rsid w:val="19FD6479"/>
    <w:rsid w:val="1A045BD5"/>
    <w:rsid w:val="1A5B3B72"/>
    <w:rsid w:val="1A6D00E7"/>
    <w:rsid w:val="1A78516B"/>
    <w:rsid w:val="1A825480"/>
    <w:rsid w:val="1AA47422"/>
    <w:rsid w:val="1AA80FAD"/>
    <w:rsid w:val="1ABE48AD"/>
    <w:rsid w:val="1ACE572B"/>
    <w:rsid w:val="1AF6559F"/>
    <w:rsid w:val="1B03607B"/>
    <w:rsid w:val="1B121246"/>
    <w:rsid w:val="1B3A75C2"/>
    <w:rsid w:val="1B4319AC"/>
    <w:rsid w:val="1B635F8A"/>
    <w:rsid w:val="1B702904"/>
    <w:rsid w:val="1BA05D54"/>
    <w:rsid w:val="1BCD0CAE"/>
    <w:rsid w:val="1BD702ED"/>
    <w:rsid w:val="1BF24B0D"/>
    <w:rsid w:val="1C0400CE"/>
    <w:rsid w:val="1C094227"/>
    <w:rsid w:val="1C0F47EB"/>
    <w:rsid w:val="1C27091F"/>
    <w:rsid w:val="1C294636"/>
    <w:rsid w:val="1C3252DF"/>
    <w:rsid w:val="1C355E4A"/>
    <w:rsid w:val="1C4619FB"/>
    <w:rsid w:val="1C6137DC"/>
    <w:rsid w:val="1C672ACC"/>
    <w:rsid w:val="1C6B2F46"/>
    <w:rsid w:val="1C6C7C4F"/>
    <w:rsid w:val="1C7431E5"/>
    <w:rsid w:val="1C7F6227"/>
    <w:rsid w:val="1C862EB2"/>
    <w:rsid w:val="1C87251E"/>
    <w:rsid w:val="1C9C6D7D"/>
    <w:rsid w:val="1CA53588"/>
    <w:rsid w:val="1CBD670B"/>
    <w:rsid w:val="1CC7509C"/>
    <w:rsid w:val="1CCA2607"/>
    <w:rsid w:val="1CCB5EE5"/>
    <w:rsid w:val="1CDA3553"/>
    <w:rsid w:val="1CFA792B"/>
    <w:rsid w:val="1D052D8F"/>
    <w:rsid w:val="1D0F4A92"/>
    <w:rsid w:val="1D101DAF"/>
    <w:rsid w:val="1D10354F"/>
    <w:rsid w:val="1D127F51"/>
    <w:rsid w:val="1D2B2C74"/>
    <w:rsid w:val="1D336F48"/>
    <w:rsid w:val="1D3377CD"/>
    <w:rsid w:val="1D385523"/>
    <w:rsid w:val="1D5C328E"/>
    <w:rsid w:val="1D872FD5"/>
    <w:rsid w:val="1DA412B6"/>
    <w:rsid w:val="1DAB5031"/>
    <w:rsid w:val="1DF95513"/>
    <w:rsid w:val="1E0740D4"/>
    <w:rsid w:val="1E1B2B12"/>
    <w:rsid w:val="1E1C3382"/>
    <w:rsid w:val="1E1E740B"/>
    <w:rsid w:val="1E226597"/>
    <w:rsid w:val="1E2D340E"/>
    <w:rsid w:val="1E7A3E05"/>
    <w:rsid w:val="1E913FC3"/>
    <w:rsid w:val="1EE60AC3"/>
    <w:rsid w:val="1EF6096B"/>
    <w:rsid w:val="1EFA1543"/>
    <w:rsid w:val="1EFA5C03"/>
    <w:rsid w:val="1EFF098E"/>
    <w:rsid w:val="1F097B4A"/>
    <w:rsid w:val="1F187873"/>
    <w:rsid w:val="1F3E3458"/>
    <w:rsid w:val="1F426505"/>
    <w:rsid w:val="1F4F7B53"/>
    <w:rsid w:val="1F6431E4"/>
    <w:rsid w:val="1F7C4B4B"/>
    <w:rsid w:val="1F8331C1"/>
    <w:rsid w:val="1F894A32"/>
    <w:rsid w:val="1F896D6A"/>
    <w:rsid w:val="1FAA5441"/>
    <w:rsid w:val="1FAE149F"/>
    <w:rsid w:val="1FB71BE3"/>
    <w:rsid w:val="1FB931AC"/>
    <w:rsid w:val="1FBD02CA"/>
    <w:rsid w:val="1FBD44B0"/>
    <w:rsid w:val="1FC6774D"/>
    <w:rsid w:val="1FED3DBA"/>
    <w:rsid w:val="1FEF3527"/>
    <w:rsid w:val="1FFF2932"/>
    <w:rsid w:val="2010515D"/>
    <w:rsid w:val="20120B0E"/>
    <w:rsid w:val="201926AC"/>
    <w:rsid w:val="20196EDC"/>
    <w:rsid w:val="204C68B1"/>
    <w:rsid w:val="20632B55"/>
    <w:rsid w:val="20664E95"/>
    <w:rsid w:val="207A3F54"/>
    <w:rsid w:val="20860324"/>
    <w:rsid w:val="20901F59"/>
    <w:rsid w:val="20902A59"/>
    <w:rsid w:val="20950F81"/>
    <w:rsid w:val="209B6913"/>
    <w:rsid w:val="209F147F"/>
    <w:rsid w:val="20BF00E5"/>
    <w:rsid w:val="20C652AA"/>
    <w:rsid w:val="20D169EE"/>
    <w:rsid w:val="20D25AE3"/>
    <w:rsid w:val="20D57D40"/>
    <w:rsid w:val="20DE0DBC"/>
    <w:rsid w:val="20FC3174"/>
    <w:rsid w:val="211A1599"/>
    <w:rsid w:val="211F2C6E"/>
    <w:rsid w:val="21524077"/>
    <w:rsid w:val="21683A2A"/>
    <w:rsid w:val="2169477D"/>
    <w:rsid w:val="21737CC2"/>
    <w:rsid w:val="21796826"/>
    <w:rsid w:val="21870870"/>
    <w:rsid w:val="218872DA"/>
    <w:rsid w:val="21926AFA"/>
    <w:rsid w:val="21AB75ED"/>
    <w:rsid w:val="21AE1602"/>
    <w:rsid w:val="221870EB"/>
    <w:rsid w:val="221C071D"/>
    <w:rsid w:val="221E0A69"/>
    <w:rsid w:val="22256660"/>
    <w:rsid w:val="2227692D"/>
    <w:rsid w:val="225068B0"/>
    <w:rsid w:val="226440F1"/>
    <w:rsid w:val="22AE19E4"/>
    <w:rsid w:val="22BC4F06"/>
    <w:rsid w:val="22D9459E"/>
    <w:rsid w:val="22DF69D4"/>
    <w:rsid w:val="22EF10CD"/>
    <w:rsid w:val="23066A57"/>
    <w:rsid w:val="23176C0F"/>
    <w:rsid w:val="23480B02"/>
    <w:rsid w:val="23531E01"/>
    <w:rsid w:val="235E6F93"/>
    <w:rsid w:val="236216EC"/>
    <w:rsid w:val="23741036"/>
    <w:rsid w:val="238C45A7"/>
    <w:rsid w:val="23916162"/>
    <w:rsid w:val="23C1725C"/>
    <w:rsid w:val="23CF041C"/>
    <w:rsid w:val="23DC3967"/>
    <w:rsid w:val="23E04CBD"/>
    <w:rsid w:val="23F07D2B"/>
    <w:rsid w:val="23FD5227"/>
    <w:rsid w:val="24044AF6"/>
    <w:rsid w:val="240754D8"/>
    <w:rsid w:val="242332EA"/>
    <w:rsid w:val="24290505"/>
    <w:rsid w:val="24504B2A"/>
    <w:rsid w:val="245D34C2"/>
    <w:rsid w:val="246D4E18"/>
    <w:rsid w:val="247B4ED4"/>
    <w:rsid w:val="247C15D5"/>
    <w:rsid w:val="24B8397D"/>
    <w:rsid w:val="24BA2D27"/>
    <w:rsid w:val="24BE4520"/>
    <w:rsid w:val="24C01D1F"/>
    <w:rsid w:val="24E567F1"/>
    <w:rsid w:val="24E625F3"/>
    <w:rsid w:val="24F0235C"/>
    <w:rsid w:val="250B5B12"/>
    <w:rsid w:val="251D00F3"/>
    <w:rsid w:val="25534B94"/>
    <w:rsid w:val="255A5160"/>
    <w:rsid w:val="255D710C"/>
    <w:rsid w:val="259975F5"/>
    <w:rsid w:val="25A150F1"/>
    <w:rsid w:val="25A377B4"/>
    <w:rsid w:val="25A51E52"/>
    <w:rsid w:val="25AC35E6"/>
    <w:rsid w:val="25B05D4D"/>
    <w:rsid w:val="25B20475"/>
    <w:rsid w:val="25B2188E"/>
    <w:rsid w:val="25C0572C"/>
    <w:rsid w:val="25E12CE7"/>
    <w:rsid w:val="25FF38E2"/>
    <w:rsid w:val="260361A8"/>
    <w:rsid w:val="26066CA3"/>
    <w:rsid w:val="261D53D8"/>
    <w:rsid w:val="2625501D"/>
    <w:rsid w:val="262804FF"/>
    <w:rsid w:val="26393F83"/>
    <w:rsid w:val="26532D0F"/>
    <w:rsid w:val="266F6F09"/>
    <w:rsid w:val="26867353"/>
    <w:rsid w:val="268A3026"/>
    <w:rsid w:val="26AA5946"/>
    <w:rsid w:val="26B63325"/>
    <w:rsid w:val="26BB5B0F"/>
    <w:rsid w:val="26C70AE5"/>
    <w:rsid w:val="26CD39E1"/>
    <w:rsid w:val="26EA6197"/>
    <w:rsid w:val="270611BC"/>
    <w:rsid w:val="271422C7"/>
    <w:rsid w:val="272861C3"/>
    <w:rsid w:val="27637EA1"/>
    <w:rsid w:val="27710EE2"/>
    <w:rsid w:val="277B758F"/>
    <w:rsid w:val="27841B7B"/>
    <w:rsid w:val="278435FF"/>
    <w:rsid w:val="279A4366"/>
    <w:rsid w:val="279E574B"/>
    <w:rsid w:val="279E6547"/>
    <w:rsid w:val="27A95ECA"/>
    <w:rsid w:val="27AB40BF"/>
    <w:rsid w:val="27BD5803"/>
    <w:rsid w:val="27BF6027"/>
    <w:rsid w:val="27C36490"/>
    <w:rsid w:val="27D36DD5"/>
    <w:rsid w:val="27DE792E"/>
    <w:rsid w:val="27E82E02"/>
    <w:rsid w:val="27EA6735"/>
    <w:rsid w:val="27F002E8"/>
    <w:rsid w:val="27F6451E"/>
    <w:rsid w:val="28023A39"/>
    <w:rsid w:val="28195449"/>
    <w:rsid w:val="28250CC6"/>
    <w:rsid w:val="2827240B"/>
    <w:rsid w:val="284167DC"/>
    <w:rsid w:val="284B737C"/>
    <w:rsid w:val="284D70C5"/>
    <w:rsid w:val="285D13E4"/>
    <w:rsid w:val="285E5D2D"/>
    <w:rsid w:val="286F30C4"/>
    <w:rsid w:val="287C65FA"/>
    <w:rsid w:val="288354D4"/>
    <w:rsid w:val="288D4DF2"/>
    <w:rsid w:val="28903AAA"/>
    <w:rsid w:val="28940663"/>
    <w:rsid w:val="289F6F2D"/>
    <w:rsid w:val="28A7070A"/>
    <w:rsid w:val="28A9444C"/>
    <w:rsid w:val="28AB1F62"/>
    <w:rsid w:val="28BE6773"/>
    <w:rsid w:val="28CF074F"/>
    <w:rsid w:val="28DA2347"/>
    <w:rsid w:val="28DB66EE"/>
    <w:rsid w:val="28EE7985"/>
    <w:rsid w:val="28F25F51"/>
    <w:rsid w:val="290141E9"/>
    <w:rsid w:val="2910172E"/>
    <w:rsid w:val="29204DEB"/>
    <w:rsid w:val="292518B2"/>
    <w:rsid w:val="29424212"/>
    <w:rsid w:val="2969642A"/>
    <w:rsid w:val="297B49FB"/>
    <w:rsid w:val="29810AEB"/>
    <w:rsid w:val="298D2A6B"/>
    <w:rsid w:val="299B3B6E"/>
    <w:rsid w:val="299D5C1F"/>
    <w:rsid w:val="29A86B39"/>
    <w:rsid w:val="29AA658B"/>
    <w:rsid w:val="29B30E1A"/>
    <w:rsid w:val="29C757FD"/>
    <w:rsid w:val="29C93FEB"/>
    <w:rsid w:val="29D84B46"/>
    <w:rsid w:val="29DC7B87"/>
    <w:rsid w:val="29E2362B"/>
    <w:rsid w:val="29EC7777"/>
    <w:rsid w:val="29ED5D98"/>
    <w:rsid w:val="29EF2C20"/>
    <w:rsid w:val="29EF38D2"/>
    <w:rsid w:val="29F576DE"/>
    <w:rsid w:val="2A104310"/>
    <w:rsid w:val="2A193E79"/>
    <w:rsid w:val="2A36520C"/>
    <w:rsid w:val="2A375E8B"/>
    <w:rsid w:val="2A3865E1"/>
    <w:rsid w:val="2A4B7C26"/>
    <w:rsid w:val="2A545AA5"/>
    <w:rsid w:val="2A581876"/>
    <w:rsid w:val="2A5A2D0B"/>
    <w:rsid w:val="2A5B38E4"/>
    <w:rsid w:val="2A827ACD"/>
    <w:rsid w:val="2A920D41"/>
    <w:rsid w:val="2AA35F58"/>
    <w:rsid w:val="2AB15B8D"/>
    <w:rsid w:val="2ABB54C9"/>
    <w:rsid w:val="2ACD0453"/>
    <w:rsid w:val="2AF27B44"/>
    <w:rsid w:val="2B07420E"/>
    <w:rsid w:val="2B110935"/>
    <w:rsid w:val="2B194261"/>
    <w:rsid w:val="2B19628B"/>
    <w:rsid w:val="2B2B36AA"/>
    <w:rsid w:val="2B2C3924"/>
    <w:rsid w:val="2B323CA0"/>
    <w:rsid w:val="2B3A1BFB"/>
    <w:rsid w:val="2B3C1135"/>
    <w:rsid w:val="2B4E1B54"/>
    <w:rsid w:val="2B51336E"/>
    <w:rsid w:val="2B5C548B"/>
    <w:rsid w:val="2B776C05"/>
    <w:rsid w:val="2B830215"/>
    <w:rsid w:val="2B9C1402"/>
    <w:rsid w:val="2BA606C1"/>
    <w:rsid w:val="2BCD098B"/>
    <w:rsid w:val="2BD14584"/>
    <w:rsid w:val="2BF11F1F"/>
    <w:rsid w:val="2BF13414"/>
    <w:rsid w:val="2BFC6540"/>
    <w:rsid w:val="2BFF3D66"/>
    <w:rsid w:val="2C030CE2"/>
    <w:rsid w:val="2C137C81"/>
    <w:rsid w:val="2C2D74AD"/>
    <w:rsid w:val="2C3200B3"/>
    <w:rsid w:val="2C3F1FCD"/>
    <w:rsid w:val="2C413716"/>
    <w:rsid w:val="2C512AC5"/>
    <w:rsid w:val="2C647E46"/>
    <w:rsid w:val="2C70681A"/>
    <w:rsid w:val="2C87092F"/>
    <w:rsid w:val="2CC449D3"/>
    <w:rsid w:val="2CDB58D4"/>
    <w:rsid w:val="2CE959AD"/>
    <w:rsid w:val="2CED504B"/>
    <w:rsid w:val="2CF077F9"/>
    <w:rsid w:val="2CF50E81"/>
    <w:rsid w:val="2CFF5E5D"/>
    <w:rsid w:val="2D036885"/>
    <w:rsid w:val="2D1D3C2C"/>
    <w:rsid w:val="2D28128C"/>
    <w:rsid w:val="2D320A41"/>
    <w:rsid w:val="2D3B3633"/>
    <w:rsid w:val="2D4571A1"/>
    <w:rsid w:val="2D4F6FA0"/>
    <w:rsid w:val="2D61379E"/>
    <w:rsid w:val="2D685946"/>
    <w:rsid w:val="2D723114"/>
    <w:rsid w:val="2D793EB2"/>
    <w:rsid w:val="2D897331"/>
    <w:rsid w:val="2D8E289A"/>
    <w:rsid w:val="2DA6030D"/>
    <w:rsid w:val="2DAE7C91"/>
    <w:rsid w:val="2DC47CB2"/>
    <w:rsid w:val="2DCA5A16"/>
    <w:rsid w:val="2DDF0497"/>
    <w:rsid w:val="2DEA5505"/>
    <w:rsid w:val="2DF237CB"/>
    <w:rsid w:val="2DF96A04"/>
    <w:rsid w:val="2E045CF5"/>
    <w:rsid w:val="2E092025"/>
    <w:rsid w:val="2E0936B0"/>
    <w:rsid w:val="2E0E5425"/>
    <w:rsid w:val="2E205789"/>
    <w:rsid w:val="2E2572A9"/>
    <w:rsid w:val="2E2C1E2B"/>
    <w:rsid w:val="2E4F6205"/>
    <w:rsid w:val="2E5408B1"/>
    <w:rsid w:val="2E5C724F"/>
    <w:rsid w:val="2E5E3D60"/>
    <w:rsid w:val="2E677ADB"/>
    <w:rsid w:val="2E6B4A7E"/>
    <w:rsid w:val="2E7631AC"/>
    <w:rsid w:val="2E7B2529"/>
    <w:rsid w:val="2E9C787F"/>
    <w:rsid w:val="2EB411CC"/>
    <w:rsid w:val="2EBA46DE"/>
    <w:rsid w:val="2EC21275"/>
    <w:rsid w:val="2EF96FED"/>
    <w:rsid w:val="2F1F3461"/>
    <w:rsid w:val="2F295D9B"/>
    <w:rsid w:val="2F3826EF"/>
    <w:rsid w:val="2F6637E7"/>
    <w:rsid w:val="2F7F4C16"/>
    <w:rsid w:val="2F8240D1"/>
    <w:rsid w:val="2F84431E"/>
    <w:rsid w:val="2F8715CA"/>
    <w:rsid w:val="2F8C221E"/>
    <w:rsid w:val="2FAE24E9"/>
    <w:rsid w:val="2FBB71C5"/>
    <w:rsid w:val="2FBC14AB"/>
    <w:rsid w:val="2FC80A46"/>
    <w:rsid w:val="2FD57AFF"/>
    <w:rsid w:val="2FDA6567"/>
    <w:rsid w:val="2FE536A4"/>
    <w:rsid w:val="2FF36DFD"/>
    <w:rsid w:val="2FFA14C5"/>
    <w:rsid w:val="2FFA2FD9"/>
    <w:rsid w:val="30073ABF"/>
    <w:rsid w:val="300F0E69"/>
    <w:rsid w:val="30111545"/>
    <w:rsid w:val="30195614"/>
    <w:rsid w:val="301C00A4"/>
    <w:rsid w:val="301C076A"/>
    <w:rsid w:val="301F52AD"/>
    <w:rsid w:val="30203656"/>
    <w:rsid w:val="30562C26"/>
    <w:rsid w:val="3057353A"/>
    <w:rsid w:val="306911B8"/>
    <w:rsid w:val="30C63E43"/>
    <w:rsid w:val="30D34E0D"/>
    <w:rsid w:val="30D875CE"/>
    <w:rsid w:val="30DB2AAE"/>
    <w:rsid w:val="30DD7BF1"/>
    <w:rsid w:val="30ED7F22"/>
    <w:rsid w:val="30EF35B3"/>
    <w:rsid w:val="30F6293C"/>
    <w:rsid w:val="30F71C54"/>
    <w:rsid w:val="31061FC9"/>
    <w:rsid w:val="310D6900"/>
    <w:rsid w:val="31116769"/>
    <w:rsid w:val="31161B30"/>
    <w:rsid w:val="31271437"/>
    <w:rsid w:val="312D25E9"/>
    <w:rsid w:val="3154072C"/>
    <w:rsid w:val="315F6030"/>
    <w:rsid w:val="31630236"/>
    <w:rsid w:val="318E492C"/>
    <w:rsid w:val="319F019F"/>
    <w:rsid w:val="31AF7BB4"/>
    <w:rsid w:val="31C27E42"/>
    <w:rsid w:val="31D66608"/>
    <w:rsid w:val="31E93883"/>
    <w:rsid w:val="31EA22CE"/>
    <w:rsid w:val="31EB2CDD"/>
    <w:rsid w:val="320471B9"/>
    <w:rsid w:val="32131A4F"/>
    <w:rsid w:val="321F2FC9"/>
    <w:rsid w:val="3235753A"/>
    <w:rsid w:val="32370DC9"/>
    <w:rsid w:val="32386C37"/>
    <w:rsid w:val="324062FE"/>
    <w:rsid w:val="32457483"/>
    <w:rsid w:val="32470A1D"/>
    <w:rsid w:val="3247735B"/>
    <w:rsid w:val="324C5F04"/>
    <w:rsid w:val="3266496B"/>
    <w:rsid w:val="32724B98"/>
    <w:rsid w:val="329E4EB3"/>
    <w:rsid w:val="32AE2918"/>
    <w:rsid w:val="32B54268"/>
    <w:rsid w:val="32BB7644"/>
    <w:rsid w:val="32C36D80"/>
    <w:rsid w:val="32C75788"/>
    <w:rsid w:val="32C94F08"/>
    <w:rsid w:val="32E4021C"/>
    <w:rsid w:val="32E43806"/>
    <w:rsid w:val="32EB1526"/>
    <w:rsid w:val="3306706F"/>
    <w:rsid w:val="33184235"/>
    <w:rsid w:val="33253585"/>
    <w:rsid w:val="332F0ABB"/>
    <w:rsid w:val="33393CE8"/>
    <w:rsid w:val="333A117C"/>
    <w:rsid w:val="333B5915"/>
    <w:rsid w:val="333F13F4"/>
    <w:rsid w:val="33485242"/>
    <w:rsid w:val="3357379F"/>
    <w:rsid w:val="33594163"/>
    <w:rsid w:val="335F5BA3"/>
    <w:rsid w:val="337A3149"/>
    <w:rsid w:val="33937B78"/>
    <w:rsid w:val="33A8045F"/>
    <w:rsid w:val="33E36A93"/>
    <w:rsid w:val="33ED6B69"/>
    <w:rsid w:val="33F00D0E"/>
    <w:rsid w:val="3414239B"/>
    <w:rsid w:val="34146DA2"/>
    <w:rsid w:val="342235BE"/>
    <w:rsid w:val="34307EB3"/>
    <w:rsid w:val="343B37F0"/>
    <w:rsid w:val="344235D6"/>
    <w:rsid w:val="346C65E7"/>
    <w:rsid w:val="348036D7"/>
    <w:rsid w:val="348129CF"/>
    <w:rsid w:val="348340FF"/>
    <w:rsid w:val="34A235C5"/>
    <w:rsid w:val="34A64067"/>
    <w:rsid w:val="34A93765"/>
    <w:rsid w:val="34BD369F"/>
    <w:rsid w:val="34C0321A"/>
    <w:rsid w:val="34C04567"/>
    <w:rsid w:val="34C85B4D"/>
    <w:rsid w:val="34D31A46"/>
    <w:rsid w:val="34D67F04"/>
    <w:rsid w:val="34DD26BC"/>
    <w:rsid w:val="34DF2A61"/>
    <w:rsid w:val="34FB09C4"/>
    <w:rsid w:val="350307B5"/>
    <w:rsid w:val="35131531"/>
    <w:rsid w:val="35151A45"/>
    <w:rsid w:val="353A1619"/>
    <w:rsid w:val="353D7CA8"/>
    <w:rsid w:val="354635ED"/>
    <w:rsid w:val="35764EB0"/>
    <w:rsid w:val="358317A7"/>
    <w:rsid w:val="35833246"/>
    <w:rsid w:val="35855B52"/>
    <w:rsid w:val="359E6C74"/>
    <w:rsid w:val="35A0711C"/>
    <w:rsid w:val="35A17CE2"/>
    <w:rsid w:val="35B60853"/>
    <w:rsid w:val="35B936C0"/>
    <w:rsid w:val="35C251F8"/>
    <w:rsid w:val="35C72D73"/>
    <w:rsid w:val="35D2193F"/>
    <w:rsid w:val="35E6550D"/>
    <w:rsid w:val="35EA6160"/>
    <w:rsid w:val="35EB09FB"/>
    <w:rsid w:val="35FC4BA4"/>
    <w:rsid w:val="3629610B"/>
    <w:rsid w:val="367A3428"/>
    <w:rsid w:val="36994677"/>
    <w:rsid w:val="369E0666"/>
    <w:rsid w:val="36AC24E8"/>
    <w:rsid w:val="36AC4910"/>
    <w:rsid w:val="36BE2E57"/>
    <w:rsid w:val="36C105B3"/>
    <w:rsid w:val="36C14DBF"/>
    <w:rsid w:val="36C41C0D"/>
    <w:rsid w:val="36DA319B"/>
    <w:rsid w:val="36F26B65"/>
    <w:rsid w:val="37336181"/>
    <w:rsid w:val="373D5D54"/>
    <w:rsid w:val="37563644"/>
    <w:rsid w:val="375C3158"/>
    <w:rsid w:val="375D202C"/>
    <w:rsid w:val="375D5510"/>
    <w:rsid w:val="377C6A22"/>
    <w:rsid w:val="379A68D8"/>
    <w:rsid w:val="37B14DE1"/>
    <w:rsid w:val="37BE6E27"/>
    <w:rsid w:val="37BF098E"/>
    <w:rsid w:val="37C00E1C"/>
    <w:rsid w:val="37C6512B"/>
    <w:rsid w:val="37CB18EC"/>
    <w:rsid w:val="37D73D98"/>
    <w:rsid w:val="37E3390B"/>
    <w:rsid w:val="37E77E78"/>
    <w:rsid w:val="37EC1B94"/>
    <w:rsid w:val="37FE3459"/>
    <w:rsid w:val="3802499B"/>
    <w:rsid w:val="38062D4A"/>
    <w:rsid w:val="380E7A6A"/>
    <w:rsid w:val="381415A9"/>
    <w:rsid w:val="383450DC"/>
    <w:rsid w:val="38351CA3"/>
    <w:rsid w:val="384C0A64"/>
    <w:rsid w:val="385B709E"/>
    <w:rsid w:val="386A7861"/>
    <w:rsid w:val="389F74A4"/>
    <w:rsid w:val="38A55986"/>
    <w:rsid w:val="38A8311F"/>
    <w:rsid w:val="38B42668"/>
    <w:rsid w:val="38CC75A3"/>
    <w:rsid w:val="38E47142"/>
    <w:rsid w:val="38EF5EBB"/>
    <w:rsid w:val="391372DE"/>
    <w:rsid w:val="39185213"/>
    <w:rsid w:val="391B4A7F"/>
    <w:rsid w:val="391D4CD7"/>
    <w:rsid w:val="392825B0"/>
    <w:rsid w:val="394A019F"/>
    <w:rsid w:val="39551808"/>
    <w:rsid w:val="39600658"/>
    <w:rsid w:val="396F6FC6"/>
    <w:rsid w:val="397E038C"/>
    <w:rsid w:val="39825CB6"/>
    <w:rsid w:val="39865320"/>
    <w:rsid w:val="399F7AE8"/>
    <w:rsid w:val="39B06F76"/>
    <w:rsid w:val="39B233CA"/>
    <w:rsid w:val="39BB14A5"/>
    <w:rsid w:val="39C3501D"/>
    <w:rsid w:val="39C83B4E"/>
    <w:rsid w:val="39D16765"/>
    <w:rsid w:val="39DA312D"/>
    <w:rsid w:val="39E138B4"/>
    <w:rsid w:val="39E80EC0"/>
    <w:rsid w:val="39F17CF6"/>
    <w:rsid w:val="39F72832"/>
    <w:rsid w:val="3A0634DB"/>
    <w:rsid w:val="3A110298"/>
    <w:rsid w:val="3A1C5B7B"/>
    <w:rsid w:val="3A1E473E"/>
    <w:rsid w:val="3A2129D0"/>
    <w:rsid w:val="3A216362"/>
    <w:rsid w:val="3A2F3D50"/>
    <w:rsid w:val="3A3743AA"/>
    <w:rsid w:val="3A3D7BB6"/>
    <w:rsid w:val="3A553FD7"/>
    <w:rsid w:val="3A6549B3"/>
    <w:rsid w:val="3A7B3A28"/>
    <w:rsid w:val="3A7E7183"/>
    <w:rsid w:val="3A89171C"/>
    <w:rsid w:val="3A893EF0"/>
    <w:rsid w:val="3A8C2A9A"/>
    <w:rsid w:val="3A905B51"/>
    <w:rsid w:val="3AA71963"/>
    <w:rsid w:val="3ABD67BF"/>
    <w:rsid w:val="3AC56A51"/>
    <w:rsid w:val="3AE74C19"/>
    <w:rsid w:val="3AE873E9"/>
    <w:rsid w:val="3AF158EB"/>
    <w:rsid w:val="3B091551"/>
    <w:rsid w:val="3B210C70"/>
    <w:rsid w:val="3B216667"/>
    <w:rsid w:val="3B2F5096"/>
    <w:rsid w:val="3B337FFF"/>
    <w:rsid w:val="3B3B3D02"/>
    <w:rsid w:val="3B583CBC"/>
    <w:rsid w:val="3B673A7D"/>
    <w:rsid w:val="3B7961E9"/>
    <w:rsid w:val="3B7C4830"/>
    <w:rsid w:val="3B7D5D0E"/>
    <w:rsid w:val="3B9F7BFE"/>
    <w:rsid w:val="3BA606D9"/>
    <w:rsid w:val="3BE16D9B"/>
    <w:rsid w:val="3BEC7356"/>
    <w:rsid w:val="3BF30693"/>
    <w:rsid w:val="3BF35216"/>
    <w:rsid w:val="3C0009BC"/>
    <w:rsid w:val="3C04218D"/>
    <w:rsid w:val="3C057F97"/>
    <w:rsid w:val="3C0B4937"/>
    <w:rsid w:val="3C0C123A"/>
    <w:rsid w:val="3C1539F5"/>
    <w:rsid w:val="3C1E1228"/>
    <w:rsid w:val="3C1F5064"/>
    <w:rsid w:val="3C30706F"/>
    <w:rsid w:val="3C343279"/>
    <w:rsid w:val="3C460574"/>
    <w:rsid w:val="3C4612C0"/>
    <w:rsid w:val="3C484FBC"/>
    <w:rsid w:val="3C653D4D"/>
    <w:rsid w:val="3C6A075B"/>
    <w:rsid w:val="3C7B5CF3"/>
    <w:rsid w:val="3C8229AD"/>
    <w:rsid w:val="3C82709A"/>
    <w:rsid w:val="3C9F37B0"/>
    <w:rsid w:val="3CBE328F"/>
    <w:rsid w:val="3CC2593E"/>
    <w:rsid w:val="3CC7519A"/>
    <w:rsid w:val="3CC76145"/>
    <w:rsid w:val="3CE046ED"/>
    <w:rsid w:val="3CE14D4F"/>
    <w:rsid w:val="3CF21D45"/>
    <w:rsid w:val="3CF655E7"/>
    <w:rsid w:val="3D023202"/>
    <w:rsid w:val="3D0A3497"/>
    <w:rsid w:val="3D0E5962"/>
    <w:rsid w:val="3D135DD7"/>
    <w:rsid w:val="3D2949B5"/>
    <w:rsid w:val="3D2C3C66"/>
    <w:rsid w:val="3D2F5E55"/>
    <w:rsid w:val="3D3C5C86"/>
    <w:rsid w:val="3D461B43"/>
    <w:rsid w:val="3D4708AC"/>
    <w:rsid w:val="3D7C4A9A"/>
    <w:rsid w:val="3D7F15FE"/>
    <w:rsid w:val="3D8A22D5"/>
    <w:rsid w:val="3D927D0E"/>
    <w:rsid w:val="3D9717B0"/>
    <w:rsid w:val="3DAA56F6"/>
    <w:rsid w:val="3DAD2111"/>
    <w:rsid w:val="3DBA06D9"/>
    <w:rsid w:val="3DD82F3F"/>
    <w:rsid w:val="3DEF1CC2"/>
    <w:rsid w:val="3DF27D3F"/>
    <w:rsid w:val="3E036AFD"/>
    <w:rsid w:val="3E072B74"/>
    <w:rsid w:val="3E151A9D"/>
    <w:rsid w:val="3E246184"/>
    <w:rsid w:val="3E282D66"/>
    <w:rsid w:val="3E2E502F"/>
    <w:rsid w:val="3E4B3711"/>
    <w:rsid w:val="3E566AD5"/>
    <w:rsid w:val="3E637FC9"/>
    <w:rsid w:val="3E7A1B8E"/>
    <w:rsid w:val="3E895591"/>
    <w:rsid w:val="3EB70338"/>
    <w:rsid w:val="3ED25BE0"/>
    <w:rsid w:val="3ED854DE"/>
    <w:rsid w:val="3EEF431E"/>
    <w:rsid w:val="3F0C0EE9"/>
    <w:rsid w:val="3F1367E4"/>
    <w:rsid w:val="3F1E0B7D"/>
    <w:rsid w:val="3F39053A"/>
    <w:rsid w:val="3F3954FE"/>
    <w:rsid w:val="3F595A93"/>
    <w:rsid w:val="3F6F30CA"/>
    <w:rsid w:val="3F8C6FB8"/>
    <w:rsid w:val="3F8E0A48"/>
    <w:rsid w:val="3FA83316"/>
    <w:rsid w:val="3FA87CDA"/>
    <w:rsid w:val="3FB12EA5"/>
    <w:rsid w:val="3FB74118"/>
    <w:rsid w:val="3FC041E3"/>
    <w:rsid w:val="3FC2314F"/>
    <w:rsid w:val="3FC72D8E"/>
    <w:rsid w:val="3FD91BFC"/>
    <w:rsid w:val="3FDE6E90"/>
    <w:rsid w:val="3FE54D9E"/>
    <w:rsid w:val="3FEA2447"/>
    <w:rsid w:val="3FF477B2"/>
    <w:rsid w:val="40042C4B"/>
    <w:rsid w:val="40111FC2"/>
    <w:rsid w:val="40116C74"/>
    <w:rsid w:val="401A339B"/>
    <w:rsid w:val="4028789C"/>
    <w:rsid w:val="4047312B"/>
    <w:rsid w:val="40520D87"/>
    <w:rsid w:val="40574E4D"/>
    <w:rsid w:val="40AC210A"/>
    <w:rsid w:val="40AF6026"/>
    <w:rsid w:val="40C45992"/>
    <w:rsid w:val="40CB0B39"/>
    <w:rsid w:val="40CB71BC"/>
    <w:rsid w:val="40E737EC"/>
    <w:rsid w:val="40E95F38"/>
    <w:rsid w:val="41041A87"/>
    <w:rsid w:val="41235542"/>
    <w:rsid w:val="41235BFE"/>
    <w:rsid w:val="412707CA"/>
    <w:rsid w:val="41382C14"/>
    <w:rsid w:val="41576594"/>
    <w:rsid w:val="415A321F"/>
    <w:rsid w:val="415A5B57"/>
    <w:rsid w:val="41813991"/>
    <w:rsid w:val="41826009"/>
    <w:rsid w:val="418D578A"/>
    <w:rsid w:val="41A91627"/>
    <w:rsid w:val="41AA7BD0"/>
    <w:rsid w:val="41B242CB"/>
    <w:rsid w:val="41D022D6"/>
    <w:rsid w:val="41E666D7"/>
    <w:rsid w:val="41E8051E"/>
    <w:rsid w:val="41F05759"/>
    <w:rsid w:val="41F477D5"/>
    <w:rsid w:val="42362E73"/>
    <w:rsid w:val="4239211E"/>
    <w:rsid w:val="423A0D77"/>
    <w:rsid w:val="42520D65"/>
    <w:rsid w:val="425B536A"/>
    <w:rsid w:val="42674891"/>
    <w:rsid w:val="427B0526"/>
    <w:rsid w:val="427C534D"/>
    <w:rsid w:val="428179D9"/>
    <w:rsid w:val="428E28EC"/>
    <w:rsid w:val="42925517"/>
    <w:rsid w:val="42A6087C"/>
    <w:rsid w:val="42AF65CA"/>
    <w:rsid w:val="42C6016E"/>
    <w:rsid w:val="42D601B6"/>
    <w:rsid w:val="42D84C87"/>
    <w:rsid w:val="42E27B5A"/>
    <w:rsid w:val="42EB2FD6"/>
    <w:rsid w:val="42FB3B24"/>
    <w:rsid w:val="431238D6"/>
    <w:rsid w:val="43155450"/>
    <w:rsid w:val="431B4049"/>
    <w:rsid w:val="432B79CB"/>
    <w:rsid w:val="432C19DC"/>
    <w:rsid w:val="433A137A"/>
    <w:rsid w:val="436D1429"/>
    <w:rsid w:val="43772AE2"/>
    <w:rsid w:val="43784CBA"/>
    <w:rsid w:val="438A02EA"/>
    <w:rsid w:val="43904DC9"/>
    <w:rsid w:val="4397020B"/>
    <w:rsid w:val="439873F8"/>
    <w:rsid w:val="43AE1B2D"/>
    <w:rsid w:val="43AE4A4D"/>
    <w:rsid w:val="43B6208E"/>
    <w:rsid w:val="43CB7D73"/>
    <w:rsid w:val="43D96FA5"/>
    <w:rsid w:val="43DF403A"/>
    <w:rsid w:val="43FA2715"/>
    <w:rsid w:val="4402625C"/>
    <w:rsid w:val="44035F34"/>
    <w:rsid w:val="44107232"/>
    <w:rsid w:val="44250BB3"/>
    <w:rsid w:val="442D0617"/>
    <w:rsid w:val="44332C7D"/>
    <w:rsid w:val="44333B81"/>
    <w:rsid w:val="4448265B"/>
    <w:rsid w:val="44487A38"/>
    <w:rsid w:val="44784DF2"/>
    <w:rsid w:val="448E62F1"/>
    <w:rsid w:val="44972300"/>
    <w:rsid w:val="44A61290"/>
    <w:rsid w:val="44AF4DD6"/>
    <w:rsid w:val="44CD2887"/>
    <w:rsid w:val="44D07C7E"/>
    <w:rsid w:val="44DD34FD"/>
    <w:rsid w:val="44E65BE2"/>
    <w:rsid w:val="45026545"/>
    <w:rsid w:val="45047715"/>
    <w:rsid w:val="452A5908"/>
    <w:rsid w:val="45352B00"/>
    <w:rsid w:val="454D18DF"/>
    <w:rsid w:val="456E1EEA"/>
    <w:rsid w:val="457B2BCC"/>
    <w:rsid w:val="45AA5CB6"/>
    <w:rsid w:val="45C068D3"/>
    <w:rsid w:val="45CB3A0A"/>
    <w:rsid w:val="45CD0860"/>
    <w:rsid w:val="45E06E35"/>
    <w:rsid w:val="45EE4662"/>
    <w:rsid w:val="46173325"/>
    <w:rsid w:val="4630628B"/>
    <w:rsid w:val="463D7093"/>
    <w:rsid w:val="464B169C"/>
    <w:rsid w:val="464E4809"/>
    <w:rsid w:val="46546664"/>
    <w:rsid w:val="4668799B"/>
    <w:rsid w:val="467E7756"/>
    <w:rsid w:val="468A2F3E"/>
    <w:rsid w:val="46942B79"/>
    <w:rsid w:val="469D0882"/>
    <w:rsid w:val="46B33F6F"/>
    <w:rsid w:val="46C16488"/>
    <w:rsid w:val="46C52C66"/>
    <w:rsid w:val="46DC6915"/>
    <w:rsid w:val="470F69A5"/>
    <w:rsid w:val="471A76C1"/>
    <w:rsid w:val="471D7C0F"/>
    <w:rsid w:val="471F480B"/>
    <w:rsid w:val="47207648"/>
    <w:rsid w:val="472A6732"/>
    <w:rsid w:val="47507AB4"/>
    <w:rsid w:val="47812E31"/>
    <w:rsid w:val="478B0B17"/>
    <w:rsid w:val="478B35E3"/>
    <w:rsid w:val="478B5112"/>
    <w:rsid w:val="47956C73"/>
    <w:rsid w:val="47A20D04"/>
    <w:rsid w:val="47A53E92"/>
    <w:rsid w:val="47AF7E51"/>
    <w:rsid w:val="47B36CDA"/>
    <w:rsid w:val="47B862AF"/>
    <w:rsid w:val="47BA434F"/>
    <w:rsid w:val="47C31B12"/>
    <w:rsid w:val="47D828A5"/>
    <w:rsid w:val="47DE2CC1"/>
    <w:rsid w:val="47E117E6"/>
    <w:rsid w:val="47E52847"/>
    <w:rsid w:val="48083EAF"/>
    <w:rsid w:val="48247A05"/>
    <w:rsid w:val="4838006D"/>
    <w:rsid w:val="484C182A"/>
    <w:rsid w:val="484C6A65"/>
    <w:rsid w:val="487F029E"/>
    <w:rsid w:val="48820171"/>
    <w:rsid w:val="489272C6"/>
    <w:rsid w:val="48977BBF"/>
    <w:rsid w:val="48A3226D"/>
    <w:rsid w:val="48C20A74"/>
    <w:rsid w:val="48C56EDC"/>
    <w:rsid w:val="48C94BD2"/>
    <w:rsid w:val="48D23EF1"/>
    <w:rsid w:val="48D67E97"/>
    <w:rsid w:val="48E75B14"/>
    <w:rsid w:val="48ED7451"/>
    <w:rsid w:val="48F11D71"/>
    <w:rsid w:val="48FD6355"/>
    <w:rsid w:val="4906028D"/>
    <w:rsid w:val="49177695"/>
    <w:rsid w:val="4927010B"/>
    <w:rsid w:val="492826EC"/>
    <w:rsid w:val="49290AF3"/>
    <w:rsid w:val="49333827"/>
    <w:rsid w:val="49412223"/>
    <w:rsid w:val="494473E3"/>
    <w:rsid w:val="49477653"/>
    <w:rsid w:val="4949604C"/>
    <w:rsid w:val="4954613F"/>
    <w:rsid w:val="495A5264"/>
    <w:rsid w:val="495C04A0"/>
    <w:rsid w:val="49676E61"/>
    <w:rsid w:val="496947BE"/>
    <w:rsid w:val="496B2EB9"/>
    <w:rsid w:val="496C1724"/>
    <w:rsid w:val="496D29C8"/>
    <w:rsid w:val="499B0676"/>
    <w:rsid w:val="49AA1C33"/>
    <w:rsid w:val="49C51999"/>
    <w:rsid w:val="49E57483"/>
    <w:rsid w:val="49EF313E"/>
    <w:rsid w:val="49EF7CAA"/>
    <w:rsid w:val="49FB0F52"/>
    <w:rsid w:val="4A095FF0"/>
    <w:rsid w:val="4A2A54D9"/>
    <w:rsid w:val="4A2C0940"/>
    <w:rsid w:val="4A4D014B"/>
    <w:rsid w:val="4A787F91"/>
    <w:rsid w:val="4A79215E"/>
    <w:rsid w:val="4A7F3FEF"/>
    <w:rsid w:val="4A837BAC"/>
    <w:rsid w:val="4A9B36E0"/>
    <w:rsid w:val="4A9C6C64"/>
    <w:rsid w:val="4AAE264B"/>
    <w:rsid w:val="4AD258C2"/>
    <w:rsid w:val="4AD4180F"/>
    <w:rsid w:val="4B026ECF"/>
    <w:rsid w:val="4B056928"/>
    <w:rsid w:val="4B0E0773"/>
    <w:rsid w:val="4B1C1080"/>
    <w:rsid w:val="4B41274C"/>
    <w:rsid w:val="4B4F6310"/>
    <w:rsid w:val="4B603D34"/>
    <w:rsid w:val="4B8D3465"/>
    <w:rsid w:val="4BA5111A"/>
    <w:rsid w:val="4BB16094"/>
    <w:rsid w:val="4BB4236A"/>
    <w:rsid w:val="4BB654BB"/>
    <w:rsid w:val="4BBF129A"/>
    <w:rsid w:val="4BC62629"/>
    <w:rsid w:val="4BCA0A02"/>
    <w:rsid w:val="4BD16F67"/>
    <w:rsid w:val="4BDC263F"/>
    <w:rsid w:val="4BDF0872"/>
    <w:rsid w:val="4BE3142D"/>
    <w:rsid w:val="4BEA6E7D"/>
    <w:rsid w:val="4BEB2A4C"/>
    <w:rsid w:val="4C3677AE"/>
    <w:rsid w:val="4C3702B2"/>
    <w:rsid w:val="4C3B46C5"/>
    <w:rsid w:val="4C3D342B"/>
    <w:rsid w:val="4C42016C"/>
    <w:rsid w:val="4C4B6ADB"/>
    <w:rsid w:val="4C55248D"/>
    <w:rsid w:val="4C6D0CF6"/>
    <w:rsid w:val="4C771B75"/>
    <w:rsid w:val="4C80275D"/>
    <w:rsid w:val="4C973DE3"/>
    <w:rsid w:val="4CA26BF2"/>
    <w:rsid w:val="4CA757A7"/>
    <w:rsid w:val="4CAB21E0"/>
    <w:rsid w:val="4CC07AE9"/>
    <w:rsid w:val="4CC1696C"/>
    <w:rsid w:val="4CD35F5F"/>
    <w:rsid w:val="4CF37AC0"/>
    <w:rsid w:val="4D0B2CFA"/>
    <w:rsid w:val="4D385174"/>
    <w:rsid w:val="4D435639"/>
    <w:rsid w:val="4D763EF7"/>
    <w:rsid w:val="4D792F59"/>
    <w:rsid w:val="4D905237"/>
    <w:rsid w:val="4DA22C22"/>
    <w:rsid w:val="4DAA3461"/>
    <w:rsid w:val="4DBA0ECD"/>
    <w:rsid w:val="4DD059E1"/>
    <w:rsid w:val="4DD51249"/>
    <w:rsid w:val="4DDF3772"/>
    <w:rsid w:val="4DE118D6"/>
    <w:rsid w:val="4DE50C0B"/>
    <w:rsid w:val="4DF7557D"/>
    <w:rsid w:val="4E197B87"/>
    <w:rsid w:val="4E3C0129"/>
    <w:rsid w:val="4E413928"/>
    <w:rsid w:val="4E4E1AD3"/>
    <w:rsid w:val="4E594AE5"/>
    <w:rsid w:val="4E913210"/>
    <w:rsid w:val="4E9D5D3A"/>
    <w:rsid w:val="4EAE2D89"/>
    <w:rsid w:val="4EC42782"/>
    <w:rsid w:val="4EC64828"/>
    <w:rsid w:val="4EC8404D"/>
    <w:rsid w:val="4ECC61A8"/>
    <w:rsid w:val="4ED23CE3"/>
    <w:rsid w:val="4ED2744B"/>
    <w:rsid w:val="4EE233D8"/>
    <w:rsid w:val="4EF7302E"/>
    <w:rsid w:val="4F0B04A7"/>
    <w:rsid w:val="4F15023B"/>
    <w:rsid w:val="4F154E4D"/>
    <w:rsid w:val="4F16443A"/>
    <w:rsid w:val="4F2152A7"/>
    <w:rsid w:val="4F301739"/>
    <w:rsid w:val="4F3E331D"/>
    <w:rsid w:val="4F473DC3"/>
    <w:rsid w:val="4F4D74C0"/>
    <w:rsid w:val="4F4F0B87"/>
    <w:rsid w:val="4F630779"/>
    <w:rsid w:val="4F7349FE"/>
    <w:rsid w:val="4F7C59C8"/>
    <w:rsid w:val="4F9A627F"/>
    <w:rsid w:val="4FAD40AB"/>
    <w:rsid w:val="4FD22A4E"/>
    <w:rsid w:val="4FD80305"/>
    <w:rsid w:val="4FDB6FF1"/>
    <w:rsid w:val="4FE01326"/>
    <w:rsid w:val="4FEF704D"/>
    <w:rsid w:val="4FEF7961"/>
    <w:rsid w:val="500D1DE9"/>
    <w:rsid w:val="50131E0C"/>
    <w:rsid w:val="50177C3C"/>
    <w:rsid w:val="501D7F57"/>
    <w:rsid w:val="503441EC"/>
    <w:rsid w:val="50356DAA"/>
    <w:rsid w:val="504306F9"/>
    <w:rsid w:val="50590712"/>
    <w:rsid w:val="50681F00"/>
    <w:rsid w:val="5075461D"/>
    <w:rsid w:val="50765A31"/>
    <w:rsid w:val="50884E90"/>
    <w:rsid w:val="508B15C6"/>
    <w:rsid w:val="50A83296"/>
    <w:rsid w:val="50AE495E"/>
    <w:rsid w:val="50B30DEB"/>
    <w:rsid w:val="50B364D9"/>
    <w:rsid w:val="50BE1E1C"/>
    <w:rsid w:val="50C43019"/>
    <w:rsid w:val="50C51101"/>
    <w:rsid w:val="50CD4DA0"/>
    <w:rsid w:val="50E65181"/>
    <w:rsid w:val="50EC119A"/>
    <w:rsid w:val="51093177"/>
    <w:rsid w:val="51190237"/>
    <w:rsid w:val="511C6CAE"/>
    <w:rsid w:val="51247BEF"/>
    <w:rsid w:val="5126484D"/>
    <w:rsid w:val="51267D96"/>
    <w:rsid w:val="514F4C92"/>
    <w:rsid w:val="51554FCB"/>
    <w:rsid w:val="515D31AA"/>
    <w:rsid w:val="51835582"/>
    <w:rsid w:val="51844B34"/>
    <w:rsid w:val="519B552C"/>
    <w:rsid w:val="519F3FF0"/>
    <w:rsid w:val="51A75912"/>
    <w:rsid w:val="51AB011B"/>
    <w:rsid w:val="51B91D2B"/>
    <w:rsid w:val="51BB286A"/>
    <w:rsid w:val="51CC4595"/>
    <w:rsid w:val="51D210B4"/>
    <w:rsid w:val="51EF1B81"/>
    <w:rsid w:val="51EF5F7B"/>
    <w:rsid w:val="51F662E0"/>
    <w:rsid w:val="520908D2"/>
    <w:rsid w:val="521B31A6"/>
    <w:rsid w:val="52200036"/>
    <w:rsid w:val="52431B04"/>
    <w:rsid w:val="524372D2"/>
    <w:rsid w:val="524727E0"/>
    <w:rsid w:val="525B0862"/>
    <w:rsid w:val="52604C60"/>
    <w:rsid w:val="527605D3"/>
    <w:rsid w:val="52791460"/>
    <w:rsid w:val="52826AF7"/>
    <w:rsid w:val="529B0AB2"/>
    <w:rsid w:val="52B04009"/>
    <w:rsid w:val="52B51E83"/>
    <w:rsid w:val="52E82D48"/>
    <w:rsid w:val="52EB2E58"/>
    <w:rsid w:val="52F41C7C"/>
    <w:rsid w:val="52FF6FD5"/>
    <w:rsid w:val="530D6520"/>
    <w:rsid w:val="53156BB3"/>
    <w:rsid w:val="531B23DC"/>
    <w:rsid w:val="53377200"/>
    <w:rsid w:val="53424385"/>
    <w:rsid w:val="53682217"/>
    <w:rsid w:val="536B0DE1"/>
    <w:rsid w:val="5374556C"/>
    <w:rsid w:val="537F69DC"/>
    <w:rsid w:val="53B73033"/>
    <w:rsid w:val="53C946C6"/>
    <w:rsid w:val="53CA61F1"/>
    <w:rsid w:val="53DF21F4"/>
    <w:rsid w:val="53FD7A44"/>
    <w:rsid w:val="54084667"/>
    <w:rsid w:val="540C3158"/>
    <w:rsid w:val="541302BE"/>
    <w:rsid w:val="54207D09"/>
    <w:rsid w:val="542D04BE"/>
    <w:rsid w:val="54321EC1"/>
    <w:rsid w:val="5452246C"/>
    <w:rsid w:val="5454111A"/>
    <w:rsid w:val="545711EA"/>
    <w:rsid w:val="54575033"/>
    <w:rsid w:val="54695416"/>
    <w:rsid w:val="546D75DA"/>
    <w:rsid w:val="5472334E"/>
    <w:rsid w:val="54805D2C"/>
    <w:rsid w:val="54815C87"/>
    <w:rsid w:val="5488614D"/>
    <w:rsid w:val="5495703C"/>
    <w:rsid w:val="549D4B2E"/>
    <w:rsid w:val="54D576D6"/>
    <w:rsid w:val="54E63D3C"/>
    <w:rsid w:val="54ED50E1"/>
    <w:rsid w:val="54F47542"/>
    <w:rsid w:val="54F74321"/>
    <w:rsid w:val="55007630"/>
    <w:rsid w:val="55182D91"/>
    <w:rsid w:val="552423B3"/>
    <w:rsid w:val="55377119"/>
    <w:rsid w:val="55397A5C"/>
    <w:rsid w:val="554910BB"/>
    <w:rsid w:val="55687090"/>
    <w:rsid w:val="557D0EAE"/>
    <w:rsid w:val="557D345A"/>
    <w:rsid w:val="559665C1"/>
    <w:rsid w:val="559D089E"/>
    <w:rsid w:val="559D5EE4"/>
    <w:rsid w:val="559F4950"/>
    <w:rsid w:val="559F7833"/>
    <w:rsid w:val="55A207A5"/>
    <w:rsid w:val="55B41AF5"/>
    <w:rsid w:val="55C804D1"/>
    <w:rsid w:val="55D47454"/>
    <w:rsid w:val="55D81C41"/>
    <w:rsid w:val="55E71E57"/>
    <w:rsid w:val="55FF7B2B"/>
    <w:rsid w:val="56020701"/>
    <w:rsid w:val="560F3DBD"/>
    <w:rsid w:val="561B4A7B"/>
    <w:rsid w:val="563921EF"/>
    <w:rsid w:val="564B1EA9"/>
    <w:rsid w:val="56520E15"/>
    <w:rsid w:val="5652593F"/>
    <w:rsid w:val="565478BE"/>
    <w:rsid w:val="56643852"/>
    <w:rsid w:val="56812151"/>
    <w:rsid w:val="568C6E84"/>
    <w:rsid w:val="56AF1F8F"/>
    <w:rsid w:val="56B56277"/>
    <w:rsid w:val="56D42122"/>
    <w:rsid w:val="56D55A97"/>
    <w:rsid w:val="56E13AE9"/>
    <w:rsid w:val="56F049FE"/>
    <w:rsid w:val="5703151C"/>
    <w:rsid w:val="57062824"/>
    <w:rsid w:val="57132128"/>
    <w:rsid w:val="57165896"/>
    <w:rsid w:val="57517C8C"/>
    <w:rsid w:val="57572CCF"/>
    <w:rsid w:val="57592EBD"/>
    <w:rsid w:val="5774590A"/>
    <w:rsid w:val="577E2ED9"/>
    <w:rsid w:val="57867AC8"/>
    <w:rsid w:val="5796096F"/>
    <w:rsid w:val="57CA40D6"/>
    <w:rsid w:val="57CB50E3"/>
    <w:rsid w:val="57D17792"/>
    <w:rsid w:val="58154A61"/>
    <w:rsid w:val="58211F5F"/>
    <w:rsid w:val="582426EF"/>
    <w:rsid w:val="58402591"/>
    <w:rsid w:val="58465817"/>
    <w:rsid w:val="584673F0"/>
    <w:rsid w:val="58576BFD"/>
    <w:rsid w:val="5881612B"/>
    <w:rsid w:val="588E5048"/>
    <w:rsid w:val="58AA0567"/>
    <w:rsid w:val="58AE120C"/>
    <w:rsid w:val="58B453EB"/>
    <w:rsid w:val="58CF4D68"/>
    <w:rsid w:val="58D36385"/>
    <w:rsid w:val="58E01150"/>
    <w:rsid w:val="58F07BC4"/>
    <w:rsid w:val="58FC01F2"/>
    <w:rsid w:val="59081D48"/>
    <w:rsid w:val="590D15FA"/>
    <w:rsid w:val="59131F80"/>
    <w:rsid w:val="59230EC3"/>
    <w:rsid w:val="59263EF6"/>
    <w:rsid w:val="59333801"/>
    <w:rsid w:val="596E1A64"/>
    <w:rsid w:val="597F12E3"/>
    <w:rsid w:val="597F6E8F"/>
    <w:rsid w:val="59B71D6B"/>
    <w:rsid w:val="59BB2AEF"/>
    <w:rsid w:val="59C16DBD"/>
    <w:rsid w:val="59C6369C"/>
    <w:rsid w:val="59E03122"/>
    <w:rsid w:val="59F0479D"/>
    <w:rsid w:val="5A1031F4"/>
    <w:rsid w:val="5A186A52"/>
    <w:rsid w:val="5A2212DE"/>
    <w:rsid w:val="5A421A14"/>
    <w:rsid w:val="5A435B6C"/>
    <w:rsid w:val="5A575BE6"/>
    <w:rsid w:val="5A5961EF"/>
    <w:rsid w:val="5A5A1B8C"/>
    <w:rsid w:val="5A625103"/>
    <w:rsid w:val="5A6E0A5B"/>
    <w:rsid w:val="5A6E7A15"/>
    <w:rsid w:val="5A8A090F"/>
    <w:rsid w:val="5A8E08F7"/>
    <w:rsid w:val="5A964256"/>
    <w:rsid w:val="5A9E5585"/>
    <w:rsid w:val="5AAE3797"/>
    <w:rsid w:val="5AB57BD0"/>
    <w:rsid w:val="5AC73CC7"/>
    <w:rsid w:val="5AC94957"/>
    <w:rsid w:val="5ACF7B3C"/>
    <w:rsid w:val="5AD00A41"/>
    <w:rsid w:val="5AD92811"/>
    <w:rsid w:val="5AE26F9D"/>
    <w:rsid w:val="5AF3080E"/>
    <w:rsid w:val="5AFD116F"/>
    <w:rsid w:val="5B20306A"/>
    <w:rsid w:val="5B212520"/>
    <w:rsid w:val="5B296C9A"/>
    <w:rsid w:val="5B35575C"/>
    <w:rsid w:val="5B410FCD"/>
    <w:rsid w:val="5B4C12B1"/>
    <w:rsid w:val="5B67536B"/>
    <w:rsid w:val="5B7B29D0"/>
    <w:rsid w:val="5B7E6D71"/>
    <w:rsid w:val="5B853087"/>
    <w:rsid w:val="5B8904E1"/>
    <w:rsid w:val="5B8C7433"/>
    <w:rsid w:val="5B9157D6"/>
    <w:rsid w:val="5B9E0AB2"/>
    <w:rsid w:val="5BA34735"/>
    <w:rsid w:val="5BAD0F91"/>
    <w:rsid w:val="5BAF3AE1"/>
    <w:rsid w:val="5BB70EE7"/>
    <w:rsid w:val="5BC72ADB"/>
    <w:rsid w:val="5BD171AC"/>
    <w:rsid w:val="5BD75B29"/>
    <w:rsid w:val="5BDB6005"/>
    <w:rsid w:val="5BFE62A3"/>
    <w:rsid w:val="5C12560E"/>
    <w:rsid w:val="5C222B52"/>
    <w:rsid w:val="5C422170"/>
    <w:rsid w:val="5C5455A3"/>
    <w:rsid w:val="5C581C1B"/>
    <w:rsid w:val="5C59261F"/>
    <w:rsid w:val="5C5A2E81"/>
    <w:rsid w:val="5C5B7DF8"/>
    <w:rsid w:val="5C654D62"/>
    <w:rsid w:val="5C806824"/>
    <w:rsid w:val="5C854DD5"/>
    <w:rsid w:val="5C8D175B"/>
    <w:rsid w:val="5C8F2534"/>
    <w:rsid w:val="5CA56C1D"/>
    <w:rsid w:val="5CC05655"/>
    <w:rsid w:val="5CDC05B2"/>
    <w:rsid w:val="5CF27C39"/>
    <w:rsid w:val="5CFB28ED"/>
    <w:rsid w:val="5D046C89"/>
    <w:rsid w:val="5D047F56"/>
    <w:rsid w:val="5D1832CD"/>
    <w:rsid w:val="5D2260F4"/>
    <w:rsid w:val="5D283554"/>
    <w:rsid w:val="5D2D0A83"/>
    <w:rsid w:val="5D2E21E4"/>
    <w:rsid w:val="5D396FFC"/>
    <w:rsid w:val="5D3C6162"/>
    <w:rsid w:val="5D4B2344"/>
    <w:rsid w:val="5D57457A"/>
    <w:rsid w:val="5D6A524E"/>
    <w:rsid w:val="5D6D63C2"/>
    <w:rsid w:val="5D7202C3"/>
    <w:rsid w:val="5D7238FB"/>
    <w:rsid w:val="5D8147A9"/>
    <w:rsid w:val="5D9224EA"/>
    <w:rsid w:val="5DBA1E14"/>
    <w:rsid w:val="5DBA67B3"/>
    <w:rsid w:val="5DBE5EE9"/>
    <w:rsid w:val="5DC26BB5"/>
    <w:rsid w:val="5DC43BD5"/>
    <w:rsid w:val="5DC51417"/>
    <w:rsid w:val="5DD340EA"/>
    <w:rsid w:val="5DD62B9F"/>
    <w:rsid w:val="5DD62C12"/>
    <w:rsid w:val="5DDA7D14"/>
    <w:rsid w:val="5DE05DE4"/>
    <w:rsid w:val="5DE14951"/>
    <w:rsid w:val="5DE346BA"/>
    <w:rsid w:val="5DE439DB"/>
    <w:rsid w:val="5DEC7A7D"/>
    <w:rsid w:val="5DFF2E52"/>
    <w:rsid w:val="5E031142"/>
    <w:rsid w:val="5E092C29"/>
    <w:rsid w:val="5E207FB8"/>
    <w:rsid w:val="5E22212E"/>
    <w:rsid w:val="5E2E6B91"/>
    <w:rsid w:val="5E5B529D"/>
    <w:rsid w:val="5E745C5E"/>
    <w:rsid w:val="5E7E0F3A"/>
    <w:rsid w:val="5E802247"/>
    <w:rsid w:val="5E845E14"/>
    <w:rsid w:val="5E9C2DA1"/>
    <w:rsid w:val="5E9C4F5D"/>
    <w:rsid w:val="5EAF69D7"/>
    <w:rsid w:val="5EBE614A"/>
    <w:rsid w:val="5EBE65B7"/>
    <w:rsid w:val="5ED74B4C"/>
    <w:rsid w:val="5ED86063"/>
    <w:rsid w:val="5EE01327"/>
    <w:rsid w:val="5EE412EC"/>
    <w:rsid w:val="5EE65064"/>
    <w:rsid w:val="5EEC42F0"/>
    <w:rsid w:val="5EF41CAA"/>
    <w:rsid w:val="5EF46987"/>
    <w:rsid w:val="5EFA28BD"/>
    <w:rsid w:val="5EFB26E6"/>
    <w:rsid w:val="5F143E93"/>
    <w:rsid w:val="5F3A0FC3"/>
    <w:rsid w:val="5F3D6695"/>
    <w:rsid w:val="5F447DEC"/>
    <w:rsid w:val="5F543ADA"/>
    <w:rsid w:val="5F5E636B"/>
    <w:rsid w:val="5F70103F"/>
    <w:rsid w:val="5F826B2B"/>
    <w:rsid w:val="5F8E6C81"/>
    <w:rsid w:val="5FA339A2"/>
    <w:rsid w:val="5FAF36A8"/>
    <w:rsid w:val="5FBB4606"/>
    <w:rsid w:val="5FC46053"/>
    <w:rsid w:val="5FD10276"/>
    <w:rsid w:val="5FD76A07"/>
    <w:rsid w:val="5FDB6195"/>
    <w:rsid w:val="5FE47655"/>
    <w:rsid w:val="60063A2D"/>
    <w:rsid w:val="601935CE"/>
    <w:rsid w:val="6043199F"/>
    <w:rsid w:val="604B3C88"/>
    <w:rsid w:val="605F6D4C"/>
    <w:rsid w:val="60622D2B"/>
    <w:rsid w:val="6064218E"/>
    <w:rsid w:val="607C56BB"/>
    <w:rsid w:val="607F256E"/>
    <w:rsid w:val="609A36A1"/>
    <w:rsid w:val="609E5F7B"/>
    <w:rsid w:val="60AE1946"/>
    <w:rsid w:val="60C001F9"/>
    <w:rsid w:val="60C70D3E"/>
    <w:rsid w:val="60D75841"/>
    <w:rsid w:val="60DB351D"/>
    <w:rsid w:val="60DB487B"/>
    <w:rsid w:val="60E12217"/>
    <w:rsid w:val="60EB14BB"/>
    <w:rsid w:val="60FC060C"/>
    <w:rsid w:val="60FE5ACC"/>
    <w:rsid w:val="61025A59"/>
    <w:rsid w:val="61067D97"/>
    <w:rsid w:val="611258D9"/>
    <w:rsid w:val="612C0399"/>
    <w:rsid w:val="613D0692"/>
    <w:rsid w:val="617B3010"/>
    <w:rsid w:val="617E7102"/>
    <w:rsid w:val="61813941"/>
    <w:rsid w:val="61B5633A"/>
    <w:rsid w:val="61B62690"/>
    <w:rsid w:val="61BA2C2D"/>
    <w:rsid w:val="61CC600D"/>
    <w:rsid w:val="61D02A6A"/>
    <w:rsid w:val="61D661F7"/>
    <w:rsid w:val="61DE1E6C"/>
    <w:rsid w:val="61F95DA4"/>
    <w:rsid w:val="61FA2DE8"/>
    <w:rsid w:val="620A1069"/>
    <w:rsid w:val="62113106"/>
    <w:rsid w:val="621D03A8"/>
    <w:rsid w:val="622D3814"/>
    <w:rsid w:val="622E61ED"/>
    <w:rsid w:val="62353A27"/>
    <w:rsid w:val="623710D5"/>
    <w:rsid w:val="62523D2D"/>
    <w:rsid w:val="625E40D8"/>
    <w:rsid w:val="62765598"/>
    <w:rsid w:val="627C4FF5"/>
    <w:rsid w:val="629560BD"/>
    <w:rsid w:val="629A5169"/>
    <w:rsid w:val="62B70360"/>
    <w:rsid w:val="62CD4189"/>
    <w:rsid w:val="62D0061C"/>
    <w:rsid w:val="62D15B35"/>
    <w:rsid w:val="62D37ACA"/>
    <w:rsid w:val="62ED04E6"/>
    <w:rsid w:val="62F723FE"/>
    <w:rsid w:val="63051831"/>
    <w:rsid w:val="631679F3"/>
    <w:rsid w:val="631B077F"/>
    <w:rsid w:val="631E3787"/>
    <w:rsid w:val="63390330"/>
    <w:rsid w:val="633A7C4D"/>
    <w:rsid w:val="63411FAA"/>
    <w:rsid w:val="634E34ED"/>
    <w:rsid w:val="636D1584"/>
    <w:rsid w:val="63997B8E"/>
    <w:rsid w:val="63A46E86"/>
    <w:rsid w:val="63AC7861"/>
    <w:rsid w:val="63AE3C76"/>
    <w:rsid w:val="63B3342B"/>
    <w:rsid w:val="63E02AD6"/>
    <w:rsid w:val="63E258FF"/>
    <w:rsid w:val="63E9716E"/>
    <w:rsid w:val="63FB0D03"/>
    <w:rsid w:val="63FE79E8"/>
    <w:rsid w:val="64091E98"/>
    <w:rsid w:val="640D6BEF"/>
    <w:rsid w:val="64145B27"/>
    <w:rsid w:val="64185D81"/>
    <w:rsid w:val="641F1064"/>
    <w:rsid w:val="6420390D"/>
    <w:rsid w:val="64284669"/>
    <w:rsid w:val="64361733"/>
    <w:rsid w:val="64477F70"/>
    <w:rsid w:val="644C058D"/>
    <w:rsid w:val="64633F49"/>
    <w:rsid w:val="64661EF2"/>
    <w:rsid w:val="646E0538"/>
    <w:rsid w:val="647E5958"/>
    <w:rsid w:val="648C4C34"/>
    <w:rsid w:val="649017F5"/>
    <w:rsid w:val="64A31301"/>
    <w:rsid w:val="64BB63F8"/>
    <w:rsid w:val="64C65908"/>
    <w:rsid w:val="64C9409E"/>
    <w:rsid w:val="64E53693"/>
    <w:rsid w:val="64FB3ABE"/>
    <w:rsid w:val="64FE02E9"/>
    <w:rsid w:val="65044081"/>
    <w:rsid w:val="65046DBA"/>
    <w:rsid w:val="652B70A8"/>
    <w:rsid w:val="65393A14"/>
    <w:rsid w:val="65467268"/>
    <w:rsid w:val="655820EC"/>
    <w:rsid w:val="655E7837"/>
    <w:rsid w:val="65614944"/>
    <w:rsid w:val="656A3451"/>
    <w:rsid w:val="657D17DE"/>
    <w:rsid w:val="658122F5"/>
    <w:rsid w:val="658944E8"/>
    <w:rsid w:val="65AB6D1E"/>
    <w:rsid w:val="65C14A70"/>
    <w:rsid w:val="65C31945"/>
    <w:rsid w:val="65CF6A1B"/>
    <w:rsid w:val="65F91B21"/>
    <w:rsid w:val="65FE3386"/>
    <w:rsid w:val="66042274"/>
    <w:rsid w:val="663F11D0"/>
    <w:rsid w:val="663F1FB7"/>
    <w:rsid w:val="66447096"/>
    <w:rsid w:val="664C1D78"/>
    <w:rsid w:val="664C6CC5"/>
    <w:rsid w:val="66711CF7"/>
    <w:rsid w:val="66712172"/>
    <w:rsid w:val="6676702E"/>
    <w:rsid w:val="66A34680"/>
    <w:rsid w:val="66B056DC"/>
    <w:rsid w:val="66C060B0"/>
    <w:rsid w:val="66CA52C9"/>
    <w:rsid w:val="66D43ADB"/>
    <w:rsid w:val="66DF5407"/>
    <w:rsid w:val="66EE7D4B"/>
    <w:rsid w:val="670655E6"/>
    <w:rsid w:val="670B0565"/>
    <w:rsid w:val="67227C86"/>
    <w:rsid w:val="6729696C"/>
    <w:rsid w:val="673F6AFD"/>
    <w:rsid w:val="6751785F"/>
    <w:rsid w:val="675B6700"/>
    <w:rsid w:val="67801A40"/>
    <w:rsid w:val="67A01D44"/>
    <w:rsid w:val="67DF5436"/>
    <w:rsid w:val="67EF5A0E"/>
    <w:rsid w:val="67FF2688"/>
    <w:rsid w:val="680802C2"/>
    <w:rsid w:val="680E76CA"/>
    <w:rsid w:val="680F7614"/>
    <w:rsid w:val="681028F8"/>
    <w:rsid w:val="68106599"/>
    <w:rsid w:val="684329ED"/>
    <w:rsid w:val="686D5379"/>
    <w:rsid w:val="68705E7C"/>
    <w:rsid w:val="687F2CA1"/>
    <w:rsid w:val="68803037"/>
    <w:rsid w:val="6890061C"/>
    <w:rsid w:val="6891072B"/>
    <w:rsid w:val="68A8173A"/>
    <w:rsid w:val="68AA07EC"/>
    <w:rsid w:val="68B166E3"/>
    <w:rsid w:val="68BD552E"/>
    <w:rsid w:val="68F52CFC"/>
    <w:rsid w:val="68FA6AE4"/>
    <w:rsid w:val="69016C2F"/>
    <w:rsid w:val="69034A64"/>
    <w:rsid w:val="69080BDE"/>
    <w:rsid w:val="69083ABB"/>
    <w:rsid w:val="69114B86"/>
    <w:rsid w:val="691350E7"/>
    <w:rsid w:val="69274E19"/>
    <w:rsid w:val="69276BBB"/>
    <w:rsid w:val="69310021"/>
    <w:rsid w:val="693C1E70"/>
    <w:rsid w:val="6945337A"/>
    <w:rsid w:val="694E2463"/>
    <w:rsid w:val="695C00E9"/>
    <w:rsid w:val="696B5C3F"/>
    <w:rsid w:val="69757BD8"/>
    <w:rsid w:val="6987670C"/>
    <w:rsid w:val="69A04061"/>
    <w:rsid w:val="69BB7477"/>
    <w:rsid w:val="69BE34F8"/>
    <w:rsid w:val="69C51EFC"/>
    <w:rsid w:val="69C95831"/>
    <w:rsid w:val="69CB69DB"/>
    <w:rsid w:val="69D36BB5"/>
    <w:rsid w:val="69E5416A"/>
    <w:rsid w:val="6A0C575B"/>
    <w:rsid w:val="6A2F4547"/>
    <w:rsid w:val="6A3D48C2"/>
    <w:rsid w:val="6A4314F2"/>
    <w:rsid w:val="6A5332A7"/>
    <w:rsid w:val="6A595D36"/>
    <w:rsid w:val="6A5B4621"/>
    <w:rsid w:val="6A5D3FC6"/>
    <w:rsid w:val="6A610D29"/>
    <w:rsid w:val="6A697266"/>
    <w:rsid w:val="6A704610"/>
    <w:rsid w:val="6A817D97"/>
    <w:rsid w:val="6AA63F81"/>
    <w:rsid w:val="6AA7495F"/>
    <w:rsid w:val="6AAD173B"/>
    <w:rsid w:val="6ACE266E"/>
    <w:rsid w:val="6AE40369"/>
    <w:rsid w:val="6AEB4B25"/>
    <w:rsid w:val="6AFC163E"/>
    <w:rsid w:val="6B1229D6"/>
    <w:rsid w:val="6B190FF3"/>
    <w:rsid w:val="6B4A175B"/>
    <w:rsid w:val="6B4D5025"/>
    <w:rsid w:val="6B51435F"/>
    <w:rsid w:val="6B5A338B"/>
    <w:rsid w:val="6B755C0F"/>
    <w:rsid w:val="6B7872D4"/>
    <w:rsid w:val="6B7E67CB"/>
    <w:rsid w:val="6B7F7CAE"/>
    <w:rsid w:val="6B8509D4"/>
    <w:rsid w:val="6B870FBA"/>
    <w:rsid w:val="6BA44E38"/>
    <w:rsid w:val="6BA71E67"/>
    <w:rsid w:val="6BAC4983"/>
    <w:rsid w:val="6BE00C9C"/>
    <w:rsid w:val="6BE63003"/>
    <w:rsid w:val="6BE64975"/>
    <w:rsid w:val="6BEC7A29"/>
    <w:rsid w:val="6BEF730C"/>
    <w:rsid w:val="6C017D5F"/>
    <w:rsid w:val="6C1B6E2B"/>
    <w:rsid w:val="6C1C71B6"/>
    <w:rsid w:val="6C2471CC"/>
    <w:rsid w:val="6C260A9C"/>
    <w:rsid w:val="6C3350BC"/>
    <w:rsid w:val="6C341183"/>
    <w:rsid w:val="6C3519CD"/>
    <w:rsid w:val="6C4262D3"/>
    <w:rsid w:val="6C475649"/>
    <w:rsid w:val="6C564134"/>
    <w:rsid w:val="6C7D21DD"/>
    <w:rsid w:val="6C955C66"/>
    <w:rsid w:val="6C9C12BB"/>
    <w:rsid w:val="6CA306ED"/>
    <w:rsid w:val="6CA72D35"/>
    <w:rsid w:val="6CB31D82"/>
    <w:rsid w:val="6CBF7923"/>
    <w:rsid w:val="6CC52FDE"/>
    <w:rsid w:val="6CF81DCF"/>
    <w:rsid w:val="6CFA6255"/>
    <w:rsid w:val="6D1B1E9D"/>
    <w:rsid w:val="6D3A6F3B"/>
    <w:rsid w:val="6D3E2C1F"/>
    <w:rsid w:val="6D402012"/>
    <w:rsid w:val="6D416583"/>
    <w:rsid w:val="6D4D1025"/>
    <w:rsid w:val="6D500A26"/>
    <w:rsid w:val="6D570D03"/>
    <w:rsid w:val="6D602074"/>
    <w:rsid w:val="6D627973"/>
    <w:rsid w:val="6D630FA9"/>
    <w:rsid w:val="6D6C7B55"/>
    <w:rsid w:val="6D7632AF"/>
    <w:rsid w:val="6D860C8C"/>
    <w:rsid w:val="6DB46FBD"/>
    <w:rsid w:val="6DB91B96"/>
    <w:rsid w:val="6DBE01E7"/>
    <w:rsid w:val="6DC47C6F"/>
    <w:rsid w:val="6DCD67E1"/>
    <w:rsid w:val="6DD56051"/>
    <w:rsid w:val="6DDC1AB4"/>
    <w:rsid w:val="6DE77D9E"/>
    <w:rsid w:val="6DE77EA6"/>
    <w:rsid w:val="6DFE7CAD"/>
    <w:rsid w:val="6E4B6440"/>
    <w:rsid w:val="6E69697A"/>
    <w:rsid w:val="6E891A92"/>
    <w:rsid w:val="6E96394D"/>
    <w:rsid w:val="6E977C16"/>
    <w:rsid w:val="6E9C61BD"/>
    <w:rsid w:val="6E9D40D6"/>
    <w:rsid w:val="6E9D48B4"/>
    <w:rsid w:val="6E9D5FAF"/>
    <w:rsid w:val="6EBC6B8A"/>
    <w:rsid w:val="6EC815B0"/>
    <w:rsid w:val="6ECB5563"/>
    <w:rsid w:val="6ECC0163"/>
    <w:rsid w:val="6EE1469F"/>
    <w:rsid w:val="6EE23856"/>
    <w:rsid w:val="6EEF537C"/>
    <w:rsid w:val="6EF44BEF"/>
    <w:rsid w:val="6F191596"/>
    <w:rsid w:val="6F230B5D"/>
    <w:rsid w:val="6F2E32BF"/>
    <w:rsid w:val="6F350624"/>
    <w:rsid w:val="6F4A0044"/>
    <w:rsid w:val="6F513174"/>
    <w:rsid w:val="6F60076E"/>
    <w:rsid w:val="6F6B536A"/>
    <w:rsid w:val="6F7E388C"/>
    <w:rsid w:val="6F8102DD"/>
    <w:rsid w:val="6F894224"/>
    <w:rsid w:val="6F895A7B"/>
    <w:rsid w:val="6F8C24F8"/>
    <w:rsid w:val="6F904FB5"/>
    <w:rsid w:val="6F9778C5"/>
    <w:rsid w:val="6FA4172C"/>
    <w:rsid w:val="6FA74D92"/>
    <w:rsid w:val="6FBB39A3"/>
    <w:rsid w:val="6FC82E9C"/>
    <w:rsid w:val="6FD47973"/>
    <w:rsid w:val="6FD81311"/>
    <w:rsid w:val="6FEC2B48"/>
    <w:rsid w:val="700C3D3F"/>
    <w:rsid w:val="7015157A"/>
    <w:rsid w:val="701D4B0D"/>
    <w:rsid w:val="70383787"/>
    <w:rsid w:val="703C3BBA"/>
    <w:rsid w:val="70447DBC"/>
    <w:rsid w:val="706D79CF"/>
    <w:rsid w:val="7072448A"/>
    <w:rsid w:val="707278DE"/>
    <w:rsid w:val="70794B97"/>
    <w:rsid w:val="708162E6"/>
    <w:rsid w:val="709F3E2A"/>
    <w:rsid w:val="70A55E24"/>
    <w:rsid w:val="70D0072F"/>
    <w:rsid w:val="70E94540"/>
    <w:rsid w:val="70F63C6A"/>
    <w:rsid w:val="7103367C"/>
    <w:rsid w:val="710B7B0F"/>
    <w:rsid w:val="710D763B"/>
    <w:rsid w:val="711205F9"/>
    <w:rsid w:val="712700C4"/>
    <w:rsid w:val="71491C28"/>
    <w:rsid w:val="7154053B"/>
    <w:rsid w:val="716C2AD0"/>
    <w:rsid w:val="71702D83"/>
    <w:rsid w:val="71704568"/>
    <w:rsid w:val="71791412"/>
    <w:rsid w:val="7181481E"/>
    <w:rsid w:val="71A1564E"/>
    <w:rsid w:val="71A26256"/>
    <w:rsid w:val="71B07946"/>
    <w:rsid w:val="71BA52ED"/>
    <w:rsid w:val="71E2790D"/>
    <w:rsid w:val="71FD75A5"/>
    <w:rsid w:val="720738C5"/>
    <w:rsid w:val="72082325"/>
    <w:rsid w:val="721A1658"/>
    <w:rsid w:val="721B7C23"/>
    <w:rsid w:val="721E5912"/>
    <w:rsid w:val="7232233E"/>
    <w:rsid w:val="72354097"/>
    <w:rsid w:val="72375012"/>
    <w:rsid w:val="726C36EB"/>
    <w:rsid w:val="72891AEC"/>
    <w:rsid w:val="72AF5EE7"/>
    <w:rsid w:val="72B70F36"/>
    <w:rsid w:val="72C6005B"/>
    <w:rsid w:val="72D605E9"/>
    <w:rsid w:val="72D6179B"/>
    <w:rsid w:val="72D767B5"/>
    <w:rsid w:val="72EF4476"/>
    <w:rsid w:val="73015AE4"/>
    <w:rsid w:val="730211B9"/>
    <w:rsid w:val="730307F0"/>
    <w:rsid w:val="73066736"/>
    <w:rsid w:val="73081753"/>
    <w:rsid w:val="731131DE"/>
    <w:rsid w:val="73181744"/>
    <w:rsid w:val="731D7A38"/>
    <w:rsid w:val="73277530"/>
    <w:rsid w:val="73325B95"/>
    <w:rsid w:val="734300B9"/>
    <w:rsid w:val="734E4B2E"/>
    <w:rsid w:val="73553243"/>
    <w:rsid w:val="735619F3"/>
    <w:rsid w:val="73606E60"/>
    <w:rsid w:val="736B3932"/>
    <w:rsid w:val="73734CB5"/>
    <w:rsid w:val="73865DCC"/>
    <w:rsid w:val="738666D3"/>
    <w:rsid w:val="73A078B2"/>
    <w:rsid w:val="73C444E9"/>
    <w:rsid w:val="73C900AD"/>
    <w:rsid w:val="73CB365A"/>
    <w:rsid w:val="73DB496E"/>
    <w:rsid w:val="73DD7CAA"/>
    <w:rsid w:val="73DE04B0"/>
    <w:rsid w:val="73EE07D6"/>
    <w:rsid w:val="741A2E52"/>
    <w:rsid w:val="741B0130"/>
    <w:rsid w:val="74241885"/>
    <w:rsid w:val="742C1313"/>
    <w:rsid w:val="743F1E7C"/>
    <w:rsid w:val="74485A21"/>
    <w:rsid w:val="744C282F"/>
    <w:rsid w:val="74795CF3"/>
    <w:rsid w:val="747D5F6A"/>
    <w:rsid w:val="74804D31"/>
    <w:rsid w:val="74841583"/>
    <w:rsid w:val="748E6C7C"/>
    <w:rsid w:val="749A62FC"/>
    <w:rsid w:val="74A22005"/>
    <w:rsid w:val="74A23FA1"/>
    <w:rsid w:val="74B52E2A"/>
    <w:rsid w:val="74B87F14"/>
    <w:rsid w:val="74BD52EA"/>
    <w:rsid w:val="74CF176A"/>
    <w:rsid w:val="74E0113D"/>
    <w:rsid w:val="74EE685B"/>
    <w:rsid w:val="750E30A4"/>
    <w:rsid w:val="75251FA5"/>
    <w:rsid w:val="755F4D3F"/>
    <w:rsid w:val="757D6D0D"/>
    <w:rsid w:val="75831CA0"/>
    <w:rsid w:val="75840516"/>
    <w:rsid w:val="75853E76"/>
    <w:rsid w:val="75922DA4"/>
    <w:rsid w:val="759727BC"/>
    <w:rsid w:val="75996D53"/>
    <w:rsid w:val="75A266C6"/>
    <w:rsid w:val="75AC723D"/>
    <w:rsid w:val="75BB031B"/>
    <w:rsid w:val="75BF59BB"/>
    <w:rsid w:val="75DA4FA7"/>
    <w:rsid w:val="75F4150D"/>
    <w:rsid w:val="75F54630"/>
    <w:rsid w:val="760A4D90"/>
    <w:rsid w:val="76174FBE"/>
    <w:rsid w:val="762F7BB1"/>
    <w:rsid w:val="763870FB"/>
    <w:rsid w:val="764E49DF"/>
    <w:rsid w:val="76591B67"/>
    <w:rsid w:val="765E0DF3"/>
    <w:rsid w:val="766B2A54"/>
    <w:rsid w:val="767C24B0"/>
    <w:rsid w:val="769136B0"/>
    <w:rsid w:val="76923449"/>
    <w:rsid w:val="76950565"/>
    <w:rsid w:val="769B12AE"/>
    <w:rsid w:val="76AC569E"/>
    <w:rsid w:val="76B26B05"/>
    <w:rsid w:val="76B51689"/>
    <w:rsid w:val="770208BC"/>
    <w:rsid w:val="770F3B1D"/>
    <w:rsid w:val="77255C2C"/>
    <w:rsid w:val="77327ECF"/>
    <w:rsid w:val="775577BF"/>
    <w:rsid w:val="775B5F7A"/>
    <w:rsid w:val="775E5181"/>
    <w:rsid w:val="775F623E"/>
    <w:rsid w:val="77716110"/>
    <w:rsid w:val="77775173"/>
    <w:rsid w:val="77812836"/>
    <w:rsid w:val="778E1E15"/>
    <w:rsid w:val="77BD3FC6"/>
    <w:rsid w:val="77FC1E3E"/>
    <w:rsid w:val="78123DFF"/>
    <w:rsid w:val="78195B09"/>
    <w:rsid w:val="782E7A7E"/>
    <w:rsid w:val="7832285B"/>
    <w:rsid w:val="784C217A"/>
    <w:rsid w:val="78521B99"/>
    <w:rsid w:val="78542439"/>
    <w:rsid w:val="78564344"/>
    <w:rsid w:val="785E0871"/>
    <w:rsid w:val="78661195"/>
    <w:rsid w:val="78B17328"/>
    <w:rsid w:val="78B339A1"/>
    <w:rsid w:val="78CE2F07"/>
    <w:rsid w:val="78D904A4"/>
    <w:rsid w:val="78E2532A"/>
    <w:rsid w:val="78E258A2"/>
    <w:rsid w:val="78EA457F"/>
    <w:rsid w:val="78EF04B0"/>
    <w:rsid w:val="790027BE"/>
    <w:rsid w:val="79065C1E"/>
    <w:rsid w:val="790C1682"/>
    <w:rsid w:val="79181C93"/>
    <w:rsid w:val="791A6893"/>
    <w:rsid w:val="79232348"/>
    <w:rsid w:val="792E11FA"/>
    <w:rsid w:val="793A6280"/>
    <w:rsid w:val="793D3A3F"/>
    <w:rsid w:val="79427570"/>
    <w:rsid w:val="794A2994"/>
    <w:rsid w:val="79704789"/>
    <w:rsid w:val="79854173"/>
    <w:rsid w:val="79887663"/>
    <w:rsid w:val="79963BA3"/>
    <w:rsid w:val="79AC761C"/>
    <w:rsid w:val="79B76954"/>
    <w:rsid w:val="7A024E8C"/>
    <w:rsid w:val="7A19222E"/>
    <w:rsid w:val="7A1972F1"/>
    <w:rsid w:val="7A322F4C"/>
    <w:rsid w:val="7A326F58"/>
    <w:rsid w:val="7A361450"/>
    <w:rsid w:val="7A412B75"/>
    <w:rsid w:val="7A5C5D83"/>
    <w:rsid w:val="7A642F75"/>
    <w:rsid w:val="7A652E89"/>
    <w:rsid w:val="7A654F2B"/>
    <w:rsid w:val="7A6F5AB6"/>
    <w:rsid w:val="7A7138C4"/>
    <w:rsid w:val="7A785D11"/>
    <w:rsid w:val="7AC26B4B"/>
    <w:rsid w:val="7AE71AF0"/>
    <w:rsid w:val="7AF52A81"/>
    <w:rsid w:val="7B024AEA"/>
    <w:rsid w:val="7B037FC8"/>
    <w:rsid w:val="7B05466C"/>
    <w:rsid w:val="7B0676C5"/>
    <w:rsid w:val="7B2A4339"/>
    <w:rsid w:val="7B302B5E"/>
    <w:rsid w:val="7B38234C"/>
    <w:rsid w:val="7B3F6578"/>
    <w:rsid w:val="7B416A10"/>
    <w:rsid w:val="7B514D8E"/>
    <w:rsid w:val="7B802B3D"/>
    <w:rsid w:val="7B8224D2"/>
    <w:rsid w:val="7B887FA2"/>
    <w:rsid w:val="7B8B3EEF"/>
    <w:rsid w:val="7B9E358A"/>
    <w:rsid w:val="7BA175E1"/>
    <w:rsid w:val="7BA43E85"/>
    <w:rsid w:val="7BC91F14"/>
    <w:rsid w:val="7BC9340D"/>
    <w:rsid w:val="7BCF633E"/>
    <w:rsid w:val="7BE103F2"/>
    <w:rsid w:val="7BE45625"/>
    <w:rsid w:val="7C4514C4"/>
    <w:rsid w:val="7C477F46"/>
    <w:rsid w:val="7C5E5006"/>
    <w:rsid w:val="7C626C42"/>
    <w:rsid w:val="7C75312C"/>
    <w:rsid w:val="7C7A436C"/>
    <w:rsid w:val="7C924ABE"/>
    <w:rsid w:val="7CA52CE9"/>
    <w:rsid w:val="7CA914F9"/>
    <w:rsid w:val="7CAF4D89"/>
    <w:rsid w:val="7CBA4A0A"/>
    <w:rsid w:val="7CD510C8"/>
    <w:rsid w:val="7D0250FD"/>
    <w:rsid w:val="7D033C66"/>
    <w:rsid w:val="7D20072F"/>
    <w:rsid w:val="7D23760F"/>
    <w:rsid w:val="7D2626D2"/>
    <w:rsid w:val="7D364FB1"/>
    <w:rsid w:val="7D776C01"/>
    <w:rsid w:val="7D7E4305"/>
    <w:rsid w:val="7D9655B2"/>
    <w:rsid w:val="7DB36D19"/>
    <w:rsid w:val="7DBC0A90"/>
    <w:rsid w:val="7DDB5CFC"/>
    <w:rsid w:val="7DDE31F3"/>
    <w:rsid w:val="7DF01782"/>
    <w:rsid w:val="7DF27DD8"/>
    <w:rsid w:val="7DF605CC"/>
    <w:rsid w:val="7E153EBF"/>
    <w:rsid w:val="7E2F2844"/>
    <w:rsid w:val="7E323B82"/>
    <w:rsid w:val="7E416A16"/>
    <w:rsid w:val="7E6708BB"/>
    <w:rsid w:val="7E6C5A81"/>
    <w:rsid w:val="7E720379"/>
    <w:rsid w:val="7E723DC7"/>
    <w:rsid w:val="7E7620E5"/>
    <w:rsid w:val="7E80779E"/>
    <w:rsid w:val="7E905039"/>
    <w:rsid w:val="7E9B042A"/>
    <w:rsid w:val="7EB0208F"/>
    <w:rsid w:val="7ECC4684"/>
    <w:rsid w:val="7EEB07B2"/>
    <w:rsid w:val="7EF31307"/>
    <w:rsid w:val="7EFB6CCF"/>
    <w:rsid w:val="7F03539B"/>
    <w:rsid w:val="7F354575"/>
    <w:rsid w:val="7F3C55E8"/>
    <w:rsid w:val="7F3D36B7"/>
    <w:rsid w:val="7F400943"/>
    <w:rsid w:val="7F407D09"/>
    <w:rsid w:val="7F607EF3"/>
    <w:rsid w:val="7F650F8A"/>
    <w:rsid w:val="7FAD52CD"/>
    <w:rsid w:val="7FB06AE2"/>
    <w:rsid w:val="7FBE1ECA"/>
    <w:rsid w:val="7FE33A1B"/>
    <w:rsid w:val="7FF62F69"/>
    <w:rsid w:val="7FF85803"/>
    <w:rsid w:val="7FFF78DC"/>
    <w:rsid w:val="FF7EF95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qFormat="1" w:unhideWhenUsed="0" w:uiPriority="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99" w:semiHidden="0"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autoRedefine/>
    <w:qFormat/>
    <w:uiPriority w:val="0"/>
    <w:pPr>
      <w:keepNext/>
      <w:jc w:val="center"/>
      <w:outlineLvl w:val="0"/>
    </w:pPr>
    <w:rPr>
      <w:b/>
      <w:bCs/>
      <w:kern w:val="0"/>
      <w:sz w:val="24"/>
      <w:szCs w:val="20"/>
    </w:rPr>
  </w:style>
  <w:style w:type="paragraph" w:styleId="3">
    <w:name w:val="heading 2"/>
    <w:basedOn w:val="1"/>
    <w:next w:val="1"/>
    <w:link w:val="58"/>
    <w:autoRedefine/>
    <w:qFormat/>
    <w:uiPriority w:val="0"/>
    <w:pPr>
      <w:keepNext/>
      <w:keepLines/>
      <w:spacing w:line="360" w:lineRule="auto"/>
      <w:outlineLvl w:val="1"/>
    </w:pPr>
    <w:rPr>
      <w:rFonts w:ascii="Arial" w:hAnsi="Arial"/>
      <w:b/>
      <w:bCs/>
      <w:kern w:val="0"/>
      <w:sz w:val="24"/>
      <w:szCs w:val="32"/>
    </w:rPr>
  </w:style>
  <w:style w:type="paragraph" w:styleId="4">
    <w:name w:val="heading 3"/>
    <w:basedOn w:val="1"/>
    <w:next w:val="1"/>
    <w:link w:val="59"/>
    <w:autoRedefine/>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60"/>
    <w:autoRedefine/>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7"/>
    <w:link w:val="61"/>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7"/>
    <w:link w:val="62"/>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63"/>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64"/>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65"/>
    <w:autoRedefine/>
    <w:qFormat/>
    <w:uiPriority w:val="0"/>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42">
    <w:name w:val="Default Paragraph Font"/>
    <w:semiHidden/>
    <w:unhideWhenUsed/>
    <w:qFormat/>
    <w:uiPriority w:val="1"/>
  </w:style>
  <w:style w:type="table" w:default="1" w:styleId="40">
    <w:name w:val="Normal Table"/>
    <w:autoRedefine/>
    <w:semiHidden/>
    <w:unhideWhenUsed/>
    <w:qFormat/>
    <w:uiPriority w:val="99"/>
    <w:tblPr>
      <w:tblCellMar>
        <w:top w:w="0" w:type="dxa"/>
        <w:left w:w="108" w:type="dxa"/>
        <w:bottom w:w="0" w:type="dxa"/>
        <w:right w:w="108" w:type="dxa"/>
      </w:tblCellMar>
    </w:tblPr>
  </w:style>
  <w:style w:type="paragraph" w:customStyle="1" w:styleId="7">
    <w:name w:val="正文格式"/>
    <w:basedOn w:val="1"/>
    <w:autoRedefine/>
    <w:qFormat/>
    <w:uiPriority w:val="0"/>
    <w:pPr>
      <w:spacing w:line="360" w:lineRule="atLeast"/>
      <w:ind w:firstLine="482"/>
    </w:pPr>
    <w:rPr>
      <w:sz w:val="24"/>
    </w:rPr>
  </w:style>
  <w:style w:type="paragraph" w:styleId="12">
    <w:name w:val="Normal Indent"/>
    <w:basedOn w:val="1"/>
    <w:next w:val="13"/>
    <w:autoRedefine/>
    <w:qFormat/>
    <w:uiPriority w:val="0"/>
    <w:pPr>
      <w:widowControl/>
      <w:ind w:firstLine="420"/>
      <w:jc w:val="left"/>
    </w:pPr>
    <w:rPr>
      <w:kern w:val="0"/>
      <w:sz w:val="20"/>
      <w:szCs w:val="20"/>
    </w:rPr>
  </w:style>
  <w:style w:type="paragraph" w:customStyle="1" w:styleId="13">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66"/>
    <w:autoRedefine/>
    <w:semiHidden/>
    <w:qFormat/>
    <w:uiPriority w:val="0"/>
    <w:pPr>
      <w:shd w:val="clear" w:color="auto" w:fill="000080"/>
    </w:pPr>
    <w:rPr>
      <w:kern w:val="0"/>
      <w:sz w:val="20"/>
    </w:rPr>
  </w:style>
  <w:style w:type="paragraph" w:styleId="15">
    <w:name w:val="annotation text"/>
    <w:basedOn w:val="1"/>
    <w:link w:val="67"/>
    <w:autoRedefine/>
    <w:qFormat/>
    <w:uiPriority w:val="0"/>
    <w:pPr>
      <w:jc w:val="left"/>
    </w:pPr>
    <w:rPr>
      <w:kern w:val="0"/>
      <w:sz w:val="20"/>
    </w:rPr>
  </w:style>
  <w:style w:type="paragraph" w:styleId="16">
    <w:name w:val="Salutation"/>
    <w:basedOn w:val="1"/>
    <w:next w:val="1"/>
    <w:link w:val="68"/>
    <w:autoRedefine/>
    <w:qFormat/>
    <w:uiPriority w:val="0"/>
    <w:rPr>
      <w:rFonts w:ascii="仿宋_GB2312" w:eastAsia="仿宋_GB2312"/>
      <w:kern w:val="0"/>
      <w:sz w:val="24"/>
    </w:rPr>
  </w:style>
  <w:style w:type="paragraph" w:styleId="17">
    <w:name w:val="Body Text"/>
    <w:basedOn w:val="1"/>
    <w:next w:val="18"/>
    <w:link w:val="69"/>
    <w:autoRedefine/>
    <w:qFormat/>
    <w:uiPriority w:val="0"/>
    <w:pPr>
      <w:spacing w:after="120"/>
    </w:pPr>
    <w:rPr>
      <w:kern w:val="0"/>
      <w:sz w:val="20"/>
    </w:rPr>
  </w:style>
  <w:style w:type="paragraph" w:customStyle="1" w:styleId="18">
    <w:name w:val="一级条标题"/>
    <w:basedOn w:val="19"/>
    <w:next w:val="20"/>
    <w:autoRedefine/>
    <w:qFormat/>
    <w:uiPriority w:val="0"/>
    <w:pPr>
      <w:spacing w:line="240" w:lineRule="auto"/>
      <w:ind w:left="420"/>
      <w:outlineLvl w:val="2"/>
    </w:pPr>
  </w:style>
  <w:style w:type="paragraph" w:customStyle="1" w:styleId="19">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20">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styleId="21">
    <w:name w:val="Body Text Indent"/>
    <w:basedOn w:val="1"/>
    <w:next w:val="22"/>
    <w:link w:val="70"/>
    <w:autoRedefine/>
    <w:qFormat/>
    <w:uiPriority w:val="0"/>
    <w:pPr>
      <w:spacing w:after="120"/>
      <w:ind w:left="420" w:leftChars="200"/>
    </w:pPr>
    <w:rPr>
      <w:kern w:val="0"/>
      <w:sz w:val="20"/>
    </w:rPr>
  </w:style>
  <w:style w:type="paragraph" w:styleId="22">
    <w:name w:val="Body Text Indent 2"/>
    <w:basedOn w:val="1"/>
    <w:link w:val="73"/>
    <w:autoRedefine/>
    <w:qFormat/>
    <w:uiPriority w:val="0"/>
    <w:pPr>
      <w:spacing w:after="120" w:line="480" w:lineRule="auto"/>
      <w:ind w:left="420" w:leftChars="200"/>
    </w:pPr>
    <w:rPr>
      <w:kern w:val="0"/>
      <w:sz w:val="20"/>
    </w:rPr>
  </w:style>
  <w:style w:type="paragraph" w:styleId="23">
    <w:name w:val="List Continue"/>
    <w:basedOn w:val="1"/>
    <w:autoRedefine/>
    <w:qFormat/>
    <w:uiPriority w:val="99"/>
    <w:pPr>
      <w:spacing w:after="120"/>
      <w:ind w:left="420" w:leftChars="200"/>
    </w:pPr>
    <w:rPr>
      <w:rFonts w:ascii="宋体"/>
      <w:kern w:val="0"/>
      <w:sz w:val="24"/>
      <w:szCs w:val="20"/>
    </w:rPr>
  </w:style>
  <w:style w:type="paragraph" w:styleId="24">
    <w:name w:val="Block Text"/>
    <w:basedOn w:val="1"/>
    <w:autoRedefine/>
    <w:qFormat/>
    <w:uiPriority w:val="0"/>
    <w:pPr>
      <w:ind w:left="1171" w:right="91" w:hanging="1080"/>
    </w:pPr>
    <w:rPr>
      <w:rFonts w:eastAsia="楷体_GB2312"/>
      <w:szCs w:val="20"/>
    </w:rPr>
  </w:style>
  <w:style w:type="paragraph" w:styleId="25">
    <w:name w:val="Plain Text"/>
    <w:basedOn w:val="1"/>
    <w:link w:val="71"/>
    <w:autoRedefine/>
    <w:qFormat/>
    <w:uiPriority w:val="0"/>
    <w:rPr>
      <w:rFonts w:ascii="宋体" w:hAnsi="Courier New"/>
      <w:kern w:val="0"/>
      <w:sz w:val="20"/>
      <w:szCs w:val="21"/>
    </w:rPr>
  </w:style>
  <w:style w:type="paragraph" w:styleId="26">
    <w:name w:val="Date"/>
    <w:basedOn w:val="1"/>
    <w:next w:val="1"/>
    <w:link w:val="72"/>
    <w:autoRedefine/>
    <w:qFormat/>
    <w:uiPriority w:val="0"/>
    <w:rPr>
      <w:kern w:val="0"/>
      <w:sz w:val="24"/>
      <w:szCs w:val="20"/>
    </w:rPr>
  </w:style>
  <w:style w:type="paragraph" w:styleId="27">
    <w:name w:val="Balloon Text"/>
    <w:basedOn w:val="1"/>
    <w:link w:val="74"/>
    <w:autoRedefine/>
    <w:qFormat/>
    <w:uiPriority w:val="0"/>
    <w:rPr>
      <w:kern w:val="0"/>
      <w:sz w:val="18"/>
      <w:szCs w:val="18"/>
    </w:rPr>
  </w:style>
  <w:style w:type="paragraph" w:styleId="28">
    <w:name w:val="footer"/>
    <w:basedOn w:val="1"/>
    <w:link w:val="75"/>
    <w:autoRedefine/>
    <w:qFormat/>
    <w:uiPriority w:val="99"/>
    <w:pPr>
      <w:tabs>
        <w:tab w:val="center" w:pos="4153"/>
        <w:tab w:val="right" w:pos="8306"/>
      </w:tabs>
      <w:snapToGrid w:val="0"/>
      <w:jc w:val="left"/>
    </w:pPr>
    <w:rPr>
      <w:kern w:val="0"/>
      <w:sz w:val="18"/>
      <w:szCs w:val="18"/>
    </w:rPr>
  </w:style>
  <w:style w:type="paragraph" w:styleId="29">
    <w:name w:val="header"/>
    <w:basedOn w:val="1"/>
    <w:link w:val="76"/>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autoRedefine/>
    <w:semiHidden/>
    <w:qFormat/>
    <w:uiPriority w:val="0"/>
    <w:rPr>
      <w:rFonts w:ascii="宋体" w:hAnsi="宋体"/>
      <w:szCs w:val="21"/>
    </w:rPr>
  </w:style>
  <w:style w:type="paragraph" w:styleId="31">
    <w:name w:val="toc 6"/>
    <w:basedOn w:val="1"/>
    <w:next w:val="1"/>
    <w:autoRedefine/>
    <w:semiHidden/>
    <w:qFormat/>
    <w:uiPriority w:val="0"/>
    <w:pPr>
      <w:ind w:left="2100"/>
    </w:pPr>
    <w:rPr>
      <w:szCs w:val="20"/>
    </w:rPr>
  </w:style>
  <w:style w:type="paragraph" w:styleId="32">
    <w:name w:val="Body Text Indent 3"/>
    <w:basedOn w:val="1"/>
    <w:link w:val="77"/>
    <w:autoRedefine/>
    <w:qFormat/>
    <w:uiPriority w:val="0"/>
    <w:pPr>
      <w:spacing w:after="120"/>
      <w:ind w:left="420" w:leftChars="200"/>
    </w:pPr>
    <w:rPr>
      <w:kern w:val="0"/>
      <w:sz w:val="16"/>
      <w:szCs w:val="16"/>
    </w:rPr>
  </w:style>
  <w:style w:type="paragraph" w:styleId="33">
    <w:name w:val="Body Text 2"/>
    <w:basedOn w:val="1"/>
    <w:link w:val="78"/>
    <w:autoRedefine/>
    <w:qFormat/>
    <w:uiPriority w:val="0"/>
    <w:pPr>
      <w:spacing w:after="120" w:line="480" w:lineRule="auto"/>
    </w:pPr>
    <w:rPr>
      <w:kern w:val="0"/>
      <w:sz w:val="20"/>
    </w:rPr>
  </w:style>
  <w:style w:type="paragraph" w:styleId="34">
    <w:name w:val="HTML Preformatted"/>
    <w:basedOn w:val="1"/>
    <w:link w:val="79"/>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36">
    <w:name w:val="index 1"/>
    <w:basedOn w:val="1"/>
    <w:next w:val="1"/>
    <w:autoRedefine/>
    <w:qFormat/>
    <w:uiPriority w:val="0"/>
    <w:pPr>
      <w:spacing w:line="220" w:lineRule="exact"/>
      <w:jc w:val="center"/>
    </w:pPr>
    <w:rPr>
      <w:rFonts w:ascii="仿宋_GB2312" w:eastAsia="仿宋_GB2312"/>
      <w:szCs w:val="20"/>
    </w:rPr>
  </w:style>
  <w:style w:type="paragraph" w:styleId="37">
    <w:name w:val="annotation subject"/>
    <w:basedOn w:val="15"/>
    <w:next w:val="15"/>
    <w:link w:val="80"/>
    <w:autoRedefine/>
    <w:qFormat/>
    <w:uiPriority w:val="0"/>
    <w:rPr>
      <w:b/>
      <w:bCs/>
    </w:rPr>
  </w:style>
  <w:style w:type="paragraph" w:styleId="38">
    <w:name w:val="Body Text First Indent"/>
    <w:basedOn w:val="17"/>
    <w:autoRedefine/>
    <w:qFormat/>
    <w:uiPriority w:val="0"/>
    <w:pPr>
      <w:ind w:firstLine="420" w:firstLineChars="100"/>
    </w:pPr>
  </w:style>
  <w:style w:type="paragraph" w:styleId="39">
    <w:name w:val="Body Text First Indent 2"/>
    <w:basedOn w:val="21"/>
    <w:next w:val="1"/>
    <w:autoRedefine/>
    <w:unhideWhenUsed/>
    <w:qFormat/>
    <w:uiPriority w:val="99"/>
    <w:pPr>
      <w:autoSpaceDE w:val="0"/>
      <w:autoSpaceDN w:val="0"/>
      <w:adjustRightInd w:val="0"/>
      <w:ind w:firstLine="420"/>
      <w:jc w:val="left"/>
    </w:pPr>
    <w:rPr>
      <w:rFonts w:ascii="Calibri" w:hAnsi="Calibri"/>
    </w:rPr>
  </w:style>
  <w:style w:type="table" w:styleId="41">
    <w:name w:val="Table Grid"/>
    <w:basedOn w:val="4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autoRedefine/>
    <w:qFormat/>
    <w:uiPriority w:val="0"/>
    <w:rPr>
      <w:b/>
      <w:bCs/>
    </w:rPr>
  </w:style>
  <w:style w:type="character" w:styleId="44">
    <w:name w:val="page number"/>
    <w:autoRedefine/>
    <w:qFormat/>
    <w:uiPriority w:val="0"/>
  </w:style>
  <w:style w:type="character" w:styleId="45">
    <w:name w:val="FollowedHyperlink"/>
    <w:autoRedefine/>
    <w:qFormat/>
    <w:uiPriority w:val="0"/>
    <w:rPr>
      <w:color w:val="666666"/>
      <w:u w:val="none"/>
    </w:rPr>
  </w:style>
  <w:style w:type="character" w:styleId="46">
    <w:name w:val="Emphasis"/>
    <w:autoRedefine/>
    <w:qFormat/>
    <w:uiPriority w:val="20"/>
  </w:style>
  <w:style w:type="character" w:styleId="47">
    <w:name w:val="HTML Definition"/>
    <w:autoRedefine/>
    <w:unhideWhenUsed/>
    <w:qFormat/>
    <w:uiPriority w:val="99"/>
  </w:style>
  <w:style w:type="character" w:styleId="48">
    <w:name w:val="HTML Typewriter"/>
    <w:autoRedefine/>
    <w:unhideWhenUsed/>
    <w:qFormat/>
    <w:uiPriority w:val="99"/>
    <w:rPr>
      <w:rFonts w:ascii="monospace" w:hAnsi="monospace" w:eastAsia="monospace" w:cs="monospace"/>
      <w:sz w:val="20"/>
    </w:rPr>
  </w:style>
  <w:style w:type="character" w:styleId="49">
    <w:name w:val="HTML Acronym"/>
    <w:basedOn w:val="42"/>
    <w:autoRedefine/>
    <w:unhideWhenUsed/>
    <w:qFormat/>
    <w:uiPriority w:val="99"/>
  </w:style>
  <w:style w:type="character" w:styleId="50">
    <w:name w:val="HTML Variable"/>
    <w:autoRedefine/>
    <w:unhideWhenUsed/>
    <w:qFormat/>
    <w:uiPriority w:val="99"/>
  </w:style>
  <w:style w:type="character" w:styleId="51">
    <w:name w:val="Hyperlink"/>
    <w:autoRedefine/>
    <w:qFormat/>
    <w:uiPriority w:val="99"/>
    <w:rPr>
      <w:color w:val="136EC2"/>
      <w:u w:val="single"/>
    </w:rPr>
  </w:style>
  <w:style w:type="character" w:styleId="52">
    <w:name w:val="HTML Code"/>
    <w:autoRedefine/>
    <w:unhideWhenUsed/>
    <w:qFormat/>
    <w:uiPriority w:val="99"/>
    <w:rPr>
      <w:rFonts w:hint="default" w:ascii="monospace" w:hAnsi="monospace" w:eastAsia="monospace" w:cs="monospace"/>
      <w:sz w:val="20"/>
    </w:rPr>
  </w:style>
  <w:style w:type="character" w:styleId="53">
    <w:name w:val="annotation reference"/>
    <w:autoRedefine/>
    <w:qFormat/>
    <w:uiPriority w:val="0"/>
    <w:rPr>
      <w:sz w:val="21"/>
      <w:szCs w:val="21"/>
    </w:rPr>
  </w:style>
  <w:style w:type="character" w:styleId="54">
    <w:name w:val="HTML Cite"/>
    <w:autoRedefine/>
    <w:unhideWhenUsed/>
    <w:qFormat/>
    <w:uiPriority w:val="99"/>
  </w:style>
  <w:style w:type="character" w:styleId="55">
    <w:name w:val="HTML Keyboard"/>
    <w:autoRedefine/>
    <w:unhideWhenUsed/>
    <w:qFormat/>
    <w:uiPriority w:val="99"/>
    <w:rPr>
      <w:rFonts w:hint="default" w:ascii="monospace" w:hAnsi="monospace" w:eastAsia="monospace" w:cs="monospace"/>
      <w:sz w:val="20"/>
    </w:rPr>
  </w:style>
  <w:style w:type="character" w:styleId="56">
    <w:name w:val="HTML Sample"/>
    <w:autoRedefine/>
    <w:unhideWhenUsed/>
    <w:qFormat/>
    <w:uiPriority w:val="99"/>
    <w:rPr>
      <w:rFonts w:hint="default" w:ascii="monospace" w:hAnsi="monospace" w:eastAsia="monospace" w:cs="monospace"/>
    </w:rPr>
  </w:style>
  <w:style w:type="character" w:customStyle="1" w:styleId="57">
    <w:name w:val="标题 1 Char"/>
    <w:link w:val="2"/>
    <w:autoRedefine/>
    <w:qFormat/>
    <w:uiPriority w:val="0"/>
    <w:rPr>
      <w:rFonts w:ascii="Times New Roman" w:hAnsi="Times New Roman" w:eastAsia="宋体" w:cs="Times New Roman"/>
      <w:b/>
      <w:bCs/>
      <w:sz w:val="24"/>
      <w:szCs w:val="20"/>
    </w:rPr>
  </w:style>
  <w:style w:type="character" w:customStyle="1" w:styleId="58">
    <w:name w:val="标题 2 Char"/>
    <w:link w:val="3"/>
    <w:autoRedefine/>
    <w:qFormat/>
    <w:uiPriority w:val="0"/>
    <w:rPr>
      <w:rFonts w:ascii="Arial" w:hAnsi="Arial" w:eastAsia="宋体" w:cs="Times New Roman"/>
      <w:b/>
      <w:bCs/>
      <w:sz w:val="24"/>
      <w:szCs w:val="32"/>
    </w:rPr>
  </w:style>
  <w:style w:type="character" w:customStyle="1" w:styleId="59">
    <w:name w:val="标题 3 Char"/>
    <w:link w:val="4"/>
    <w:autoRedefine/>
    <w:qFormat/>
    <w:uiPriority w:val="0"/>
    <w:rPr>
      <w:rFonts w:ascii="Times New Roman" w:hAnsi="Times New Roman" w:eastAsia="宋体" w:cs="Times New Roman"/>
      <w:b/>
      <w:bCs/>
      <w:sz w:val="32"/>
      <w:szCs w:val="32"/>
    </w:rPr>
  </w:style>
  <w:style w:type="character" w:customStyle="1" w:styleId="60">
    <w:name w:val="标题 4 Char"/>
    <w:link w:val="5"/>
    <w:autoRedefine/>
    <w:qFormat/>
    <w:uiPriority w:val="0"/>
    <w:rPr>
      <w:rFonts w:ascii="Arial" w:hAnsi="Arial" w:eastAsia="黑体" w:cs="Times New Roman"/>
      <w:b/>
      <w:bCs/>
      <w:sz w:val="28"/>
      <w:szCs w:val="28"/>
    </w:rPr>
  </w:style>
  <w:style w:type="character" w:customStyle="1" w:styleId="61">
    <w:name w:val="标题 5 Char"/>
    <w:link w:val="6"/>
    <w:autoRedefine/>
    <w:qFormat/>
    <w:uiPriority w:val="0"/>
    <w:rPr>
      <w:rFonts w:ascii="Times New Roman" w:hAnsi="Times New Roman" w:eastAsia="宋体" w:cs="Times New Roman"/>
      <w:b/>
      <w:bCs/>
      <w:kern w:val="0"/>
      <w:sz w:val="28"/>
      <w:szCs w:val="28"/>
    </w:rPr>
  </w:style>
  <w:style w:type="character" w:customStyle="1" w:styleId="62">
    <w:name w:val="标题 6 Char"/>
    <w:link w:val="8"/>
    <w:autoRedefine/>
    <w:qFormat/>
    <w:uiPriority w:val="0"/>
    <w:rPr>
      <w:rFonts w:ascii="Arial" w:hAnsi="Arial" w:eastAsia="黑体" w:cs="Times New Roman"/>
      <w:b/>
      <w:bCs/>
      <w:kern w:val="0"/>
      <w:sz w:val="24"/>
      <w:szCs w:val="24"/>
    </w:rPr>
  </w:style>
  <w:style w:type="character" w:customStyle="1" w:styleId="63">
    <w:name w:val="标题 7 Char"/>
    <w:link w:val="9"/>
    <w:autoRedefine/>
    <w:qFormat/>
    <w:uiPriority w:val="0"/>
    <w:rPr>
      <w:rFonts w:ascii="Times New Roman" w:hAnsi="Times New Roman" w:eastAsia="宋体" w:cs="Times New Roman"/>
      <w:b/>
      <w:bCs/>
      <w:kern w:val="0"/>
      <w:sz w:val="24"/>
      <w:szCs w:val="24"/>
    </w:rPr>
  </w:style>
  <w:style w:type="character" w:customStyle="1" w:styleId="64">
    <w:name w:val="标题 8 Char"/>
    <w:link w:val="10"/>
    <w:autoRedefine/>
    <w:qFormat/>
    <w:uiPriority w:val="0"/>
    <w:rPr>
      <w:rFonts w:ascii="Arial" w:hAnsi="Arial" w:eastAsia="黑体" w:cs="Times New Roman"/>
      <w:kern w:val="0"/>
      <w:sz w:val="24"/>
      <w:szCs w:val="24"/>
    </w:rPr>
  </w:style>
  <w:style w:type="character" w:customStyle="1" w:styleId="65">
    <w:name w:val="标题 9 Char"/>
    <w:link w:val="11"/>
    <w:autoRedefine/>
    <w:qFormat/>
    <w:uiPriority w:val="0"/>
    <w:rPr>
      <w:rFonts w:ascii="Arial" w:hAnsi="Arial" w:eastAsia="黑体" w:cs="Times New Roman"/>
      <w:kern w:val="0"/>
      <w:szCs w:val="21"/>
    </w:rPr>
  </w:style>
  <w:style w:type="character" w:customStyle="1" w:styleId="66">
    <w:name w:val="文档结构图 Char"/>
    <w:link w:val="14"/>
    <w:autoRedefine/>
    <w:semiHidden/>
    <w:qFormat/>
    <w:uiPriority w:val="0"/>
    <w:rPr>
      <w:rFonts w:ascii="Times New Roman" w:hAnsi="Times New Roman" w:eastAsia="宋体" w:cs="Times New Roman"/>
      <w:szCs w:val="24"/>
      <w:shd w:val="clear" w:color="auto" w:fill="000080"/>
    </w:rPr>
  </w:style>
  <w:style w:type="character" w:customStyle="1" w:styleId="67">
    <w:name w:val="批注文字 Char"/>
    <w:link w:val="15"/>
    <w:autoRedefine/>
    <w:semiHidden/>
    <w:qFormat/>
    <w:uiPriority w:val="0"/>
    <w:rPr>
      <w:rFonts w:ascii="Times New Roman" w:hAnsi="Times New Roman" w:eastAsia="宋体" w:cs="Times New Roman"/>
      <w:szCs w:val="24"/>
    </w:rPr>
  </w:style>
  <w:style w:type="character" w:customStyle="1" w:styleId="68">
    <w:name w:val="称呼 Char"/>
    <w:link w:val="16"/>
    <w:autoRedefine/>
    <w:qFormat/>
    <w:uiPriority w:val="0"/>
    <w:rPr>
      <w:rFonts w:ascii="仿宋_GB2312" w:hAnsi="Times New Roman" w:eastAsia="仿宋_GB2312" w:cs="Times New Roman"/>
      <w:sz w:val="24"/>
      <w:szCs w:val="24"/>
    </w:rPr>
  </w:style>
  <w:style w:type="character" w:customStyle="1" w:styleId="69">
    <w:name w:val="正文文本 Char"/>
    <w:link w:val="17"/>
    <w:autoRedefine/>
    <w:qFormat/>
    <w:uiPriority w:val="0"/>
    <w:rPr>
      <w:rFonts w:ascii="Times New Roman" w:hAnsi="Times New Roman" w:eastAsia="宋体" w:cs="Times New Roman"/>
      <w:szCs w:val="24"/>
    </w:rPr>
  </w:style>
  <w:style w:type="character" w:customStyle="1" w:styleId="70">
    <w:name w:val="正文文本缩进 Char"/>
    <w:link w:val="21"/>
    <w:autoRedefine/>
    <w:qFormat/>
    <w:uiPriority w:val="0"/>
    <w:rPr>
      <w:rFonts w:ascii="Times New Roman" w:hAnsi="Times New Roman" w:eastAsia="宋体" w:cs="Times New Roman"/>
      <w:szCs w:val="24"/>
    </w:rPr>
  </w:style>
  <w:style w:type="character" w:customStyle="1" w:styleId="71">
    <w:name w:val="纯文本 Char"/>
    <w:link w:val="25"/>
    <w:autoRedefine/>
    <w:qFormat/>
    <w:uiPriority w:val="0"/>
    <w:rPr>
      <w:rFonts w:ascii="宋体" w:hAnsi="Courier New" w:eastAsia="宋体" w:cs="Courier New"/>
      <w:szCs w:val="21"/>
    </w:rPr>
  </w:style>
  <w:style w:type="character" w:customStyle="1" w:styleId="72">
    <w:name w:val="日期 Char"/>
    <w:link w:val="26"/>
    <w:autoRedefine/>
    <w:qFormat/>
    <w:uiPriority w:val="0"/>
    <w:rPr>
      <w:rFonts w:ascii="Times New Roman" w:hAnsi="Times New Roman" w:eastAsia="宋体" w:cs="Times New Roman"/>
      <w:sz w:val="24"/>
      <w:szCs w:val="20"/>
    </w:rPr>
  </w:style>
  <w:style w:type="character" w:customStyle="1" w:styleId="73">
    <w:name w:val="正文文本缩进 2 Char"/>
    <w:link w:val="22"/>
    <w:autoRedefine/>
    <w:qFormat/>
    <w:uiPriority w:val="0"/>
    <w:rPr>
      <w:rFonts w:ascii="Times New Roman" w:hAnsi="Times New Roman" w:eastAsia="宋体" w:cs="Times New Roman"/>
      <w:szCs w:val="24"/>
    </w:rPr>
  </w:style>
  <w:style w:type="character" w:customStyle="1" w:styleId="74">
    <w:name w:val="批注框文本 Char"/>
    <w:link w:val="27"/>
    <w:autoRedefine/>
    <w:qFormat/>
    <w:uiPriority w:val="0"/>
    <w:rPr>
      <w:rFonts w:ascii="Times New Roman" w:hAnsi="Times New Roman" w:eastAsia="宋体" w:cs="Times New Roman"/>
      <w:sz w:val="18"/>
      <w:szCs w:val="18"/>
    </w:rPr>
  </w:style>
  <w:style w:type="character" w:customStyle="1" w:styleId="75">
    <w:name w:val="页脚 Char"/>
    <w:link w:val="28"/>
    <w:autoRedefine/>
    <w:qFormat/>
    <w:uiPriority w:val="99"/>
    <w:rPr>
      <w:rFonts w:ascii="Times New Roman" w:hAnsi="Times New Roman" w:eastAsia="宋体" w:cs="Times New Roman"/>
      <w:sz w:val="18"/>
      <w:szCs w:val="18"/>
    </w:rPr>
  </w:style>
  <w:style w:type="character" w:customStyle="1" w:styleId="76">
    <w:name w:val="页眉 Char"/>
    <w:link w:val="29"/>
    <w:autoRedefine/>
    <w:qFormat/>
    <w:uiPriority w:val="0"/>
    <w:rPr>
      <w:rFonts w:ascii="Times New Roman" w:hAnsi="Times New Roman" w:eastAsia="宋体" w:cs="Times New Roman"/>
      <w:sz w:val="18"/>
      <w:szCs w:val="18"/>
    </w:rPr>
  </w:style>
  <w:style w:type="character" w:customStyle="1" w:styleId="77">
    <w:name w:val="正文文本缩进 3 Char"/>
    <w:link w:val="32"/>
    <w:autoRedefine/>
    <w:qFormat/>
    <w:uiPriority w:val="0"/>
    <w:rPr>
      <w:rFonts w:ascii="Times New Roman" w:hAnsi="Times New Roman" w:eastAsia="宋体" w:cs="Times New Roman"/>
      <w:sz w:val="16"/>
      <w:szCs w:val="16"/>
    </w:rPr>
  </w:style>
  <w:style w:type="character" w:customStyle="1" w:styleId="78">
    <w:name w:val="正文文本 2 Char"/>
    <w:link w:val="33"/>
    <w:autoRedefine/>
    <w:qFormat/>
    <w:uiPriority w:val="0"/>
    <w:rPr>
      <w:rFonts w:ascii="Times New Roman" w:hAnsi="Times New Roman" w:eastAsia="宋体" w:cs="Times New Roman"/>
      <w:szCs w:val="24"/>
    </w:rPr>
  </w:style>
  <w:style w:type="character" w:customStyle="1" w:styleId="79">
    <w:name w:val="HTML 预设格式 Char"/>
    <w:link w:val="34"/>
    <w:autoRedefine/>
    <w:qFormat/>
    <w:uiPriority w:val="0"/>
    <w:rPr>
      <w:rFonts w:ascii="Arial" w:hAnsi="Arial" w:eastAsia="宋体" w:cs="Arial"/>
      <w:kern w:val="0"/>
      <w:sz w:val="24"/>
      <w:szCs w:val="24"/>
    </w:rPr>
  </w:style>
  <w:style w:type="character" w:customStyle="1" w:styleId="80">
    <w:name w:val="批注主题 Char"/>
    <w:link w:val="37"/>
    <w:autoRedefine/>
    <w:qFormat/>
    <w:uiPriority w:val="0"/>
    <w:rPr>
      <w:rFonts w:ascii="Times New Roman" w:hAnsi="Times New Roman" w:eastAsia="宋体" w:cs="Times New Roman"/>
      <w:b/>
      <w:bCs/>
      <w:szCs w:val="24"/>
    </w:rPr>
  </w:style>
  <w:style w:type="character" w:customStyle="1" w:styleId="81">
    <w:name w:val="bsharetext"/>
    <w:autoRedefine/>
    <w:qFormat/>
    <w:uiPriority w:val="0"/>
  </w:style>
  <w:style w:type="character" w:customStyle="1" w:styleId="82">
    <w:name w:val="wx-space"/>
    <w:autoRedefine/>
    <w:qFormat/>
    <w:uiPriority w:val="0"/>
  </w:style>
  <w:style w:type="character" w:customStyle="1" w:styleId="83">
    <w:name w:val="15"/>
    <w:autoRedefine/>
    <w:qFormat/>
    <w:uiPriority w:val="0"/>
    <w:rPr>
      <w:rFonts w:hint="default" w:ascii="Times New Roman" w:hAnsi="Times New Roman" w:cs="Times New Roman"/>
      <w:color w:val="0563C1"/>
      <w:sz w:val="20"/>
      <w:szCs w:val="20"/>
      <w:u w:val="single"/>
    </w:rPr>
  </w:style>
  <w:style w:type="character" w:customStyle="1" w:styleId="84">
    <w:name w:val="hover4"/>
    <w:autoRedefine/>
    <w:qFormat/>
    <w:uiPriority w:val="0"/>
    <w:rPr>
      <w:color w:val="000000"/>
      <w:shd w:val="clear" w:color="auto" w:fill="FFFFFF"/>
    </w:rPr>
  </w:style>
  <w:style w:type="character" w:customStyle="1" w:styleId="85">
    <w:name w:val="wx-space1"/>
    <w:autoRedefine/>
    <w:qFormat/>
    <w:uiPriority w:val="0"/>
  </w:style>
  <w:style w:type="character" w:customStyle="1" w:styleId="86">
    <w:name w:val="hover7"/>
    <w:autoRedefine/>
    <w:qFormat/>
    <w:uiPriority w:val="0"/>
    <w:rPr>
      <w:color w:val="000000"/>
      <w:shd w:val="clear" w:color="auto" w:fill="FFFFFF"/>
    </w:rPr>
  </w:style>
  <w:style w:type="character" w:customStyle="1" w:styleId="87">
    <w:name w:val="font51"/>
    <w:autoRedefine/>
    <w:qFormat/>
    <w:uiPriority w:val="0"/>
    <w:rPr>
      <w:rFonts w:hint="eastAsia" w:ascii="宋体" w:hAnsi="宋体" w:eastAsia="宋体" w:cs="宋体"/>
      <w:b/>
      <w:color w:val="000000"/>
      <w:sz w:val="22"/>
      <w:szCs w:val="22"/>
      <w:u w:val="none"/>
    </w:rPr>
  </w:style>
  <w:style w:type="character" w:customStyle="1" w:styleId="88">
    <w:name w:val="font41"/>
    <w:autoRedefine/>
    <w:qFormat/>
    <w:uiPriority w:val="0"/>
    <w:rPr>
      <w:rFonts w:hint="eastAsia" w:ascii="宋体" w:hAnsi="宋体" w:eastAsia="宋体" w:cs="宋体"/>
      <w:color w:val="000000"/>
      <w:sz w:val="20"/>
      <w:szCs w:val="20"/>
      <w:u w:val="none"/>
    </w:rPr>
  </w:style>
  <w:style w:type="character" w:customStyle="1" w:styleId="89">
    <w:name w:val="p0 Char"/>
    <w:link w:val="90"/>
    <w:autoRedefine/>
    <w:qFormat/>
    <w:uiPriority w:val="0"/>
    <w:rPr>
      <w:rFonts w:eastAsia="宋体"/>
      <w:szCs w:val="21"/>
    </w:rPr>
  </w:style>
  <w:style w:type="paragraph" w:customStyle="1" w:styleId="90">
    <w:name w:val="p0"/>
    <w:basedOn w:val="1"/>
    <w:link w:val="89"/>
    <w:autoRedefine/>
    <w:qFormat/>
    <w:uiPriority w:val="0"/>
    <w:pPr>
      <w:widowControl/>
    </w:pPr>
    <w:rPr>
      <w:kern w:val="0"/>
      <w:sz w:val="20"/>
      <w:szCs w:val="21"/>
    </w:rPr>
  </w:style>
  <w:style w:type="character" w:customStyle="1" w:styleId="91">
    <w:name w:val="font11"/>
    <w:autoRedefine/>
    <w:qFormat/>
    <w:uiPriority w:val="0"/>
    <w:rPr>
      <w:rFonts w:hint="eastAsia" w:ascii="宋体" w:hAnsi="宋体" w:eastAsia="宋体" w:cs="宋体"/>
      <w:color w:val="FF0000"/>
      <w:sz w:val="20"/>
      <w:szCs w:val="20"/>
      <w:u w:val="none"/>
    </w:rPr>
  </w:style>
  <w:style w:type="character" w:customStyle="1" w:styleId="92">
    <w:name w:val="hover5"/>
    <w:autoRedefine/>
    <w:qFormat/>
    <w:uiPriority w:val="0"/>
    <w:rPr>
      <w:color w:val="000000"/>
      <w:shd w:val="clear" w:color="auto" w:fill="FFFFFF"/>
    </w:rPr>
  </w:style>
  <w:style w:type="paragraph" w:styleId="93">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94">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95">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customStyle="1" w:styleId="96">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7">
    <w:name w:val="Char1 Char Char Char 字元 Char Char 字元 Char 字元 Char1 Char Char Char"/>
    <w:basedOn w:val="1"/>
    <w:autoRedefine/>
    <w:qFormat/>
    <w:uiPriority w:val="0"/>
    <w:rPr>
      <w:szCs w:val="20"/>
    </w:rPr>
  </w:style>
  <w:style w:type="paragraph" w:customStyle="1" w:styleId="98">
    <w:name w:val="Other|1"/>
    <w:basedOn w:val="1"/>
    <w:autoRedefine/>
    <w:qFormat/>
    <w:uiPriority w:val="0"/>
    <w:pPr>
      <w:ind w:firstLine="170"/>
      <w:jc w:val="left"/>
    </w:pPr>
    <w:rPr>
      <w:sz w:val="22"/>
      <w:lang w:val="zh-TW" w:eastAsia="zh-TW" w:bidi="zh-TW"/>
    </w:rPr>
  </w:style>
  <w:style w:type="paragraph" w:customStyle="1" w:styleId="99">
    <w:name w:val="1"/>
    <w:basedOn w:val="1"/>
    <w:autoRedefine/>
    <w:qFormat/>
    <w:uiPriority w:val="0"/>
    <w:pPr>
      <w:spacing w:afterLines="50" w:line="360" w:lineRule="auto"/>
    </w:pPr>
    <w:rPr>
      <w:rFonts w:ascii="宋体" w:hAnsi="宋体"/>
      <w:b/>
      <w:sz w:val="30"/>
      <w:szCs w:val="21"/>
    </w:rPr>
  </w:style>
  <w:style w:type="paragraph" w:customStyle="1" w:styleId="10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01">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2">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styleId="103">
    <w:name w:val="List Paragraph"/>
    <w:basedOn w:val="1"/>
    <w:autoRedefine/>
    <w:qFormat/>
    <w:uiPriority w:val="34"/>
    <w:pPr>
      <w:ind w:firstLine="420" w:firstLineChars="200"/>
    </w:pPr>
  </w:style>
  <w:style w:type="paragraph" w:customStyle="1" w:styleId="104">
    <w:name w:val="正文1"/>
    <w:autoRedefine/>
    <w:qFormat/>
    <w:uiPriority w:val="0"/>
    <w:pPr>
      <w:widowControl w:val="0"/>
      <w:adjustRightInd w:val="0"/>
      <w:spacing w:line="312" w:lineRule="atLeast"/>
      <w:jc w:val="both"/>
    </w:pPr>
    <w:rPr>
      <w:rFonts w:ascii="宋体" w:hAnsi="Calibri" w:eastAsia="宋体" w:cs="Times New Roman"/>
      <w:kern w:val="2"/>
      <w:sz w:val="28"/>
      <w:szCs w:val="22"/>
      <w:lang w:val="en-US" w:eastAsia="zh-CN" w:bidi="ar-SA"/>
    </w:rPr>
  </w:style>
  <w:style w:type="paragraph" w:customStyle="1" w:styleId="105">
    <w:name w:val="Char Char1 Char Char Char Char Char1 Char Char Char Char"/>
    <w:basedOn w:val="14"/>
    <w:autoRedefine/>
    <w:qFormat/>
    <w:uiPriority w:val="0"/>
    <w:rPr>
      <w:rFonts w:ascii="Tahoma" w:hAnsi="Tahoma"/>
    </w:rPr>
  </w:style>
  <w:style w:type="paragraph" w:customStyle="1" w:styleId="106">
    <w:name w:val="样式1"/>
    <w:basedOn w:val="1"/>
    <w:autoRedefine/>
    <w:qFormat/>
    <w:uiPriority w:val="0"/>
    <w:pPr>
      <w:tabs>
        <w:tab w:val="left" w:pos="360"/>
      </w:tabs>
      <w:adjustRightInd w:val="0"/>
      <w:ind w:left="360" w:hanging="360"/>
      <w:textAlignment w:val="baseline"/>
    </w:pPr>
    <w:rPr>
      <w:rFonts w:ascii="宋体" w:hAnsi="宋体"/>
      <w:kern w:val="0"/>
      <w:szCs w:val="21"/>
    </w:rPr>
  </w:style>
  <w:style w:type="paragraph" w:customStyle="1" w:styleId="107">
    <w:name w:val="Normal_0_4"/>
    <w:autoRedefine/>
    <w:qFormat/>
    <w:uiPriority w:val="0"/>
    <w:rPr>
      <w:rFonts w:ascii="Times New Roman" w:hAnsi="Times New Roman" w:eastAsia="Times New Roman" w:cs="Times New Roman"/>
      <w:sz w:val="24"/>
      <w:szCs w:val="24"/>
      <w:lang w:val="en-US" w:eastAsia="zh-CN" w:bidi="ar-SA"/>
    </w:rPr>
  </w:style>
  <w:style w:type="paragraph" w:customStyle="1" w:styleId="108">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109">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0">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1">
    <w:name w:val="2级标题"/>
    <w:next w:val="1"/>
    <w:autoRedefine/>
    <w:qFormat/>
    <w:uiPriority w:val="0"/>
    <w:pPr>
      <w:spacing w:afterLines="50"/>
      <w:jc w:val="center"/>
      <w:outlineLvl w:val="1"/>
    </w:pPr>
    <w:rPr>
      <w:rFonts w:ascii="Calibri Light" w:hAnsi="Calibri Light" w:eastAsia="仿宋" w:cs="Times New Roman"/>
      <w:b/>
      <w:kern w:val="44"/>
      <w:sz w:val="28"/>
      <w:szCs w:val="44"/>
      <w:lang w:val="en-US" w:eastAsia="zh-CN" w:bidi="ar-SA"/>
    </w:rPr>
  </w:style>
  <w:style w:type="paragraph" w:customStyle="1" w:styleId="112">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3">
    <w:name w:val="Char"/>
    <w:basedOn w:val="1"/>
    <w:autoRedefine/>
    <w:qFormat/>
    <w:uiPriority w:val="0"/>
    <w:pPr>
      <w:tabs>
        <w:tab w:val="left" w:pos="360"/>
      </w:tabs>
      <w:ind w:left="360" w:hanging="360" w:hangingChars="200"/>
    </w:pPr>
    <w:rPr>
      <w:sz w:val="24"/>
    </w:rPr>
  </w:style>
  <w:style w:type="paragraph" w:customStyle="1" w:styleId="114">
    <w:name w:val="UserStyle_0"/>
    <w:autoRedefine/>
    <w:qFormat/>
    <w:uiPriority w:val="0"/>
    <w:pPr>
      <w:spacing w:after="200" w:line="276" w:lineRule="auto"/>
      <w:textAlignment w:val="baseline"/>
    </w:pPr>
    <w:rPr>
      <w:rFonts w:ascii="Arial" w:hAnsi="Arial" w:eastAsia="宋体" w:cs="Times New Roman"/>
      <w:color w:val="000000"/>
      <w:sz w:val="24"/>
      <w:szCs w:val="24"/>
      <w:lang w:val="en-US" w:eastAsia="zh-CN" w:bidi="ar-SA"/>
    </w:rPr>
  </w:style>
  <w:style w:type="paragraph" w:customStyle="1" w:styleId="115">
    <w:name w:val="Normal_8"/>
    <w:autoRedefine/>
    <w:qFormat/>
    <w:uiPriority w:val="0"/>
    <w:rPr>
      <w:rFonts w:ascii="Times New Roman" w:hAnsi="Times New Roman" w:eastAsia="Times New Roman" w:cs="Times New Roman"/>
      <w:sz w:val="24"/>
      <w:szCs w:val="24"/>
      <w:lang w:val="en-US" w:eastAsia="zh-CN" w:bidi="ar-SA"/>
    </w:rPr>
  </w:style>
  <w:style w:type="paragraph" w:customStyle="1" w:styleId="116">
    <w:name w:val="Body text|1"/>
    <w:basedOn w:val="1"/>
    <w:autoRedefine/>
    <w:qFormat/>
    <w:uiPriority w:val="0"/>
    <w:pPr>
      <w:spacing w:line="360" w:lineRule="auto"/>
      <w:ind w:firstLine="400"/>
      <w:jc w:val="left"/>
    </w:pPr>
    <w:rPr>
      <w:rFonts w:ascii="宋体" w:hAnsi="宋体" w:cs="宋体"/>
      <w:sz w:val="26"/>
      <w:szCs w:val="26"/>
      <w:lang w:val="zh-TW" w:eastAsia="zh-TW" w:bidi="zh-TW"/>
    </w:rPr>
  </w:style>
  <w:style w:type="paragraph" w:customStyle="1" w:styleId="117">
    <w:name w:val="标题 1 +"/>
    <w:basedOn w:val="2"/>
    <w:next w:val="1"/>
    <w:autoRedefine/>
    <w:qFormat/>
    <w:uiPriority w:val="0"/>
    <w:pPr>
      <w:keepLines/>
      <w:spacing w:line="600" w:lineRule="auto"/>
    </w:pPr>
    <w:rPr>
      <w:rFonts w:eastAsia="黑体"/>
      <w:sz w:val="32"/>
      <w:szCs w:val="32"/>
    </w:rPr>
  </w:style>
  <w:style w:type="paragraph" w:customStyle="1" w:styleId="118">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9">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20">
    <w:name w:val="正文缩进1"/>
    <w:basedOn w:val="1"/>
    <w:autoRedefine/>
    <w:qFormat/>
    <w:uiPriority w:val="0"/>
    <w:pPr>
      <w:widowControl/>
      <w:ind w:firstLine="420"/>
      <w:jc w:val="left"/>
    </w:pPr>
    <w:rPr>
      <w:kern w:val="0"/>
    </w:rPr>
  </w:style>
  <w:style w:type="paragraph" w:customStyle="1" w:styleId="121">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122">
    <w:name w:val="表格内容"/>
    <w:basedOn w:val="17"/>
    <w:autoRedefine/>
    <w:qFormat/>
    <w:uiPriority w:val="0"/>
    <w:pPr>
      <w:suppressLineNumbers/>
      <w:suppressAutoHyphens/>
      <w:jc w:val="left"/>
    </w:pPr>
    <w:rPr>
      <w:rFonts w:cs="Tahoma"/>
      <w:sz w:val="24"/>
    </w:rPr>
  </w:style>
  <w:style w:type="paragraph" w:customStyle="1" w:styleId="123">
    <w:name w:val="Char Char Char"/>
    <w:basedOn w:val="1"/>
    <w:autoRedefine/>
    <w:qFormat/>
    <w:uiPriority w:val="0"/>
    <w:rPr>
      <w:rFonts w:ascii="宋体" w:hAnsi="宋体"/>
      <w:b/>
      <w:sz w:val="28"/>
      <w:szCs w:val="28"/>
    </w:rPr>
  </w:style>
  <w:style w:type="paragraph" w:customStyle="1" w:styleId="124">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25">
    <w:name w:val="列出段落1"/>
    <w:next w:val="1"/>
    <w:link w:val="126"/>
    <w:autoRedefine/>
    <w:qFormat/>
    <w:uiPriority w:val="0"/>
    <w:pPr>
      <w:ind w:firstLine="420" w:firstLineChars="200"/>
    </w:pPr>
    <w:rPr>
      <w:rFonts w:ascii="宋体" w:hAnsi="微软雅黑" w:eastAsia="宋体" w:cs="仿宋"/>
      <w:color w:val="000000"/>
      <w:sz w:val="32"/>
      <w:szCs w:val="32"/>
      <w:lang w:val="en-US" w:eastAsia="zh-CN" w:bidi="ar-SA"/>
    </w:rPr>
  </w:style>
  <w:style w:type="character" w:customStyle="1" w:styleId="126">
    <w:name w:val="列出段落 字符"/>
    <w:link w:val="125"/>
    <w:autoRedefine/>
    <w:qFormat/>
    <w:uiPriority w:val="0"/>
    <w:rPr>
      <w:rFonts w:ascii="宋体" w:hAnsi="微软雅黑" w:cs="仿宋"/>
      <w:color w:val="000000"/>
      <w:sz w:val="32"/>
      <w:szCs w:val="32"/>
    </w:rPr>
  </w:style>
  <w:style w:type="paragraph" w:customStyle="1" w:styleId="127">
    <w:name w:val="WPSOffice手动目录 1"/>
    <w:autoRedefine/>
    <w:qFormat/>
    <w:uiPriority w:val="0"/>
    <w:rPr>
      <w:rFonts w:ascii="Times New Roman" w:hAnsi="Times New Roman" w:eastAsia="宋体" w:cs="Times New Roman"/>
      <w:lang w:val="en-US" w:eastAsia="zh-CN" w:bidi="ar-SA"/>
    </w:rPr>
  </w:style>
  <w:style w:type="paragraph" w:customStyle="1" w:styleId="128">
    <w:name w:val="中等深浅网格 1 - 着色 21"/>
    <w:basedOn w:val="1"/>
    <w:autoRedefine/>
    <w:qFormat/>
    <w:uiPriority w:val="0"/>
    <w:pPr>
      <w:ind w:firstLine="420" w:firstLineChars="200"/>
    </w:pPr>
  </w:style>
  <w:style w:type="paragraph" w:customStyle="1" w:styleId="129">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130">
    <w:name w:val="p16"/>
    <w:basedOn w:val="1"/>
    <w:autoRedefine/>
    <w:qFormat/>
    <w:uiPriority w:val="0"/>
    <w:pPr>
      <w:widowControl/>
      <w:jc w:val="left"/>
    </w:pPr>
    <w:rPr>
      <w:kern w:val="0"/>
      <w:szCs w:val="21"/>
    </w:rPr>
  </w:style>
  <w:style w:type="paragraph" w:customStyle="1" w:styleId="131">
    <w:name w:val="正文（缩进）"/>
    <w:basedOn w:val="1"/>
    <w:autoRedefine/>
    <w:qFormat/>
    <w:uiPriority w:val="0"/>
    <w:pPr>
      <w:spacing w:beforeLines="50" w:afterLines="50" w:line="360" w:lineRule="auto"/>
      <w:ind w:firstLine="480" w:firstLineChars="200"/>
    </w:pPr>
    <w:rPr>
      <w:sz w:val="24"/>
    </w:rPr>
  </w:style>
  <w:style w:type="paragraph" w:customStyle="1" w:styleId="132">
    <w:name w:val="Char Char Char Char Char Char Char"/>
    <w:basedOn w:val="1"/>
    <w:autoRedefine/>
    <w:qFormat/>
    <w:uiPriority w:val="0"/>
    <w:pPr>
      <w:snapToGrid w:val="0"/>
      <w:spacing w:line="360" w:lineRule="auto"/>
      <w:ind w:firstLine="200" w:firstLineChars="200"/>
    </w:pPr>
    <w:rPr>
      <w:rFonts w:eastAsia="仿宋_GB2312"/>
      <w:sz w:val="24"/>
    </w:rPr>
  </w:style>
  <w:style w:type="character" w:customStyle="1" w:styleId="133">
    <w:name w:val="hover6"/>
    <w:autoRedefine/>
    <w:qFormat/>
    <w:uiPriority w:val="0"/>
    <w:rPr>
      <w:color w:val="000000"/>
      <w:shd w:val="clear" w:color="auto" w:fill="FFFFFF"/>
    </w:rPr>
  </w:style>
  <w:style w:type="character" w:customStyle="1" w:styleId="134">
    <w:name w:val="标题 1 字符"/>
    <w:autoRedefine/>
    <w:qFormat/>
    <w:uiPriority w:val="0"/>
    <w:rPr>
      <w:rFonts w:ascii="宋体" w:hAnsi="宋体" w:eastAsia="宋体" w:cs="Times New Roman"/>
      <w:b/>
      <w:kern w:val="44"/>
      <w:sz w:val="30"/>
      <w:szCs w:val="32"/>
    </w:rPr>
  </w:style>
  <w:style w:type="character" w:customStyle="1" w:styleId="135">
    <w:name w:val="标题 2 字符"/>
    <w:autoRedefine/>
    <w:qFormat/>
    <w:uiPriority w:val="0"/>
    <w:rPr>
      <w:rFonts w:ascii="宋体" w:hAnsi="宋体" w:eastAsia="宋体" w:cs="Times New Roman"/>
      <w:kern w:val="44"/>
      <w:sz w:val="28"/>
      <w:szCs w:val="28"/>
    </w:rPr>
  </w:style>
  <w:style w:type="character" w:customStyle="1" w:styleId="136">
    <w:name w:val="标题 3 字符"/>
    <w:autoRedefine/>
    <w:qFormat/>
    <w:uiPriority w:val="0"/>
    <w:rPr>
      <w:rFonts w:ascii="宋体" w:hAnsi="宋体" w:eastAsia="宋体" w:cs="Times New Roman"/>
      <w:kern w:val="44"/>
      <w:sz w:val="28"/>
      <w:szCs w:val="24"/>
    </w:rPr>
  </w:style>
  <w:style w:type="character" w:customStyle="1" w:styleId="137">
    <w:name w:val="标题 4 字符"/>
    <w:autoRedefine/>
    <w:qFormat/>
    <w:uiPriority w:val="0"/>
    <w:rPr>
      <w:rFonts w:ascii="宋体" w:hAnsi="宋体" w:eastAsia="宋体" w:cs="Times New Roman"/>
      <w:kern w:val="44"/>
      <w:sz w:val="28"/>
      <w:szCs w:val="32"/>
    </w:rPr>
  </w:style>
  <w:style w:type="character" w:customStyle="1" w:styleId="138">
    <w:name w:val="标题 5 字符"/>
    <w:autoRedefine/>
    <w:qFormat/>
    <w:uiPriority w:val="0"/>
    <w:rPr>
      <w:rFonts w:ascii="宋体" w:hAnsi="宋体" w:eastAsia="宋体" w:cs="Times New Roman"/>
      <w:kern w:val="44"/>
      <w:sz w:val="28"/>
      <w:szCs w:val="32"/>
    </w:rPr>
  </w:style>
  <w:style w:type="character" w:customStyle="1" w:styleId="139">
    <w:name w:val="标题 6 字符"/>
    <w:autoRedefine/>
    <w:qFormat/>
    <w:uiPriority w:val="0"/>
    <w:rPr>
      <w:rFonts w:ascii="宋体" w:hAnsi="等线 Light" w:eastAsia="宋体" w:cs="Times New Roman"/>
      <w:b/>
      <w:bCs/>
      <w:kern w:val="2"/>
      <w:sz w:val="32"/>
      <w:szCs w:val="24"/>
    </w:rPr>
  </w:style>
  <w:style w:type="character" w:customStyle="1" w:styleId="140">
    <w:name w:val="标题 7 字符1"/>
    <w:autoRedefine/>
    <w:qFormat/>
    <w:uiPriority w:val="0"/>
    <w:rPr>
      <w:rFonts w:ascii="仿宋_GB2312" w:hAnsi="Times New Roman" w:eastAsia="仿宋_GB2312" w:cs="Times New Roman"/>
      <w:b/>
      <w:bCs/>
      <w:color w:val="10000A"/>
      <w:sz w:val="24"/>
      <w:szCs w:val="24"/>
    </w:rPr>
  </w:style>
  <w:style w:type="character" w:customStyle="1" w:styleId="141">
    <w:name w:val="标题 8 字符1"/>
    <w:autoRedefine/>
    <w:qFormat/>
    <w:uiPriority w:val="0"/>
    <w:rPr>
      <w:rFonts w:ascii="等线 Light" w:hAnsi="等线 Light" w:eastAsia="等线 Light" w:cs="Times New Roman"/>
      <w:color w:val="10000A"/>
      <w:sz w:val="24"/>
      <w:szCs w:val="24"/>
    </w:rPr>
  </w:style>
  <w:style w:type="character" w:customStyle="1" w:styleId="142">
    <w:name w:val="标题 9 字符"/>
    <w:autoRedefine/>
    <w:qFormat/>
    <w:uiPriority w:val="0"/>
    <w:rPr>
      <w:rFonts w:ascii="Cambria" w:hAnsi="Cambria" w:eastAsia="宋体" w:cs="Times New Roman"/>
      <w:kern w:val="2"/>
      <w:sz w:val="21"/>
      <w:szCs w:val="21"/>
    </w:rPr>
  </w:style>
  <w:style w:type="character" w:customStyle="1" w:styleId="143">
    <w:name w:val="批注文字 字符"/>
    <w:autoRedefine/>
    <w:qFormat/>
    <w:uiPriority w:val="0"/>
    <w:rPr>
      <w:rFonts w:ascii="仿宋_GB2312" w:hAnsi="Times New Roman" w:eastAsia="仿宋_GB2312" w:cs="Times New Roman"/>
      <w:color w:val="10000A"/>
      <w:sz w:val="32"/>
    </w:rPr>
  </w:style>
  <w:style w:type="character" w:customStyle="1" w:styleId="144">
    <w:name w:val="正文文本 字符1"/>
    <w:autoRedefine/>
    <w:qFormat/>
    <w:uiPriority w:val="0"/>
    <w:rPr>
      <w:rFonts w:ascii="仿宋_GB2312" w:hAnsi="Times New Roman" w:eastAsia="仿宋_GB2312" w:cs="Times New Roman"/>
      <w:color w:val="10000A"/>
      <w:sz w:val="32"/>
    </w:rPr>
  </w:style>
  <w:style w:type="character" w:customStyle="1" w:styleId="145">
    <w:name w:val="批注框文本 字符"/>
    <w:autoRedefine/>
    <w:qFormat/>
    <w:uiPriority w:val="0"/>
    <w:rPr>
      <w:rFonts w:ascii="仿宋_GB2312" w:hAnsi="Times New Roman" w:eastAsia="仿宋_GB2312" w:cs="Times New Roman"/>
      <w:color w:val="10000A"/>
      <w:sz w:val="18"/>
      <w:szCs w:val="18"/>
    </w:rPr>
  </w:style>
  <w:style w:type="character" w:customStyle="1" w:styleId="146">
    <w:name w:val="页脚 字符"/>
    <w:autoRedefine/>
    <w:qFormat/>
    <w:uiPriority w:val="0"/>
    <w:rPr>
      <w:rFonts w:ascii="仿宋_GB2312" w:hAnsi="仿宋_GB2312" w:eastAsia="仿宋_GB2312" w:cs="Times New Roman"/>
      <w:color w:val="10000A"/>
      <w:sz w:val="18"/>
    </w:rPr>
  </w:style>
  <w:style w:type="character" w:customStyle="1" w:styleId="147">
    <w:name w:val="页眉 字符"/>
    <w:autoRedefine/>
    <w:qFormat/>
    <w:uiPriority w:val="0"/>
    <w:rPr>
      <w:rFonts w:ascii="仿宋_GB2312" w:hAnsi="Times New Roman" w:eastAsia="仿宋_GB2312" w:cs="Times New Roman"/>
      <w:color w:val="10000A"/>
      <w:sz w:val="18"/>
      <w:szCs w:val="18"/>
    </w:rPr>
  </w:style>
  <w:style w:type="character" w:customStyle="1" w:styleId="148">
    <w:name w:val="批注主题 字符"/>
    <w:autoRedefine/>
    <w:qFormat/>
    <w:uiPriority w:val="0"/>
    <w:rPr>
      <w:rFonts w:ascii="仿宋_GB2312" w:hAnsi="Times New Roman" w:eastAsia="仿宋_GB2312" w:cs="Times New Roman"/>
      <w:b/>
      <w:bCs/>
      <w:color w:val="10000A"/>
      <w:sz w:val="32"/>
    </w:rPr>
  </w:style>
  <w:style w:type="character" w:customStyle="1" w:styleId="149">
    <w:name w:val="标题 7 字符"/>
    <w:autoRedefine/>
    <w:qFormat/>
    <w:uiPriority w:val="0"/>
    <w:rPr>
      <w:rFonts w:ascii="Calibri" w:hAnsi="Calibri" w:eastAsia="宋体" w:cs="Times New Roman"/>
      <w:b/>
      <w:bCs/>
      <w:kern w:val="2"/>
      <w:sz w:val="24"/>
      <w:szCs w:val="24"/>
    </w:rPr>
  </w:style>
  <w:style w:type="character" w:customStyle="1" w:styleId="150">
    <w:name w:val="标题 8 字符"/>
    <w:autoRedefine/>
    <w:qFormat/>
    <w:uiPriority w:val="0"/>
    <w:rPr>
      <w:rFonts w:ascii="Cambria" w:hAnsi="Cambria" w:eastAsia="宋体" w:cs="Times New Roman"/>
      <w:kern w:val="2"/>
      <w:sz w:val="24"/>
      <w:szCs w:val="24"/>
    </w:rPr>
  </w:style>
  <w:style w:type="character" w:customStyle="1" w:styleId="151">
    <w:name w:val="标题 9 字符1"/>
    <w:autoRedefine/>
    <w:qFormat/>
    <w:uiPriority w:val="0"/>
    <w:rPr>
      <w:rFonts w:ascii="等线 Light" w:hAnsi="等线 Light" w:eastAsia="等线 Light" w:cs="Times New Roman"/>
      <w:color w:val="10000A"/>
      <w:sz w:val="21"/>
      <w:szCs w:val="21"/>
    </w:rPr>
  </w:style>
  <w:style w:type="paragraph" w:customStyle="1" w:styleId="152">
    <w:name w:val="正文文本1"/>
    <w:basedOn w:val="1"/>
    <w:next w:val="17"/>
    <w:link w:val="153"/>
    <w:autoRedefine/>
    <w:qFormat/>
    <w:uiPriority w:val="0"/>
    <w:pPr>
      <w:spacing w:after="120" w:line="360" w:lineRule="auto"/>
      <w:ind w:firstLine="480" w:firstLineChars="200"/>
    </w:pPr>
    <w:rPr>
      <w:rFonts w:ascii="宋体" w:hAnsi="宋体" w:eastAsia="方正仿宋_GB2312"/>
      <w:sz w:val="24"/>
      <w:szCs w:val="28"/>
    </w:rPr>
  </w:style>
  <w:style w:type="character" w:customStyle="1" w:styleId="153">
    <w:name w:val="正文文本 字符"/>
    <w:link w:val="152"/>
    <w:autoRedefine/>
    <w:qFormat/>
    <w:uiPriority w:val="0"/>
    <w:rPr>
      <w:rFonts w:ascii="宋体" w:hAnsi="宋体" w:eastAsia="方正仿宋_GB2312"/>
      <w:kern w:val="2"/>
      <w:sz w:val="24"/>
      <w:szCs w:val="28"/>
    </w:rPr>
  </w:style>
  <w:style w:type="paragraph" w:customStyle="1" w:styleId="154">
    <w:name w:val="G_标题2"/>
    <w:basedOn w:val="1"/>
    <w:next w:val="1"/>
    <w:autoRedefine/>
    <w:qFormat/>
    <w:uiPriority w:val="0"/>
    <w:pPr>
      <w:widowControl/>
      <w:numPr>
        <w:ilvl w:val="1"/>
        <w:numId w:val="1"/>
      </w:numPr>
      <w:tabs>
        <w:tab w:val="left" w:pos="426"/>
        <w:tab w:val="left" w:pos="720"/>
      </w:tabs>
      <w:spacing w:beforeLines="100" w:afterLines="100" w:line="360" w:lineRule="auto"/>
      <w:ind w:firstLine="0"/>
      <w:jc w:val="left"/>
      <w:outlineLvl w:val="1"/>
    </w:pPr>
    <w:rPr>
      <w:b/>
      <w:bCs/>
      <w:kern w:val="0"/>
      <w:sz w:val="36"/>
      <w:szCs w:val="28"/>
    </w:rPr>
  </w:style>
  <w:style w:type="paragraph" w:customStyle="1" w:styleId="155">
    <w:name w:val="G_标题3"/>
    <w:basedOn w:val="154"/>
    <w:next w:val="1"/>
    <w:autoRedefine/>
    <w:qFormat/>
    <w:uiPriority w:val="0"/>
    <w:pPr>
      <w:numPr>
        <w:ilvl w:val="2"/>
      </w:numPr>
      <w:tabs>
        <w:tab w:val="left" w:pos="1647"/>
      </w:tabs>
      <w:outlineLvl w:val="2"/>
    </w:pPr>
    <w:rPr>
      <w:sz w:val="32"/>
    </w:rPr>
  </w:style>
  <w:style w:type="paragraph" w:customStyle="1" w:styleId="156">
    <w:name w:val="G_标题4"/>
    <w:basedOn w:val="155"/>
    <w:next w:val="1"/>
    <w:autoRedefine/>
    <w:qFormat/>
    <w:uiPriority w:val="0"/>
    <w:pPr>
      <w:numPr>
        <w:ilvl w:val="3"/>
      </w:numPr>
      <w:tabs>
        <w:tab w:val="left" w:pos="1440"/>
        <w:tab w:val="clear" w:pos="426"/>
      </w:tabs>
      <w:spacing w:before="100" w:after="100"/>
      <w:outlineLvl w:val="3"/>
    </w:pPr>
    <w:rPr>
      <w:sz w:val="30"/>
    </w:rPr>
  </w:style>
  <w:style w:type="paragraph" w:customStyle="1" w:styleId="157">
    <w:name w:val="标题 81"/>
    <w:basedOn w:val="1"/>
    <w:next w:val="1"/>
    <w:autoRedefine/>
    <w:qFormat/>
    <w:uiPriority w:val="0"/>
    <w:pPr>
      <w:keepNext/>
      <w:keepLines/>
      <w:tabs>
        <w:tab w:val="left" w:pos="3932"/>
      </w:tabs>
      <w:spacing w:before="240" w:after="64" w:line="320" w:lineRule="auto"/>
      <w:ind w:left="3932" w:hanging="420"/>
      <w:outlineLvl w:val="7"/>
    </w:pPr>
    <w:rPr>
      <w:rFonts w:ascii="Cambria" w:hAnsi="Cambria"/>
      <w:sz w:val="24"/>
    </w:rPr>
  </w:style>
  <w:style w:type="paragraph" w:customStyle="1" w:styleId="158">
    <w:name w:val="列出段落2"/>
    <w:basedOn w:val="1"/>
    <w:next w:val="103"/>
    <w:autoRedefine/>
    <w:qFormat/>
    <w:uiPriority w:val="0"/>
    <w:pPr>
      <w:ind w:firstLine="420" w:firstLineChars="200"/>
    </w:pPr>
    <w:rPr>
      <w:rFonts w:ascii="Calibri" w:hAnsi="Calibri"/>
      <w:szCs w:val="22"/>
    </w:rPr>
  </w:style>
  <w:style w:type="paragraph" w:customStyle="1" w:styleId="159">
    <w:name w:val="标题 71"/>
    <w:basedOn w:val="1"/>
    <w:next w:val="1"/>
    <w:autoRedefine/>
    <w:qFormat/>
    <w:uiPriority w:val="0"/>
    <w:pPr>
      <w:keepNext/>
      <w:keepLines/>
      <w:tabs>
        <w:tab w:val="left" w:pos="3512"/>
      </w:tabs>
      <w:spacing w:before="240" w:after="64" w:line="320" w:lineRule="auto"/>
      <w:ind w:left="3512" w:hanging="420"/>
      <w:outlineLvl w:val="6"/>
    </w:pPr>
    <w:rPr>
      <w:rFonts w:ascii="Calibri" w:hAnsi="Calibri"/>
      <w:b/>
      <w:bCs/>
      <w:sz w:val="24"/>
    </w:rPr>
  </w:style>
  <w:style w:type="paragraph" w:customStyle="1" w:styleId="160">
    <w:name w:val="标题 91"/>
    <w:basedOn w:val="1"/>
    <w:next w:val="1"/>
    <w:autoRedefine/>
    <w:qFormat/>
    <w:uiPriority w:val="0"/>
    <w:pPr>
      <w:keepNext/>
      <w:keepLines/>
      <w:tabs>
        <w:tab w:val="left" w:pos="4352"/>
      </w:tabs>
      <w:spacing w:before="240" w:after="64" w:line="320" w:lineRule="auto"/>
      <w:ind w:left="4352" w:hanging="420"/>
      <w:outlineLvl w:val="8"/>
    </w:pPr>
    <w:rPr>
      <w:rFonts w:ascii="Cambria" w:hAnsi="Cambria"/>
      <w:szCs w:val="21"/>
    </w:rPr>
  </w:style>
  <w:style w:type="paragraph" w:customStyle="1" w:styleId="161">
    <w:name w:val="G_标题1"/>
    <w:basedOn w:val="1"/>
    <w:next w:val="1"/>
    <w:autoRedefine/>
    <w:qFormat/>
    <w:uiPriority w:val="0"/>
    <w:pPr>
      <w:widowControl/>
      <w:numPr>
        <w:ilvl w:val="0"/>
        <w:numId w:val="1"/>
      </w:numPr>
      <w:spacing w:afterLines="150" w:line="360" w:lineRule="auto"/>
      <w:jc w:val="center"/>
      <w:outlineLvl w:val="0"/>
    </w:pPr>
    <w:rPr>
      <w:b/>
      <w:bCs/>
      <w:kern w:val="0"/>
      <w:sz w:val="44"/>
      <w:szCs w:val="32"/>
    </w:rPr>
  </w:style>
  <w:style w:type="paragraph" w:customStyle="1" w:styleId="162">
    <w:name w:val="列表段落1"/>
    <w:basedOn w:val="1"/>
    <w:autoRedefine/>
    <w:qFormat/>
    <w:uiPriority w:val="34"/>
    <w:pPr>
      <w:ind w:firstLine="420" w:firstLineChars="200"/>
    </w:pPr>
    <w:rPr>
      <w:rFonts w:hint="eastAsia" w:ascii="仿宋_GB2312" w:eastAsia="仿宋_GB2312"/>
      <w:color w:val="10000A"/>
      <w:kern w:val="0"/>
      <w:sz w:val="32"/>
      <w:szCs w:val="20"/>
    </w:rPr>
  </w:style>
  <w:style w:type="character" w:customStyle="1" w:styleId="163">
    <w:name w:val="font21"/>
    <w:autoRedefine/>
    <w:qFormat/>
    <w:uiPriority w:val="0"/>
    <w:rPr>
      <w:rFonts w:hint="eastAsia" w:ascii="宋体" w:hAnsi="宋体" w:eastAsia="宋体" w:cs="宋体"/>
      <w:color w:val="000000"/>
      <w:sz w:val="21"/>
      <w:szCs w:val="21"/>
      <w:u w:val="none"/>
    </w:rPr>
  </w:style>
  <w:style w:type="character" w:customStyle="1" w:styleId="164">
    <w:name w:val="纯文本 字符"/>
    <w:autoRedefine/>
    <w:qFormat/>
    <w:uiPriority w:val="0"/>
    <w:rPr>
      <w:rFonts w:ascii="宋体" w:hAnsi="Courier New" w:eastAsia="宋体" w:cs="Times New Roman"/>
      <w:szCs w:val="21"/>
    </w:rPr>
  </w:style>
  <w:style w:type="paragraph" w:customStyle="1" w:styleId="165">
    <w:name w:val="首行缩进"/>
    <w:basedOn w:val="1"/>
    <w:autoRedefine/>
    <w:qFormat/>
    <w:uiPriority w:val="0"/>
    <w:pPr>
      <w:ind w:firstLine="480" w:firstLineChars="200"/>
    </w:pPr>
    <w:rPr>
      <w:kern w:val="0"/>
      <w:szCs w:val="20"/>
      <w:lang w:val="zh-CN"/>
    </w:rPr>
  </w:style>
  <w:style w:type="paragraph" w:customStyle="1" w:styleId="166">
    <w:name w:val="U_正文2"/>
    <w:basedOn w:val="1"/>
    <w:link w:val="167"/>
    <w:autoRedefine/>
    <w:qFormat/>
    <w:uiPriority w:val="0"/>
    <w:pPr>
      <w:spacing w:beforeLines="10" w:afterLines="10" w:line="300" w:lineRule="auto"/>
    </w:pPr>
    <w:rPr>
      <w:sz w:val="24"/>
      <w:szCs w:val="20"/>
    </w:rPr>
  </w:style>
  <w:style w:type="character" w:customStyle="1" w:styleId="167">
    <w:name w:val="U_正文2 Char"/>
    <w:link w:val="166"/>
    <w:autoRedefine/>
    <w:qFormat/>
    <w:uiPriority w:val="0"/>
    <w:rPr>
      <w:kern w:val="2"/>
      <w:sz w:val="24"/>
    </w:rPr>
  </w:style>
  <w:style w:type="paragraph" w:customStyle="1" w:styleId="168">
    <w:name w:val="U_正文"/>
    <w:basedOn w:val="1"/>
    <w:link w:val="169"/>
    <w:autoRedefine/>
    <w:qFormat/>
    <w:uiPriority w:val="0"/>
    <w:pPr>
      <w:spacing w:beforeLines="20" w:afterLines="20" w:line="300" w:lineRule="auto"/>
      <w:ind w:firstLine="200" w:firstLineChars="200"/>
    </w:pPr>
    <w:rPr>
      <w:sz w:val="24"/>
      <w:szCs w:val="20"/>
    </w:rPr>
  </w:style>
  <w:style w:type="character" w:customStyle="1" w:styleId="169">
    <w:name w:val="U_正文 Char"/>
    <w:link w:val="168"/>
    <w:autoRedefine/>
    <w:qFormat/>
    <w:uiPriority w:val="0"/>
    <w:rPr>
      <w:kern w:val="2"/>
      <w:sz w:val="24"/>
    </w:rPr>
  </w:style>
  <w:style w:type="paragraph" w:customStyle="1" w:styleId="170">
    <w:name w:val="正文_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1">
    <w:name w:val="Table Text"/>
    <w:basedOn w:val="1"/>
    <w:autoRedefine/>
    <w:semiHidden/>
    <w:qFormat/>
    <w:uiPriority w:val="0"/>
    <w:rPr>
      <w:rFonts w:ascii="宋体" w:hAnsi="宋体" w:cs="宋体"/>
      <w:sz w:val="19"/>
      <w:szCs w:val="19"/>
      <w:lang w:eastAsia="en-US"/>
    </w:rPr>
  </w:style>
  <w:style w:type="table" w:customStyle="1" w:styleId="172">
    <w:name w:val="Table Normal"/>
    <w:autoRedefine/>
    <w:unhideWhenUsed/>
    <w:qFormat/>
    <w:uiPriority w:val="0"/>
    <w:tblPr>
      <w:tblCellMar>
        <w:top w:w="0" w:type="dxa"/>
        <w:left w:w="0" w:type="dxa"/>
        <w:bottom w:w="0" w:type="dxa"/>
        <w:right w:w="0" w:type="dxa"/>
      </w:tblCellMar>
    </w:tblPr>
  </w:style>
  <w:style w:type="character" w:customStyle="1" w:styleId="173">
    <w:name w:val="NormalCharacter"/>
    <w:autoRedefine/>
    <w:semiHidden/>
    <w:qFormat/>
    <w:uiPriority w:val="0"/>
  </w:style>
  <w:style w:type="paragraph" w:customStyle="1" w:styleId="174">
    <w:name w:val="正文_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5">
    <w:name w:val="正文_22_0"/>
    <w:basedOn w:val="174"/>
    <w:qFormat/>
    <w:uiPriority w:val="0"/>
    <w:rPr>
      <w:rFonts w:ascii="Times New Roman" w:hAnsi="Times New Roman"/>
      <w:szCs w:val="21"/>
    </w:rPr>
  </w:style>
  <w:style w:type="paragraph" w:customStyle="1" w:styleId="176">
    <w:name w:val="正文_21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77">
    <w:name w:val="10"/>
    <w:basedOn w:val="42"/>
    <w:qFormat/>
    <w:uiPriority w:val="0"/>
    <w:rPr>
      <w:rFonts w:hint="default" w:ascii="Times New Roman" w:hAnsi="Times New Roman" w:cs="Times New Roman"/>
    </w:rPr>
  </w:style>
  <w:style w:type="paragraph" w:customStyle="1" w:styleId="178">
    <w:name w:val="BodyText1I2"/>
    <w:basedOn w:val="179"/>
    <w:next w:val="1"/>
    <w:qFormat/>
    <w:uiPriority w:val="0"/>
    <w:pPr>
      <w:ind w:firstLine="420"/>
      <w:jc w:val="left"/>
    </w:pPr>
    <w:rPr>
      <w:rFonts w:ascii="Calibri" w:hAnsi="Calibri"/>
      <w:kern w:val="0"/>
    </w:rPr>
  </w:style>
  <w:style w:type="paragraph" w:customStyle="1" w:styleId="179">
    <w:name w:val="BodyTextIndent"/>
    <w:basedOn w:val="180"/>
    <w:next w:val="1"/>
    <w:qFormat/>
    <w:uiPriority w:val="0"/>
    <w:pPr>
      <w:spacing w:after="120"/>
      <w:ind w:left="420" w:leftChars="200"/>
    </w:pPr>
  </w:style>
  <w:style w:type="paragraph" w:customStyle="1" w:styleId="180">
    <w:name w:val="正文_0"/>
    <w:basedOn w:val="1"/>
    <w:next w:val="178"/>
    <w:qFormat/>
    <w:uiPriority w:val="0"/>
  </w:style>
  <w:style w:type="paragraph" w:customStyle="1" w:styleId="181">
    <w:name w:val="无间隔1"/>
    <w:qFormat/>
    <w:uiPriority w:val="99"/>
    <w:pPr>
      <w:widowControl w:val="0"/>
      <w:jc w:val="both"/>
    </w:pPr>
    <w:rPr>
      <w:rFonts w:ascii="Calibri" w:hAnsi="Calibri" w:eastAsia="宋体" w:cs="Times New Roman"/>
      <w:kern w:val="2"/>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90</Pages>
  <Words>11893</Words>
  <Characters>13263</Characters>
  <Lines>91</Lines>
  <Paragraphs>121</Paragraphs>
  <TotalTime>218</TotalTime>
  <ScaleCrop>false</ScaleCrop>
  <LinksUpToDate>false</LinksUpToDate>
  <CharactersWithSpaces>13659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2024-10-11T05:40:00Z</dcterms:created>
  <dc:creator>Administrator</dc:creator>
  <cp:lastModifiedBy>MonJa</cp:lastModifiedBy>
  <cp:lastPrinted>2025-11-04T02:54:00Z</cp:lastPrinted>
  <dcterms:modified xsi:type="dcterms:W3CDTF">2026-08-27T02:51:16Z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319DE5D2E20141B0ACF977AA1BD45F98_13</vt:lpwstr>
  </property>
  <property fmtid="{D5CDD505-2E9C-101B-9397-08002B2CF9AE}" pid="4" name="KSOTemplateDocerSaveRecord">
    <vt:lpwstr>eyJoZGlkIjoiYTQ5NTliOWNhZDIyZmUxY2FkZmIxMTQ4MGM0YjBhNjkiLCJ1c2VySWQiOiI0MTA1NTc0NzQifQ==</vt:lpwstr>
  </property>
</Properties>
</file>