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3EC30">
      <w:pPr>
        <w:keepNext/>
        <w:keepLines/>
        <w:widowControl w:val="0"/>
        <w:adjustRightInd w:val="0"/>
        <w:snapToGrid w:val="0"/>
        <w:spacing w:beforeLines="50" w:line="360" w:lineRule="auto"/>
        <w:jc w:val="center"/>
        <w:outlineLvl w:val="1"/>
        <w:rPr>
          <w:rFonts w:ascii="黑体" w:hAnsi="黑体" w:eastAsia="黑体" w:cs="Times New Roman"/>
          <w:b/>
          <w:bCs/>
          <w:color w:val="auto"/>
          <w:kern w:val="2"/>
          <w:sz w:val="28"/>
          <w:szCs w:val="28"/>
          <w:highlight w:val="none"/>
          <w:lang w:val="en-US" w:eastAsia="zh-CN" w:bidi="ar-SA"/>
        </w:rPr>
      </w:pPr>
      <w:bookmarkStart w:id="0" w:name="_Toc27822"/>
      <w:bookmarkStart w:id="1" w:name="_Toc5513"/>
      <w:bookmarkStart w:id="8" w:name="_GoBack"/>
      <w:bookmarkEnd w:id="8"/>
      <w:r>
        <w:rPr>
          <w:rFonts w:hint="eastAsia" w:ascii="黑体" w:hAnsi="黑体" w:eastAsia="黑体" w:cs="Times New Roman"/>
          <w:b/>
          <w:bCs/>
          <w:color w:val="auto"/>
          <w:kern w:val="2"/>
          <w:sz w:val="28"/>
          <w:szCs w:val="28"/>
          <w:highlight w:val="none"/>
          <w:lang w:val="en-US" w:eastAsia="zh-CN" w:bidi="ar-SA"/>
        </w:rPr>
        <w:t>第一节 采购清单一览表</w:t>
      </w:r>
      <w:bookmarkEnd w:id="0"/>
      <w:bookmarkEnd w:id="1"/>
    </w:p>
    <w:tbl>
      <w:tblPr>
        <w:tblStyle w:val="2"/>
        <w:tblW w:w="9598" w:type="dxa"/>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352"/>
        <w:gridCol w:w="1711"/>
        <w:gridCol w:w="1164"/>
        <w:gridCol w:w="1219"/>
        <w:gridCol w:w="1931"/>
        <w:gridCol w:w="1271"/>
        <w:gridCol w:w="1320"/>
        <w:gridCol w:w="630"/>
      </w:tblGrid>
      <w:tr w14:paraId="6209443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77" w:hRule="atLeast"/>
          <w:jc w:val="center"/>
        </w:trPr>
        <w:tc>
          <w:tcPr>
            <w:tcW w:w="352" w:type="dxa"/>
            <w:noWrap/>
            <w:vAlign w:val="center"/>
          </w:tcPr>
          <w:p w14:paraId="35A0B5D7">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包号</w:t>
            </w:r>
          </w:p>
        </w:tc>
        <w:tc>
          <w:tcPr>
            <w:tcW w:w="1711" w:type="dxa"/>
            <w:noWrap/>
            <w:vAlign w:val="center"/>
          </w:tcPr>
          <w:p w14:paraId="5217EC10">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包名称</w:t>
            </w:r>
          </w:p>
        </w:tc>
        <w:tc>
          <w:tcPr>
            <w:tcW w:w="1164" w:type="dxa"/>
            <w:noWrap/>
            <w:vAlign w:val="center"/>
          </w:tcPr>
          <w:p w14:paraId="5981338E">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档案寄</w:t>
            </w:r>
          </w:p>
          <w:p w14:paraId="05C0A03B">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存服务</w:t>
            </w:r>
          </w:p>
        </w:tc>
        <w:tc>
          <w:tcPr>
            <w:tcW w:w="1219" w:type="dxa"/>
            <w:noWrap/>
            <w:vAlign w:val="center"/>
          </w:tcPr>
          <w:p w14:paraId="7A41EE8D">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档案整理服务</w:t>
            </w:r>
          </w:p>
        </w:tc>
        <w:tc>
          <w:tcPr>
            <w:tcW w:w="1931" w:type="dxa"/>
            <w:noWrap/>
            <w:vAlign w:val="center"/>
          </w:tcPr>
          <w:p w14:paraId="0C27745A">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档案数字化及其他相关服务</w:t>
            </w:r>
          </w:p>
        </w:tc>
        <w:tc>
          <w:tcPr>
            <w:tcW w:w="1271" w:type="dxa"/>
            <w:noWrap/>
            <w:vAlign w:val="center"/>
          </w:tcPr>
          <w:p w14:paraId="47193736">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预算金额</w:t>
            </w:r>
          </w:p>
          <w:p w14:paraId="4936C5FD">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（元/年）</w:t>
            </w:r>
          </w:p>
        </w:tc>
        <w:tc>
          <w:tcPr>
            <w:tcW w:w="1320" w:type="dxa"/>
            <w:noWrap/>
            <w:vAlign w:val="center"/>
          </w:tcPr>
          <w:p w14:paraId="7BA3F18A">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最高限价</w:t>
            </w:r>
          </w:p>
          <w:p w14:paraId="6B4D9586">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（元/年）</w:t>
            </w:r>
          </w:p>
        </w:tc>
        <w:tc>
          <w:tcPr>
            <w:tcW w:w="630" w:type="dxa"/>
            <w:noWrap/>
            <w:vAlign w:val="center"/>
          </w:tcPr>
          <w:p w14:paraId="79ABEDDB">
            <w:pPr>
              <w:widowControl w:val="0"/>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备注</w:t>
            </w:r>
          </w:p>
        </w:tc>
      </w:tr>
      <w:tr w14:paraId="74437B5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73" w:hRule="atLeast"/>
          <w:jc w:val="center"/>
        </w:trPr>
        <w:tc>
          <w:tcPr>
            <w:tcW w:w="352" w:type="dxa"/>
            <w:noWrap/>
            <w:vAlign w:val="center"/>
          </w:tcPr>
          <w:p w14:paraId="653664D9">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711" w:type="dxa"/>
            <w:noWrap/>
            <w:vAlign w:val="center"/>
          </w:tcPr>
          <w:p w14:paraId="6FB0753C">
            <w:pPr>
              <w:widowControl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株洲市智慧档案全流程服务项目</w:t>
            </w:r>
          </w:p>
        </w:tc>
        <w:tc>
          <w:tcPr>
            <w:tcW w:w="1164" w:type="dxa"/>
            <w:noWrap/>
            <w:vAlign w:val="center"/>
          </w:tcPr>
          <w:p w14:paraId="3A321505">
            <w:pPr>
              <w:keepNext w:val="0"/>
              <w:keepLines w:val="0"/>
              <w:widowControl/>
              <w:suppressLineNumbers w:val="0"/>
              <w:spacing w:line="240" w:lineRule="auto"/>
              <w:ind w:firstLine="0" w:firstLineChars="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详见采购需求内容</w:t>
            </w:r>
          </w:p>
        </w:tc>
        <w:tc>
          <w:tcPr>
            <w:tcW w:w="1219" w:type="dxa"/>
            <w:noWrap/>
            <w:vAlign w:val="center"/>
          </w:tcPr>
          <w:p w14:paraId="4E1EA838">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详见采购需求内容</w:t>
            </w:r>
          </w:p>
        </w:tc>
        <w:tc>
          <w:tcPr>
            <w:tcW w:w="1931" w:type="dxa"/>
            <w:noWrap/>
            <w:vAlign w:val="center"/>
          </w:tcPr>
          <w:p w14:paraId="382C4AB3">
            <w:pPr>
              <w:keepNext w:val="0"/>
              <w:keepLines w:val="0"/>
              <w:widowControl/>
              <w:suppressLineNumbers w:val="0"/>
              <w:spacing w:line="240" w:lineRule="auto"/>
              <w:ind w:firstLine="0" w:firstLineChars="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详见采购需求内容</w:t>
            </w:r>
          </w:p>
        </w:tc>
        <w:tc>
          <w:tcPr>
            <w:tcW w:w="1271" w:type="dxa"/>
            <w:noWrap/>
            <w:vAlign w:val="center"/>
          </w:tcPr>
          <w:p w14:paraId="09EA76FE">
            <w:pPr>
              <w:keepNext w:val="0"/>
              <w:keepLines w:val="0"/>
              <w:widowControl/>
              <w:suppressLineNumbers w:val="0"/>
              <w:spacing w:line="240" w:lineRule="auto"/>
              <w:ind w:firstLine="0" w:firstLineChars="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2851216.00</w:t>
            </w:r>
          </w:p>
        </w:tc>
        <w:tc>
          <w:tcPr>
            <w:tcW w:w="1320" w:type="dxa"/>
            <w:noWrap/>
            <w:vAlign w:val="center"/>
          </w:tcPr>
          <w:p w14:paraId="4300B78A">
            <w:pPr>
              <w:keepNext w:val="0"/>
              <w:keepLines w:val="0"/>
              <w:widowControl/>
              <w:suppressLineNumbers w:val="0"/>
              <w:spacing w:line="240" w:lineRule="auto"/>
              <w:ind w:firstLine="0" w:firstLineChars="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2851216.00</w:t>
            </w:r>
          </w:p>
        </w:tc>
        <w:tc>
          <w:tcPr>
            <w:tcW w:w="630" w:type="dxa"/>
            <w:noWrap/>
            <w:vAlign w:val="center"/>
          </w:tcPr>
          <w:p w14:paraId="7E26F7D4">
            <w:pPr>
              <w:snapToGrid w:val="0"/>
              <w:spacing w:line="260" w:lineRule="exact"/>
              <w:jc w:val="center"/>
              <w:rPr>
                <w:rFonts w:hint="eastAsia" w:ascii="宋体" w:hAnsi="宋体" w:eastAsia="宋体" w:cs="宋体"/>
                <w:color w:val="auto"/>
                <w:sz w:val="21"/>
                <w:szCs w:val="21"/>
                <w:highlight w:val="none"/>
                <w:lang w:val="en-US" w:eastAsia="zh-CN"/>
              </w:rPr>
            </w:pPr>
          </w:p>
        </w:tc>
      </w:tr>
    </w:tbl>
    <w:p w14:paraId="40094E21">
      <w:pPr>
        <w:keepNext w:val="0"/>
        <w:keepLines w:val="0"/>
        <w:pageBreakBefore w:val="0"/>
        <w:wordWrap/>
        <w:overflowPunct/>
        <w:topLinePunct w:val="0"/>
        <w:bidi w:val="0"/>
        <w:spacing w:line="400" w:lineRule="exact"/>
        <w:ind w:left="0" w:leftChars="0" w:right="0"/>
        <w:rPr>
          <w:rFonts w:hint="eastAsia" w:ascii="宋体" w:hAnsi="宋体" w:eastAsia="宋体" w:cs="宋体"/>
          <w:b/>
          <w:bCs/>
          <w:color w:val="auto"/>
          <w:sz w:val="24"/>
          <w:szCs w:val="24"/>
          <w:highlight w:val="none"/>
        </w:rPr>
      </w:pPr>
    </w:p>
    <w:p w14:paraId="3BFC70D4">
      <w:pPr>
        <w:keepNext w:val="0"/>
        <w:keepLines w:val="0"/>
        <w:pageBreakBefore w:val="0"/>
        <w:wordWrap/>
        <w:overflowPunct/>
        <w:topLinePunct w:val="0"/>
        <w:bidi w:val="0"/>
        <w:spacing w:line="400" w:lineRule="exact"/>
        <w:ind w:left="0" w:leftChars="0" w:righ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一、项目概况</w:t>
      </w:r>
    </w:p>
    <w:p w14:paraId="779B32DD">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1、项目名称：</w:t>
      </w:r>
      <w:r>
        <w:rPr>
          <w:rFonts w:hint="eastAsia" w:ascii="宋体" w:hAnsi="宋体" w:eastAsia="宋体" w:cs="宋体"/>
          <w:color w:val="auto"/>
          <w:sz w:val="21"/>
          <w:szCs w:val="21"/>
          <w:highlight w:val="none"/>
          <w:lang w:eastAsia="zh-CN"/>
        </w:rPr>
        <w:t>株洲市智慧档案全流程服务项目。</w:t>
      </w:r>
      <w:r>
        <w:rPr>
          <w:rFonts w:hint="eastAsia" w:ascii="宋体" w:hAnsi="宋体" w:eastAsia="宋体" w:cs="宋体"/>
          <w:color w:val="auto"/>
          <w:sz w:val="21"/>
          <w:szCs w:val="21"/>
          <w:highlight w:val="none"/>
        </w:rPr>
        <w:t xml:space="preserve"> </w:t>
      </w:r>
    </w:p>
    <w:p w14:paraId="16E504BC">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iCs/>
          <w:color w:val="auto"/>
          <w:sz w:val="21"/>
          <w:szCs w:val="21"/>
          <w:highlight w:val="none"/>
          <w:lang w:eastAsia="zh-CN"/>
        </w:rPr>
      </w:pPr>
      <w:r>
        <w:rPr>
          <w:rFonts w:hint="eastAsia" w:ascii="宋体" w:hAnsi="宋体" w:eastAsia="宋体" w:cs="宋体"/>
          <w:iCs/>
          <w:color w:val="auto"/>
          <w:sz w:val="21"/>
          <w:szCs w:val="21"/>
          <w:highlight w:val="none"/>
        </w:rPr>
        <w:t>2、</w:t>
      </w:r>
      <w:r>
        <w:rPr>
          <w:rFonts w:hint="eastAsia" w:ascii="宋体" w:hAnsi="宋体" w:eastAsia="宋体" w:cs="宋体"/>
          <w:iCs/>
          <w:color w:val="auto"/>
          <w:sz w:val="21"/>
          <w:szCs w:val="21"/>
          <w:highlight w:val="none"/>
          <w:lang w:eastAsia="zh-CN"/>
        </w:rPr>
        <w:t>政府采购计划编号</w:t>
      </w:r>
      <w:r>
        <w:rPr>
          <w:rFonts w:hint="eastAsia" w:ascii="宋体" w:hAnsi="宋体" w:eastAsia="宋体" w:cs="宋体"/>
          <w:iCs/>
          <w:color w:val="auto"/>
          <w:sz w:val="21"/>
          <w:szCs w:val="21"/>
          <w:highlight w:val="none"/>
        </w:rPr>
        <w:t>：(2026)430200000081-1</w:t>
      </w:r>
      <w:r>
        <w:rPr>
          <w:rFonts w:hint="eastAsia" w:ascii="宋体" w:hAnsi="宋体" w:eastAsia="宋体" w:cs="宋体"/>
          <w:iCs/>
          <w:color w:val="auto"/>
          <w:sz w:val="21"/>
          <w:szCs w:val="21"/>
          <w:highlight w:val="none"/>
          <w:lang w:eastAsia="zh-CN"/>
        </w:rPr>
        <w:t>。</w:t>
      </w:r>
    </w:p>
    <w:p w14:paraId="7E5D282B">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iCs/>
          <w:color w:val="auto"/>
          <w:sz w:val="21"/>
          <w:szCs w:val="21"/>
          <w:highlight w:val="none"/>
          <w:lang w:eastAsia="zh-CN"/>
        </w:rPr>
      </w:pPr>
      <w:r>
        <w:rPr>
          <w:rFonts w:hint="eastAsia" w:ascii="宋体" w:hAnsi="宋体" w:eastAsia="宋体" w:cs="宋体"/>
          <w:iCs/>
          <w:color w:val="auto"/>
          <w:sz w:val="21"/>
          <w:szCs w:val="21"/>
          <w:highlight w:val="none"/>
        </w:rPr>
        <w:t>3、采购项目编号</w:t>
      </w:r>
      <w:r>
        <w:rPr>
          <w:rFonts w:hint="eastAsia" w:ascii="宋体" w:hAnsi="宋体" w:eastAsia="宋体" w:cs="宋体"/>
          <w:iCs/>
          <w:color w:val="auto"/>
          <w:sz w:val="21"/>
          <w:szCs w:val="21"/>
          <w:highlight w:val="none"/>
          <w:lang w:eastAsia="zh-CN"/>
        </w:rPr>
        <w:t>：CGXM2026430200000090</w:t>
      </w:r>
      <w:r>
        <w:rPr>
          <w:rFonts w:hint="eastAsia" w:ascii="宋体" w:hAnsi="宋体" w:eastAsia="宋体" w:cs="宋体"/>
          <w:iCs/>
          <w:color w:val="auto"/>
          <w:sz w:val="21"/>
          <w:szCs w:val="21"/>
          <w:highlight w:val="none"/>
          <w:lang w:val="en-US" w:eastAsia="zh-CN"/>
        </w:rPr>
        <w:t>；</w:t>
      </w:r>
      <w:r>
        <w:rPr>
          <w:rFonts w:hint="eastAsia" w:ascii="宋体" w:hAnsi="宋体" w:eastAsia="宋体" w:cs="宋体"/>
          <w:iCs/>
          <w:color w:val="auto"/>
          <w:sz w:val="21"/>
          <w:szCs w:val="21"/>
          <w:highlight w:val="none"/>
        </w:rPr>
        <w:t>采购代理编号：</w:t>
      </w:r>
      <w:r>
        <w:rPr>
          <w:rFonts w:hint="eastAsia" w:ascii="宋体" w:hAnsi="宋体" w:eastAsia="宋体" w:cs="宋体"/>
          <w:iCs/>
          <w:color w:val="auto"/>
          <w:sz w:val="21"/>
          <w:szCs w:val="21"/>
          <w:highlight w:val="none"/>
          <w:lang w:eastAsia="zh-CN"/>
        </w:rPr>
        <w:t>HNXJ-CG2026056。</w:t>
      </w:r>
    </w:p>
    <w:p w14:paraId="5484BBC0">
      <w:pPr>
        <w:keepNext w:val="0"/>
        <w:keepLines w:val="0"/>
        <w:pageBreakBefore w:val="0"/>
        <w:widowControl w:val="0"/>
        <w:wordWrap/>
        <w:overflowPunct/>
        <w:topLinePunct w:val="0"/>
        <w:bidi w:val="0"/>
        <w:spacing w:line="400" w:lineRule="exact"/>
        <w:ind w:left="0" w:leftChars="0" w:right="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4、服务期限：三年，合同一年一签，经考核合格后续签下一年度合同。</w:t>
      </w:r>
    </w:p>
    <w:p w14:paraId="548F354C">
      <w:pPr>
        <w:keepNext w:val="0"/>
        <w:keepLines w:val="0"/>
        <w:pageBreakBefore w:val="0"/>
        <w:tabs>
          <w:tab w:val="left" w:pos="5946"/>
        </w:tabs>
        <w:wordWrap/>
        <w:topLinePunct w:val="0"/>
        <w:autoSpaceDE w:val="0"/>
        <w:autoSpaceDN w:val="0"/>
        <w:bidi w:val="0"/>
        <w:spacing w:line="400" w:lineRule="exact"/>
        <w:ind w:firstLine="420" w:firstLineChars="200"/>
        <w:rPr>
          <w:rFonts w:hint="eastAsia" w:ascii="Times New Roman" w:hAnsi="Times New Roman" w:eastAsia="宋体" w:cs="Times New Roman"/>
          <w:color w:val="auto"/>
          <w:highlight w:val="none"/>
          <w:lang w:eastAsia="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、项目背景：为</w:t>
      </w:r>
      <w:r>
        <w:rPr>
          <w:rFonts w:hint="eastAsia" w:ascii="宋体" w:hAnsi="宋体" w:eastAsia="宋体" w:cs="宋体"/>
          <w:color w:val="auto"/>
          <w:sz w:val="21"/>
          <w:szCs w:val="21"/>
          <w:highlight w:val="none"/>
        </w:rPr>
        <w:t>进一步规范档案管理、提升资源效能、激活数据价值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形成“集约化管理、专业化服务、长效化保障、数字化赋能”的现代化档案管理模式。</w:t>
      </w:r>
      <w:r>
        <w:rPr>
          <w:rFonts w:hint="default" w:ascii="Times New Roman" w:hAnsi="Times New Roman" w:eastAsia="宋体" w:cs="Times New Roman"/>
          <w:color w:val="auto"/>
          <w:highlight w:val="none"/>
        </w:rPr>
        <w:t>本项目将</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家</w:t>
      </w:r>
      <w:r>
        <w:rPr>
          <w:rFonts w:hint="eastAsia" w:ascii="Times New Roman" w:hAnsi="Times New Roman" w:eastAsia="宋体" w:cs="Times New Roman"/>
          <w:color w:val="auto"/>
          <w:highlight w:val="none"/>
          <w:lang w:val="en-US" w:eastAsia="zh-CN"/>
        </w:rPr>
        <w:t>机关、事业单位</w:t>
      </w:r>
      <w:r>
        <w:rPr>
          <w:rFonts w:hint="default" w:ascii="Times New Roman" w:hAnsi="Times New Roman" w:eastAsia="宋体" w:cs="Times New Roman"/>
          <w:color w:val="auto"/>
          <w:highlight w:val="none"/>
        </w:rPr>
        <w:t>的智慧档案全流程服务业务打包，</w:t>
      </w:r>
      <w:r>
        <w:rPr>
          <w:rFonts w:hint="eastAsia" w:ascii="Times New Roman" w:hAnsi="Times New Roman" w:eastAsia="宋体" w:cs="Times New Roman"/>
          <w:color w:val="auto"/>
          <w:highlight w:val="none"/>
          <w:lang w:val="en-US" w:eastAsia="zh-CN"/>
        </w:rPr>
        <w:t>由采购人通过公开招标方式选定承接主体，</w:t>
      </w:r>
      <w:r>
        <w:rPr>
          <w:rFonts w:hint="default" w:ascii="Times New Roman" w:hAnsi="Times New Roman" w:eastAsia="宋体" w:cs="Times New Roman"/>
          <w:color w:val="auto"/>
          <w:highlight w:val="none"/>
          <w:lang w:val="en-US" w:eastAsia="zh-CN"/>
        </w:rPr>
        <w:t>按照资金性质不同分类实施，其中</w:t>
      </w:r>
      <w:r>
        <w:rPr>
          <w:rFonts w:hint="default" w:ascii="Times New Roman" w:hAnsi="Times New Roman" w:eastAsia="宋体" w:cs="Times New Roman"/>
          <w:color w:val="auto"/>
          <w:highlight w:val="none"/>
        </w:rPr>
        <w:t>机关、事业单位采取“</w:t>
      </w:r>
      <w:r>
        <w:rPr>
          <w:rFonts w:hint="eastAsia" w:ascii="Times New Roman" w:hAnsi="Times New Roman" w:eastAsia="宋体" w:cs="Times New Roman"/>
          <w:color w:val="auto"/>
          <w:highlight w:val="none"/>
          <w:lang w:eastAsia="zh-CN"/>
        </w:rPr>
        <w:t>联合采购分签合同</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方式，市属国有企业、县市区参照执行</w:t>
      </w:r>
      <w:r>
        <w:rPr>
          <w:rFonts w:hint="eastAsia" w:ascii="Times New Roman" w:hAnsi="Times New Roman" w:eastAsia="宋体" w:cs="Times New Roman"/>
          <w:color w:val="auto"/>
          <w:highlight w:val="none"/>
          <w:lang w:eastAsia="zh-CN"/>
        </w:rPr>
        <w:t>。</w:t>
      </w:r>
    </w:p>
    <w:p w14:paraId="706B4AFB">
      <w:pPr>
        <w:keepNext w:val="0"/>
        <w:keepLines w:val="0"/>
        <w:pageBreakBefore w:val="0"/>
        <w:widowControl w:val="0"/>
        <w:wordWrap/>
        <w:overflowPunct/>
        <w:topLinePunct w:val="0"/>
        <w:bidi w:val="0"/>
        <w:spacing w:line="400" w:lineRule="exact"/>
        <w:ind w:left="0" w:leftChars="0" w:right="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6、项目档案基本情况：</w:t>
      </w:r>
    </w:p>
    <w:p w14:paraId="726F92E7">
      <w:pPr>
        <w:keepNext w:val="0"/>
        <w:keepLines w:val="0"/>
        <w:pageBreakBefore w:val="0"/>
        <w:widowControl w:val="0"/>
        <w:wordWrap/>
        <w:overflowPunct/>
        <w:topLinePunct w:val="0"/>
        <w:bidi w:val="0"/>
        <w:spacing w:line="400" w:lineRule="exact"/>
        <w:ind w:left="0" w:leftChars="0" w:right="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 项目单位预算基本情况：</w:t>
      </w:r>
    </w:p>
    <w:p w14:paraId="0E287713">
      <w:pPr>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sz w:val="28"/>
          <w:szCs w:val="36"/>
          <w:highlight w:val="none"/>
          <w:lang w:val="en-US" w:eastAsia="zh-CN"/>
        </w:rPr>
        <w:t>业务单位预算金额明细表</w:t>
      </w:r>
    </w:p>
    <w:tbl>
      <w:tblPr>
        <w:tblStyle w:val="2"/>
        <w:tblW w:w="44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4122"/>
        <w:gridCol w:w="2127"/>
        <w:gridCol w:w="1281"/>
      </w:tblGrid>
      <w:tr w14:paraId="1678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blHeader/>
          <w:jc w:val="center"/>
        </w:trPr>
        <w:tc>
          <w:tcPr>
            <w:tcW w:w="510" w:type="pct"/>
            <w:noWrap w:val="0"/>
            <w:vAlign w:val="center"/>
          </w:tcPr>
          <w:p w14:paraId="3A25D33D">
            <w:pPr>
              <w:widowControl/>
              <w:spacing w:line="240" w:lineRule="auto"/>
              <w:ind w:firstLine="0" w:firstLineChars="0"/>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序号</w:t>
            </w:r>
          </w:p>
        </w:tc>
        <w:tc>
          <w:tcPr>
            <w:tcW w:w="2457" w:type="pct"/>
            <w:noWrap w:val="0"/>
            <w:vAlign w:val="center"/>
          </w:tcPr>
          <w:p w14:paraId="1225FF5C">
            <w:pPr>
              <w:widowControl/>
              <w:spacing w:line="240" w:lineRule="auto"/>
              <w:ind w:firstLine="0" w:firstLineChars="0"/>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val="en-US" w:eastAsia="zh-CN" w:bidi="ar"/>
              </w:rPr>
              <w:t>业务</w:t>
            </w:r>
            <w:r>
              <w:rPr>
                <w:rFonts w:hint="eastAsia" w:ascii="宋体" w:hAnsi="宋体" w:eastAsia="宋体" w:cs="宋体"/>
                <w:b/>
                <w:bCs/>
                <w:color w:val="auto"/>
                <w:kern w:val="0"/>
                <w:sz w:val="21"/>
                <w:szCs w:val="21"/>
                <w:highlight w:val="none"/>
                <w:lang w:bidi="ar"/>
              </w:rPr>
              <w:t>单位</w:t>
            </w:r>
          </w:p>
        </w:tc>
        <w:tc>
          <w:tcPr>
            <w:tcW w:w="1268" w:type="pct"/>
            <w:noWrap w:val="0"/>
            <w:vAlign w:val="center"/>
          </w:tcPr>
          <w:p w14:paraId="28FF37AB">
            <w:pPr>
              <w:widowControl/>
              <w:spacing w:line="240" w:lineRule="auto"/>
              <w:ind w:firstLine="0" w:firstLineChars="0"/>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预算金额（元/年）</w:t>
            </w:r>
          </w:p>
        </w:tc>
        <w:tc>
          <w:tcPr>
            <w:tcW w:w="763" w:type="pct"/>
            <w:noWrap w:val="0"/>
            <w:vAlign w:val="center"/>
          </w:tcPr>
          <w:p w14:paraId="3044E95A">
            <w:pPr>
              <w:widowControl/>
              <w:spacing w:line="240" w:lineRule="auto"/>
              <w:ind w:firstLine="0" w:firstLineChars="0"/>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备注</w:t>
            </w:r>
          </w:p>
        </w:tc>
      </w:tr>
      <w:tr w14:paraId="737E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711BA3DC">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2457" w:type="pct"/>
            <w:noWrap w:val="0"/>
            <w:vAlign w:val="center"/>
          </w:tcPr>
          <w:p w14:paraId="28A4F93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株洲市自然资源和规划局</w:t>
            </w:r>
          </w:p>
        </w:tc>
        <w:tc>
          <w:tcPr>
            <w:tcW w:w="1268" w:type="pct"/>
            <w:noWrap w:val="0"/>
            <w:vAlign w:val="center"/>
          </w:tcPr>
          <w:p w14:paraId="5D8645A3">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1800000.00 </w:t>
            </w:r>
          </w:p>
        </w:tc>
        <w:tc>
          <w:tcPr>
            <w:tcW w:w="763" w:type="pct"/>
            <w:noWrap w:val="0"/>
            <w:vAlign w:val="center"/>
          </w:tcPr>
          <w:p w14:paraId="5B5A90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EA4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12CBBCCD">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2457" w:type="pct"/>
            <w:noWrap w:val="0"/>
            <w:vAlign w:val="center"/>
          </w:tcPr>
          <w:p w14:paraId="495FE88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株洲市住房公积金管理中心</w:t>
            </w:r>
          </w:p>
        </w:tc>
        <w:tc>
          <w:tcPr>
            <w:tcW w:w="1268" w:type="pct"/>
            <w:noWrap w:val="0"/>
            <w:vAlign w:val="center"/>
          </w:tcPr>
          <w:p w14:paraId="277CB769">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7120.00 </w:t>
            </w:r>
          </w:p>
        </w:tc>
        <w:tc>
          <w:tcPr>
            <w:tcW w:w="763" w:type="pct"/>
            <w:noWrap w:val="0"/>
            <w:vAlign w:val="center"/>
          </w:tcPr>
          <w:p w14:paraId="6C5633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2DD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5287F857">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2457" w:type="pct"/>
            <w:shd w:val="clear" w:color="auto" w:fill="auto"/>
            <w:noWrap w:val="0"/>
            <w:vAlign w:val="center"/>
          </w:tcPr>
          <w:p w14:paraId="33720CE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株洲市卫生健康委员会</w:t>
            </w:r>
          </w:p>
        </w:tc>
        <w:tc>
          <w:tcPr>
            <w:tcW w:w="1268" w:type="pct"/>
            <w:shd w:val="clear" w:color="auto" w:fill="auto"/>
            <w:noWrap w:val="0"/>
            <w:vAlign w:val="center"/>
          </w:tcPr>
          <w:p w14:paraId="5995A19D">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41450.00 </w:t>
            </w:r>
          </w:p>
        </w:tc>
        <w:tc>
          <w:tcPr>
            <w:tcW w:w="763" w:type="pct"/>
            <w:noWrap w:val="0"/>
            <w:vAlign w:val="center"/>
          </w:tcPr>
          <w:p w14:paraId="05842E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DCF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7578574E">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2457" w:type="pct"/>
            <w:shd w:val="clear" w:color="auto" w:fill="auto"/>
            <w:noWrap w:val="0"/>
            <w:vAlign w:val="center"/>
          </w:tcPr>
          <w:p w14:paraId="52AEAB7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株洲市妇幼保健院</w:t>
            </w:r>
          </w:p>
        </w:tc>
        <w:tc>
          <w:tcPr>
            <w:tcW w:w="1268" w:type="pct"/>
            <w:shd w:val="clear" w:color="auto" w:fill="auto"/>
            <w:noWrap w:val="0"/>
            <w:vAlign w:val="center"/>
          </w:tcPr>
          <w:p w14:paraId="7F89A4E8">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9196.00 </w:t>
            </w:r>
          </w:p>
        </w:tc>
        <w:tc>
          <w:tcPr>
            <w:tcW w:w="763" w:type="pct"/>
            <w:noWrap w:val="0"/>
            <w:vAlign w:val="center"/>
          </w:tcPr>
          <w:p w14:paraId="0A6F33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26A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3FAE81A4">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5</w:t>
            </w:r>
          </w:p>
        </w:tc>
        <w:tc>
          <w:tcPr>
            <w:tcW w:w="2457" w:type="pct"/>
            <w:shd w:val="clear" w:color="auto" w:fill="auto"/>
            <w:noWrap w:val="0"/>
            <w:vAlign w:val="center"/>
          </w:tcPr>
          <w:p w14:paraId="351B927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株洲市三医院</w:t>
            </w:r>
          </w:p>
        </w:tc>
        <w:tc>
          <w:tcPr>
            <w:tcW w:w="1268" w:type="pct"/>
            <w:shd w:val="clear" w:color="auto" w:fill="auto"/>
            <w:noWrap w:val="0"/>
            <w:vAlign w:val="center"/>
          </w:tcPr>
          <w:p w14:paraId="334E6632">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90300.00 </w:t>
            </w:r>
          </w:p>
        </w:tc>
        <w:tc>
          <w:tcPr>
            <w:tcW w:w="763" w:type="pct"/>
            <w:noWrap w:val="0"/>
            <w:vAlign w:val="center"/>
          </w:tcPr>
          <w:p w14:paraId="705D20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E5C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0" w:type="pct"/>
            <w:noWrap w:val="0"/>
            <w:vAlign w:val="center"/>
          </w:tcPr>
          <w:p w14:paraId="18283EE4">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6</w:t>
            </w:r>
          </w:p>
        </w:tc>
        <w:tc>
          <w:tcPr>
            <w:tcW w:w="2457" w:type="pct"/>
            <w:shd w:val="clear" w:color="auto" w:fill="auto"/>
            <w:noWrap w:val="0"/>
            <w:vAlign w:val="center"/>
          </w:tcPr>
          <w:p w14:paraId="64402F1D">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株洲市中心医院</w:t>
            </w:r>
          </w:p>
        </w:tc>
        <w:tc>
          <w:tcPr>
            <w:tcW w:w="1268" w:type="pct"/>
            <w:shd w:val="clear" w:color="auto" w:fill="auto"/>
            <w:noWrap w:val="0"/>
            <w:vAlign w:val="center"/>
          </w:tcPr>
          <w:p w14:paraId="6836A91A">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749750.00 </w:t>
            </w:r>
          </w:p>
        </w:tc>
        <w:tc>
          <w:tcPr>
            <w:tcW w:w="763" w:type="pct"/>
            <w:noWrap w:val="0"/>
            <w:vAlign w:val="center"/>
          </w:tcPr>
          <w:p w14:paraId="14A9FD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FF4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0" w:type="pct"/>
            <w:noWrap w:val="0"/>
            <w:vAlign w:val="center"/>
          </w:tcPr>
          <w:p w14:paraId="49F37E90">
            <w:pPr>
              <w:keepNext w:val="0"/>
              <w:keepLines w:val="0"/>
              <w:widowControl/>
              <w:suppressLineNumbers w:val="0"/>
              <w:spacing w:line="240" w:lineRule="auto"/>
              <w:ind w:firstLine="0" w:firstLineChars="0"/>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7</w:t>
            </w:r>
          </w:p>
        </w:tc>
        <w:tc>
          <w:tcPr>
            <w:tcW w:w="2457" w:type="pct"/>
            <w:shd w:val="clear" w:color="auto" w:fill="auto"/>
            <w:noWrap w:val="0"/>
            <w:vAlign w:val="center"/>
          </w:tcPr>
          <w:p w14:paraId="15296FE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株洲市三三一医院</w:t>
            </w:r>
          </w:p>
        </w:tc>
        <w:tc>
          <w:tcPr>
            <w:tcW w:w="1268" w:type="pct"/>
            <w:shd w:val="clear" w:color="auto" w:fill="auto"/>
            <w:noWrap w:val="0"/>
            <w:vAlign w:val="center"/>
          </w:tcPr>
          <w:p w14:paraId="66EA7995">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153400.00 </w:t>
            </w:r>
          </w:p>
        </w:tc>
        <w:tc>
          <w:tcPr>
            <w:tcW w:w="763" w:type="pct"/>
            <w:noWrap w:val="0"/>
            <w:vAlign w:val="center"/>
          </w:tcPr>
          <w:p w14:paraId="78A2D6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948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968" w:type="pct"/>
            <w:gridSpan w:val="2"/>
            <w:noWrap w:val="0"/>
            <w:vAlign w:val="center"/>
          </w:tcPr>
          <w:p w14:paraId="16FA57EB">
            <w:pPr>
              <w:keepNext w:val="0"/>
              <w:keepLines w:val="0"/>
              <w:widowControl/>
              <w:suppressLineNumbers w:val="0"/>
              <w:spacing w:line="240" w:lineRule="auto"/>
              <w:ind w:firstLine="0" w:firstLineChars="0"/>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1268" w:type="pct"/>
            <w:noWrap w:val="0"/>
            <w:vAlign w:val="center"/>
          </w:tcPr>
          <w:p w14:paraId="3CB9D31C">
            <w:pPr>
              <w:keepNext w:val="0"/>
              <w:keepLines w:val="0"/>
              <w:widowControl/>
              <w:suppressLineNumbers w:val="0"/>
              <w:spacing w:line="240" w:lineRule="auto"/>
              <w:ind w:firstLine="0" w:firstLineChars="0"/>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2851216.00</w:t>
            </w:r>
          </w:p>
        </w:tc>
        <w:tc>
          <w:tcPr>
            <w:tcW w:w="763" w:type="pct"/>
            <w:noWrap w:val="0"/>
            <w:vAlign w:val="center"/>
          </w:tcPr>
          <w:p w14:paraId="3A608FD5">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auto"/>
                <w:kern w:val="0"/>
                <w:sz w:val="22"/>
                <w:szCs w:val="22"/>
                <w:highlight w:val="none"/>
                <w:u w:val="none"/>
                <w:lang w:val="en-US" w:eastAsia="zh-CN" w:bidi="ar"/>
              </w:rPr>
            </w:pPr>
          </w:p>
        </w:tc>
      </w:tr>
    </w:tbl>
    <w:p w14:paraId="5D86D3CE">
      <w:pPr>
        <w:keepNext w:val="0"/>
        <w:keepLines w:val="0"/>
        <w:pageBreakBefore w:val="0"/>
        <w:tabs>
          <w:tab w:val="left" w:pos="5946"/>
        </w:tabs>
        <w:wordWrap/>
        <w:topLinePunct w:val="0"/>
        <w:autoSpaceDE w:val="0"/>
        <w:autoSpaceDN w:val="0"/>
        <w:bidi w:val="0"/>
        <w:spacing w:line="400" w:lineRule="exact"/>
        <w:ind w:firstLine="360" w:firstLineChars="200"/>
        <w:rPr>
          <w:rFonts w:hint="default" w:eastAsia="宋体"/>
          <w:color w:val="auto"/>
          <w:highlight w:val="none"/>
          <w:lang w:val="en-US" w:eastAsia="zh-CN"/>
        </w:rPr>
        <w:sectPr>
          <w:headerReference r:id="rId3" w:type="default"/>
          <w:footerReference r:id="rId4" w:type="default"/>
          <w:pgSz w:w="11906" w:h="16838"/>
          <w:pgMar w:top="1474" w:right="1474" w:bottom="1474" w:left="1188" w:header="851" w:footer="992" w:gutter="0"/>
          <w:pgNumType w:fmt="decimal"/>
          <w:cols w:space="720" w:num="1"/>
          <w:docGrid w:type="lines" w:linePitch="312" w:charSpace="0"/>
        </w:sectPr>
      </w:pPr>
      <w:r>
        <w:rPr>
          <w:rFonts w:hint="eastAsia" w:ascii="宋体" w:hAnsi="宋体" w:eastAsia="宋体" w:cs="宋体"/>
          <w:color w:val="auto"/>
          <w:kern w:val="0"/>
          <w:sz w:val="18"/>
          <w:szCs w:val="18"/>
          <w:highlight w:val="none"/>
          <w:lang w:val="en-US" w:eastAsia="zh-CN" w:bidi="ar"/>
        </w:rPr>
        <w:t>说明：1、上述预算金额为每年预估金额，最终以各单位实际工作量为准，据实结算；2、结算单价则以公开招标结果为准；3、上述服务内容中不涉及涉密档案。</w:t>
      </w:r>
    </w:p>
    <w:p w14:paraId="242D4C4D">
      <w:pPr>
        <w:keepNext w:val="0"/>
        <w:keepLines w:val="0"/>
        <w:pageBreakBefore w:val="0"/>
        <w:tabs>
          <w:tab w:val="left" w:pos="5946"/>
        </w:tabs>
        <w:wordWrap/>
        <w:topLinePunct w:val="0"/>
        <w:autoSpaceDE w:val="0"/>
        <w:autoSpaceDN w:val="0"/>
        <w:bidi w:val="0"/>
        <w:spacing w:line="400" w:lineRule="exact"/>
        <w:ind w:firstLine="420" w:firstLineChars="20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6.2服务内容单价限价说明</w:t>
      </w:r>
    </w:p>
    <w:tbl>
      <w:tblPr>
        <w:tblStyle w:val="3"/>
        <w:tblW w:w="9697" w:type="dxa"/>
        <w:tblInd w:w="-3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340"/>
        <w:gridCol w:w="1609"/>
        <w:gridCol w:w="955"/>
        <w:gridCol w:w="1173"/>
        <w:gridCol w:w="3823"/>
      </w:tblGrid>
      <w:tr w14:paraId="4976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797" w:type="dxa"/>
            <w:noWrap w:val="0"/>
            <w:vAlign w:val="center"/>
          </w:tcPr>
          <w:p w14:paraId="79C86E9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1340" w:type="dxa"/>
            <w:noWrap w:val="0"/>
            <w:vAlign w:val="center"/>
          </w:tcPr>
          <w:p w14:paraId="17C6AB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采购内容</w:t>
            </w:r>
          </w:p>
        </w:tc>
        <w:tc>
          <w:tcPr>
            <w:tcW w:w="1609" w:type="dxa"/>
            <w:noWrap w:val="0"/>
            <w:vAlign w:val="center"/>
          </w:tcPr>
          <w:p w14:paraId="086A15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服务内容</w:t>
            </w:r>
          </w:p>
        </w:tc>
        <w:tc>
          <w:tcPr>
            <w:tcW w:w="955" w:type="dxa"/>
            <w:noWrap w:val="0"/>
            <w:vAlign w:val="center"/>
          </w:tcPr>
          <w:p w14:paraId="45B4C8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单位</w:t>
            </w:r>
          </w:p>
        </w:tc>
        <w:tc>
          <w:tcPr>
            <w:tcW w:w="1173" w:type="dxa"/>
            <w:noWrap w:val="0"/>
            <w:vAlign w:val="center"/>
          </w:tcPr>
          <w:p w14:paraId="0370EE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单价限价（元）</w:t>
            </w:r>
          </w:p>
        </w:tc>
        <w:tc>
          <w:tcPr>
            <w:tcW w:w="3823" w:type="dxa"/>
            <w:shd w:val="clear" w:color="auto" w:fill="auto"/>
            <w:noWrap w:val="0"/>
            <w:vAlign w:val="center"/>
          </w:tcPr>
          <w:p w14:paraId="54775F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服务说明</w:t>
            </w:r>
          </w:p>
        </w:tc>
      </w:tr>
      <w:tr w14:paraId="3C63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97" w:type="dxa"/>
            <w:vMerge w:val="restart"/>
            <w:noWrap w:val="0"/>
            <w:vAlign w:val="center"/>
          </w:tcPr>
          <w:p w14:paraId="2710B1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340" w:type="dxa"/>
            <w:vMerge w:val="restart"/>
            <w:noWrap w:val="0"/>
            <w:vAlign w:val="center"/>
          </w:tcPr>
          <w:p w14:paraId="2A06B8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档案寄</w:t>
            </w:r>
          </w:p>
          <w:p w14:paraId="7A71E16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存服务</w:t>
            </w:r>
          </w:p>
        </w:tc>
        <w:tc>
          <w:tcPr>
            <w:tcW w:w="1609" w:type="dxa"/>
            <w:noWrap w:val="0"/>
            <w:vAlign w:val="center"/>
          </w:tcPr>
          <w:p w14:paraId="6F13D1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档案寄存</w:t>
            </w:r>
          </w:p>
        </w:tc>
        <w:tc>
          <w:tcPr>
            <w:tcW w:w="955" w:type="dxa"/>
            <w:noWrap w:val="0"/>
            <w:vAlign w:val="center"/>
          </w:tcPr>
          <w:p w14:paraId="7245D8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箱/年</w:t>
            </w:r>
          </w:p>
        </w:tc>
        <w:tc>
          <w:tcPr>
            <w:tcW w:w="1173" w:type="dxa"/>
            <w:noWrap w:val="0"/>
            <w:vAlign w:val="center"/>
          </w:tcPr>
          <w:p w14:paraId="7F2B65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36</w:t>
            </w:r>
          </w:p>
        </w:tc>
        <w:tc>
          <w:tcPr>
            <w:tcW w:w="3823" w:type="dxa"/>
            <w:shd w:val="clear" w:color="auto" w:fill="auto"/>
            <w:noWrap w:val="0"/>
            <w:vAlign w:val="center"/>
          </w:tcPr>
          <w:p w14:paraId="3F8E239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约10卷为一箱，一卷约220页，包含但不限于文书、科研、基建、业务、会计、声像、实物等各门类档案</w:t>
            </w:r>
          </w:p>
        </w:tc>
      </w:tr>
      <w:tr w14:paraId="2616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97" w:type="dxa"/>
            <w:vMerge w:val="continue"/>
            <w:noWrap w:val="0"/>
            <w:vAlign w:val="center"/>
          </w:tcPr>
          <w:p w14:paraId="221EBB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1E4E97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4E22450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档案凭证箱</w:t>
            </w:r>
          </w:p>
        </w:tc>
        <w:tc>
          <w:tcPr>
            <w:tcW w:w="955" w:type="dxa"/>
            <w:noWrap w:val="0"/>
            <w:vAlign w:val="center"/>
          </w:tcPr>
          <w:p w14:paraId="76CEEB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箱/年</w:t>
            </w:r>
          </w:p>
        </w:tc>
        <w:tc>
          <w:tcPr>
            <w:tcW w:w="1173" w:type="dxa"/>
            <w:noWrap w:val="0"/>
            <w:vAlign w:val="center"/>
          </w:tcPr>
          <w:p w14:paraId="6A48DD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p>
        </w:tc>
        <w:tc>
          <w:tcPr>
            <w:tcW w:w="3823" w:type="dxa"/>
            <w:shd w:val="clear" w:color="auto" w:fill="auto"/>
            <w:noWrap w:val="0"/>
            <w:vAlign w:val="center"/>
          </w:tcPr>
          <w:p w14:paraId="4F1BAEC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40㎝*32㎝*25.5㎝（长宽高），含防虫、防霉药物处理及定时更换</w:t>
            </w:r>
          </w:p>
        </w:tc>
      </w:tr>
      <w:tr w14:paraId="1455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97" w:type="dxa"/>
            <w:vMerge w:val="continue"/>
            <w:noWrap w:val="0"/>
            <w:vAlign w:val="center"/>
          </w:tcPr>
          <w:p w14:paraId="26BCAE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626B7D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50FD04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档案运输</w:t>
            </w:r>
          </w:p>
        </w:tc>
        <w:tc>
          <w:tcPr>
            <w:tcW w:w="955" w:type="dxa"/>
            <w:noWrap w:val="0"/>
            <w:vAlign w:val="center"/>
          </w:tcPr>
          <w:p w14:paraId="4BBB7FB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箱</w:t>
            </w:r>
          </w:p>
        </w:tc>
        <w:tc>
          <w:tcPr>
            <w:tcW w:w="1173" w:type="dxa"/>
            <w:noWrap w:val="0"/>
            <w:vAlign w:val="center"/>
          </w:tcPr>
          <w:p w14:paraId="763559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3823" w:type="dxa"/>
            <w:shd w:val="clear" w:color="auto" w:fill="auto"/>
            <w:noWrap w:val="0"/>
            <w:vAlign w:val="center"/>
          </w:tcPr>
          <w:p w14:paraId="3DAE58D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首次收费，运输至寄存库房</w:t>
            </w:r>
          </w:p>
        </w:tc>
      </w:tr>
      <w:tr w14:paraId="2C98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97" w:type="dxa"/>
            <w:vMerge w:val="continue"/>
            <w:noWrap w:val="0"/>
            <w:vAlign w:val="center"/>
          </w:tcPr>
          <w:p w14:paraId="0B7E81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1747854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76DCC6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档案封箱</w:t>
            </w:r>
          </w:p>
        </w:tc>
        <w:tc>
          <w:tcPr>
            <w:tcW w:w="955" w:type="dxa"/>
            <w:noWrap w:val="0"/>
            <w:vAlign w:val="center"/>
          </w:tcPr>
          <w:p w14:paraId="0013F9E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箱</w:t>
            </w:r>
          </w:p>
        </w:tc>
        <w:tc>
          <w:tcPr>
            <w:tcW w:w="1173" w:type="dxa"/>
            <w:noWrap w:val="0"/>
            <w:vAlign w:val="center"/>
          </w:tcPr>
          <w:p w14:paraId="16EB22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3823" w:type="dxa"/>
            <w:shd w:val="clear" w:color="auto" w:fill="auto"/>
            <w:noWrap w:val="0"/>
            <w:vAlign w:val="center"/>
          </w:tcPr>
          <w:p w14:paraId="223766E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首次收费，按类别封箱，编写档案调阅查询目录</w:t>
            </w:r>
          </w:p>
        </w:tc>
      </w:tr>
      <w:tr w14:paraId="7B0F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97" w:type="dxa"/>
            <w:vMerge w:val="continue"/>
            <w:noWrap w:val="0"/>
            <w:vAlign w:val="center"/>
          </w:tcPr>
          <w:p w14:paraId="71D6EC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6A59BB0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0232F8D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档案锁扣</w:t>
            </w:r>
          </w:p>
        </w:tc>
        <w:tc>
          <w:tcPr>
            <w:tcW w:w="955" w:type="dxa"/>
            <w:noWrap w:val="0"/>
            <w:vAlign w:val="center"/>
          </w:tcPr>
          <w:p w14:paraId="3814874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对</w:t>
            </w:r>
          </w:p>
        </w:tc>
        <w:tc>
          <w:tcPr>
            <w:tcW w:w="1173" w:type="dxa"/>
            <w:noWrap w:val="0"/>
            <w:vAlign w:val="center"/>
          </w:tcPr>
          <w:p w14:paraId="4C5FABB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3823" w:type="dxa"/>
            <w:shd w:val="clear" w:color="auto" w:fill="auto"/>
            <w:noWrap w:val="0"/>
            <w:vAlign w:val="center"/>
          </w:tcPr>
          <w:p w14:paraId="1A1DA72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每箱配备两个一次性安全锁扣，编码独立，查询拆解后需进行收费更换</w:t>
            </w:r>
          </w:p>
        </w:tc>
      </w:tr>
      <w:tr w14:paraId="5E20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797" w:type="dxa"/>
            <w:noWrap w:val="0"/>
            <w:vAlign w:val="center"/>
          </w:tcPr>
          <w:p w14:paraId="14FFF3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340" w:type="dxa"/>
            <w:noWrap w:val="0"/>
            <w:vAlign w:val="center"/>
          </w:tcPr>
          <w:p w14:paraId="0BB85E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档案整理服务</w:t>
            </w:r>
          </w:p>
        </w:tc>
        <w:tc>
          <w:tcPr>
            <w:tcW w:w="1609" w:type="dxa"/>
            <w:noWrap w:val="0"/>
            <w:vAlign w:val="center"/>
          </w:tcPr>
          <w:p w14:paraId="592EF4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档案整理</w:t>
            </w:r>
          </w:p>
        </w:tc>
        <w:tc>
          <w:tcPr>
            <w:tcW w:w="955" w:type="dxa"/>
            <w:noWrap w:val="0"/>
            <w:vAlign w:val="center"/>
          </w:tcPr>
          <w:p w14:paraId="648A21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卷</w:t>
            </w:r>
          </w:p>
        </w:tc>
        <w:tc>
          <w:tcPr>
            <w:tcW w:w="1173" w:type="dxa"/>
            <w:noWrap w:val="0"/>
            <w:vAlign w:val="center"/>
          </w:tcPr>
          <w:p w14:paraId="20363D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50</w:t>
            </w:r>
          </w:p>
        </w:tc>
        <w:tc>
          <w:tcPr>
            <w:tcW w:w="3823" w:type="dxa"/>
            <w:shd w:val="clear" w:color="auto" w:fill="auto"/>
            <w:noWrap w:val="0"/>
            <w:vAlign w:val="center"/>
          </w:tcPr>
          <w:p w14:paraId="6DEF369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一个标准档案盒3cm-5cm，约130-260页为一卷（A0图纸为15-30张），档案整理包含但不限于文书（8件为1卷）、科研、基建、业务、会计（2件为1卷）、声像、实物（5件为1卷）等档案以及图纸折叠（A2-A0）、档案检索目录及备考表、档案装订等相关服务与耗材</w:t>
            </w:r>
          </w:p>
        </w:tc>
      </w:tr>
      <w:tr w14:paraId="3310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97" w:type="dxa"/>
            <w:vMerge w:val="restart"/>
            <w:noWrap w:val="0"/>
            <w:vAlign w:val="center"/>
          </w:tcPr>
          <w:p w14:paraId="293D03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p>
        </w:tc>
        <w:tc>
          <w:tcPr>
            <w:tcW w:w="1340" w:type="dxa"/>
            <w:vMerge w:val="restart"/>
            <w:noWrap w:val="0"/>
            <w:vAlign w:val="center"/>
          </w:tcPr>
          <w:p w14:paraId="66FD4E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档案数字化及其他相关服务</w:t>
            </w:r>
          </w:p>
        </w:tc>
        <w:tc>
          <w:tcPr>
            <w:tcW w:w="1609" w:type="dxa"/>
            <w:noWrap w:val="0"/>
            <w:vAlign w:val="center"/>
          </w:tcPr>
          <w:p w14:paraId="0B58F9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A4扫描</w:t>
            </w:r>
          </w:p>
        </w:tc>
        <w:tc>
          <w:tcPr>
            <w:tcW w:w="955" w:type="dxa"/>
            <w:noWrap w:val="0"/>
            <w:vAlign w:val="center"/>
          </w:tcPr>
          <w:p w14:paraId="35D159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面</w:t>
            </w:r>
          </w:p>
        </w:tc>
        <w:tc>
          <w:tcPr>
            <w:tcW w:w="1173" w:type="dxa"/>
            <w:noWrap w:val="0"/>
            <w:vAlign w:val="center"/>
          </w:tcPr>
          <w:p w14:paraId="65773EF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0.35</w:t>
            </w:r>
          </w:p>
        </w:tc>
        <w:tc>
          <w:tcPr>
            <w:tcW w:w="3823" w:type="dxa"/>
            <w:vMerge w:val="restart"/>
            <w:shd w:val="clear" w:color="auto" w:fill="auto"/>
            <w:noWrap w:val="0"/>
            <w:vAlign w:val="center"/>
          </w:tcPr>
          <w:p w14:paraId="60214841">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包含档案系统挂接等相关服务与耗材</w:t>
            </w:r>
          </w:p>
        </w:tc>
      </w:tr>
      <w:tr w14:paraId="2656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97" w:type="dxa"/>
            <w:vMerge w:val="continue"/>
            <w:noWrap w:val="0"/>
            <w:vAlign w:val="center"/>
          </w:tcPr>
          <w:p w14:paraId="4E27D3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1D8AD27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04B4676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A3扫描</w:t>
            </w:r>
          </w:p>
        </w:tc>
        <w:tc>
          <w:tcPr>
            <w:tcW w:w="955" w:type="dxa"/>
            <w:noWrap w:val="0"/>
            <w:vAlign w:val="center"/>
          </w:tcPr>
          <w:p w14:paraId="2DA3C2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面</w:t>
            </w:r>
          </w:p>
        </w:tc>
        <w:tc>
          <w:tcPr>
            <w:tcW w:w="1173" w:type="dxa"/>
            <w:noWrap w:val="0"/>
            <w:vAlign w:val="center"/>
          </w:tcPr>
          <w:p w14:paraId="229C991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0.6</w:t>
            </w:r>
          </w:p>
        </w:tc>
        <w:tc>
          <w:tcPr>
            <w:tcW w:w="3823" w:type="dxa"/>
            <w:vMerge w:val="continue"/>
            <w:shd w:val="clear" w:color="auto" w:fill="auto"/>
            <w:noWrap w:val="0"/>
            <w:vAlign w:val="center"/>
          </w:tcPr>
          <w:p w14:paraId="488B32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r>
      <w:tr w14:paraId="3DFF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97" w:type="dxa"/>
            <w:vMerge w:val="continue"/>
            <w:noWrap w:val="0"/>
            <w:vAlign w:val="center"/>
          </w:tcPr>
          <w:p w14:paraId="65A470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568966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38E402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A2扫描</w:t>
            </w:r>
          </w:p>
        </w:tc>
        <w:tc>
          <w:tcPr>
            <w:tcW w:w="955" w:type="dxa"/>
            <w:noWrap w:val="0"/>
            <w:vAlign w:val="center"/>
          </w:tcPr>
          <w:p w14:paraId="6688BC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面</w:t>
            </w:r>
          </w:p>
        </w:tc>
        <w:tc>
          <w:tcPr>
            <w:tcW w:w="1173" w:type="dxa"/>
            <w:noWrap w:val="0"/>
            <w:vAlign w:val="center"/>
          </w:tcPr>
          <w:p w14:paraId="409583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w:t>
            </w:r>
          </w:p>
        </w:tc>
        <w:tc>
          <w:tcPr>
            <w:tcW w:w="3823" w:type="dxa"/>
            <w:vMerge w:val="continue"/>
            <w:shd w:val="clear" w:color="auto" w:fill="auto"/>
            <w:noWrap w:val="0"/>
            <w:vAlign w:val="center"/>
          </w:tcPr>
          <w:p w14:paraId="5200A8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r>
      <w:tr w14:paraId="72D2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97" w:type="dxa"/>
            <w:vMerge w:val="continue"/>
            <w:noWrap w:val="0"/>
            <w:vAlign w:val="center"/>
          </w:tcPr>
          <w:p w14:paraId="0689FB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2593C23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741B6C7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A1扫描</w:t>
            </w:r>
          </w:p>
        </w:tc>
        <w:tc>
          <w:tcPr>
            <w:tcW w:w="955" w:type="dxa"/>
            <w:noWrap w:val="0"/>
            <w:vAlign w:val="center"/>
          </w:tcPr>
          <w:p w14:paraId="03AA3D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面</w:t>
            </w:r>
          </w:p>
        </w:tc>
        <w:tc>
          <w:tcPr>
            <w:tcW w:w="1173" w:type="dxa"/>
            <w:noWrap w:val="0"/>
            <w:vAlign w:val="center"/>
          </w:tcPr>
          <w:p w14:paraId="1EBCDC9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2.4</w:t>
            </w:r>
          </w:p>
        </w:tc>
        <w:tc>
          <w:tcPr>
            <w:tcW w:w="3823" w:type="dxa"/>
            <w:vMerge w:val="continue"/>
            <w:shd w:val="clear" w:color="auto" w:fill="auto"/>
            <w:noWrap w:val="0"/>
            <w:vAlign w:val="center"/>
          </w:tcPr>
          <w:p w14:paraId="615F47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r>
      <w:tr w14:paraId="19BF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797" w:type="dxa"/>
            <w:vMerge w:val="continue"/>
            <w:noWrap w:val="0"/>
            <w:vAlign w:val="center"/>
          </w:tcPr>
          <w:p w14:paraId="0DD05B7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1BD1FB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noWrap w:val="0"/>
            <w:vAlign w:val="center"/>
          </w:tcPr>
          <w:p w14:paraId="213090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A0扫描</w:t>
            </w:r>
          </w:p>
        </w:tc>
        <w:tc>
          <w:tcPr>
            <w:tcW w:w="955" w:type="dxa"/>
            <w:noWrap w:val="0"/>
            <w:vAlign w:val="center"/>
          </w:tcPr>
          <w:p w14:paraId="73EB7B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面</w:t>
            </w:r>
          </w:p>
        </w:tc>
        <w:tc>
          <w:tcPr>
            <w:tcW w:w="1173" w:type="dxa"/>
            <w:noWrap w:val="0"/>
            <w:vAlign w:val="center"/>
          </w:tcPr>
          <w:p w14:paraId="5CB94C1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4.8</w:t>
            </w:r>
          </w:p>
        </w:tc>
        <w:tc>
          <w:tcPr>
            <w:tcW w:w="3823" w:type="dxa"/>
            <w:vMerge w:val="continue"/>
            <w:shd w:val="clear" w:color="auto" w:fill="auto"/>
            <w:noWrap w:val="0"/>
            <w:vAlign w:val="center"/>
          </w:tcPr>
          <w:p w14:paraId="2B1B22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r>
      <w:tr w14:paraId="6270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97" w:type="dxa"/>
            <w:vMerge w:val="continue"/>
            <w:noWrap w:val="0"/>
            <w:vAlign w:val="center"/>
          </w:tcPr>
          <w:p w14:paraId="7E3CE2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579AD8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shd w:val="clear" w:color="auto" w:fill="auto"/>
            <w:noWrap w:val="0"/>
            <w:vAlign w:val="center"/>
          </w:tcPr>
          <w:p w14:paraId="3C88DD0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著录编制</w:t>
            </w:r>
          </w:p>
        </w:tc>
        <w:tc>
          <w:tcPr>
            <w:tcW w:w="955" w:type="dxa"/>
            <w:shd w:val="clear" w:color="auto" w:fill="auto"/>
            <w:noWrap w:val="0"/>
            <w:vAlign w:val="center"/>
          </w:tcPr>
          <w:p w14:paraId="5960BB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条</w:t>
            </w:r>
          </w:p>
        </w:tc>
        <w:tc>
          <w:tcPr>
            <w:tcW w:w="1173" w:type="dxa"/>
            <w:shd w:val="clear" w:color="auto" w:fill="auto"/>
            <w:noWrap w:val="0"/>
            <w:vAlign w:val="center"/>
          </w:tcPr>
          <w:p w14:paraId="505FB5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0.5</w:t>
            </w:r>
          </w:p>
        </w:tc>
        <w:tc>
          <w:tcPr>
            <w:tcW w:w="3823" w:type="dxa"/>
            <w:shd w:val="clear" w:color="auto" w:fill="auto"/>
            <w:noWrap w:val="0"/>
            <w:vAlign w:val="center"/>
          </w:tcPr>
          <w:p w14:paraId="258A7C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文书、业务等档案</w:t>
            </w:r>
          </w:p>
        </w:tc>
      </w:tr>
      <w:tr w14:paraId="55D2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797" w:type="dxa"/>
            <w:vMerge w:val="continue"/>
            <w:noWrap w:val="0"/>
            <w:vAlign w:val="center"/>
          </w:tcPr>
          <w:p w14:paraId="29FF8D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59A3FA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shd w:val="clear" w:color="auto" w:fill="auto"/>
            <w:noWrap w:val="0"/>
            <w:vAlign w:val="center"/>
          </w:tcPr>
          <w:p w14:paraId="4E09C9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封套</w:t>
            </w:r>
          </w:p>
        </w:tc>
        <w:tc>
          <w:tcPr>
            <w:tcW w:w="955" w:type="dxa"/>
            <w:shd w:val="clear" w:color="auto" w:fill="auto"/>
            <w:noWrap w:val="0"/>
            <w:vAlign w:val="center"/>
          </w:tcPr>
          <w:p w14:paraId="1F32873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个</w:t>
            </w:r>
          </w:p>
        </w:tc>
        <w:tc>
          <w:tcPr>
            <w:tcW w:w="1173" w:type="dxa"/>
            <w:shd w:val="clear" w:color="auto" w:fill="auto"/>
            <w:noWrap w:val="0"/>
            <w:vAlign w:val="center"/>
          </w:tcPr>
          <w:p w14:paraId="6B1579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0.4</w:t>
            </w:r>
          </w:p>
        </w:tc>
        <w:tc>
          <w:tcPr>
            <w:tcW w:w="3823" w:type="dxa"/>
            <w:shd w:val="clear" w:color="auto" w:fill="auto"/>
            <w:noWrap w:val="0"/>
            <w:vAlign w:val="center"/>
          </w:tcPr>
          <w:p w14:paraId="444C01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r>
      <w:tr w14:paraId="3093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97" w:type="dxa"/>
            <w:vMerge w:val="continue"/>
            <w:noWrap w:val="0"/>
            <w:vAlign w:val="center"/>
          </w:tcPr>
          <w:p w14:paraId="2B7CAD0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340" w:type="dxa"/>
            <w:vMerge w:val="continue"/>
            <w:noWrap w:val="0"/>
            <w:vAlign w:val="center"/>
          </w:tcPr>
          <w:p w14:paraId="669892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p>
        </w:tc>
        <w:tc>
          <w:tcPr>
            <w:tcW w:w="1609" w:type="dxa"/>
            <w:shd w:val="clear" w:color="auto" w:fill="auto"/>
            <w:noWrap w:val="0"/>
            <w:vAlign w:val="center"/>
          </w:tcPr>
          <w:p w14:paraId="122B0C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档案盒</w:t>
            </w:r>
          </w:p>
        </w:tc>
        <w:tc>
          <w:tcPr>
            <w:tcW w:w="955" w:type="dxa"/>
            <w:shd w:val="clear" w:color="auto" w:fill="auto"/>
            <w:noWrap w:val="0"/>
            <w:vAlign w:val="center"/>
          </w:tcPr>
          <w:p w14:paraId="7156A4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个</w:t>
            </w:r>
          </w:p>
        </w:tc>
        <w:tc>
          <w:tcPr>
            <w:tcW w:w="1173" w:type="dxa"/>
            <w:shd w:val="clear" w:color="auto" w:fill="auto"/>
            <w:noWrap w:val="0"/>
            <w:vAlign w:val="center"/>
          </w:tcPr>
          <w:p w14:paraId="00389D5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p>
        </w:tc>
        <w:tc>
          <w:tcPr>
            <w:tcW w:w="3823" w:type="dxa"/>
            <w:shd w:val="clear" w:color="auto" w:fill="auto"/>
            <w:noWrap w:val="0"/>
            <w:vAlign w:val="center"/>
          </w:tcPr>
          <w:p w14:paraId="25FE8E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规格3-5cm</w:t>
            </w:r>
          </w:p>
        </w:tc>
      </w:tr>
    </w:tbl>
    <w:p w14:paraId="38642087">
      <w:pPr>
        <w:widowControl w:val="0"/>
        <w:jc w:val="both"/>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说明：</w:t>
      </w:r>
      <w:r>
        <w:rPr>
          <w:rFonts w:hint="eastAsia" w:ascii="宋体" w:hAnsi="宋体" w:eastAsia="宋体" w:cs="宋体"/>
          <w:b/>
          <w:bCs/>
          <w:snapToGrid w:val="0"/>
          <w:color w:val="auto"/>
          <w:kern w:val="0"/>
          <w:sz w:val="21"/>
          <w:szCs w:val="21"/>
          <w:highlight w:val="none"/>
          <w:lang w:val="en-US" w:eastAsia="zh-CN" w:bidi="ar-SA"/>
        </w:rPr>
        <w:t>本项目报价采用折扣率报价方式，每类整体折扣率即为该类各单项的折扣率；供应商报价不得超过单价限价，否则按无效投标处理。</w:t>
      </w:r>
    </w:p>
    <w:p w14:paraId="5D758EDB">
      <w:pPr>
        <w:keepNext w:val="0"/>
        <w:keepLines w:val="0"/>
        <w:pageBreakBefore w:val="0"/>
        <w:wordWrap/>
        <w:overflowPunct/>
        <w:topLinePunct w:val="0"/>
        <w:bidi w:val="0"/>
        <w:spacing w:line="400" w:lineRule="exact"/>
        <w:ind w:left="0" w:leftChars="0" w:right="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二、智慧档案全流程服务实施</w:t>
      </w:r>
      <w:r>
        <w:rPr>
          <w:rFonts w:hint="default" w:ascii="宋体" w:hAnsi="宋体" w:eastAsia="宋体" w:cs="宋体"/>
          <w:b/>
          <w:bCs/>
          <w:color w:val="auto"/>
          <w:sz w:val="24"/>
          <w:szCs w:val="24"/>
          <w:highlight w:val="none"/>
          <w:lang w:val="en-US" w:eastAsia="zh-CN"/>
        </w:rPr>
        <w:t>内容</w:t>
      </w:r>
    </w:p>
    <w:p w14:paraId="3BD1703F">
      <w:pPr>
        <w:spacing w:line="56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档案寄存托管</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为存量及新增档案提供寄存托管服务，配套原件调阅，实现集中规范管理。</w:t>
      </w:r>
    </w:p>
    <w:p w14:paraId="1C296E35">
      <w:pPr>
        <w:bidi w:val="0"/>
        <w:spacing w:line="56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.档案整理</w:t>
      </w:r>
      <w:r>
        <w:rPr>
          <w:rFonts w:hint="eastAsia" w:ascii="宋体" w:hAnsi="宋体" w:eastAsia="宋体" w:cs="宋体"/>
          <w:b/>
          <w:bCs/>
          <w:color w:val="auto"/>
          <w:sz w:val="21"/>
          <w:szCs w:val="21"/>
          <w:highlight w:val="none"/>
          <w:lang w:val="en-US" w:eastAsia="zh-CN"/>
        </w:rPr>
        <w:t>服务</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对存量以及新增</w:t>
      </w:r>
      <w:r>
        <w:rPr>
          <w:rFonts w:hint="eastAsia" w:ascii="宋体" w:hAnsi="宋体" w:eastAsia="宋体" w:cs="宋体"/>
          <w:color w:val="auto"/>
          <w:sz w:val="21"/>
          <w:szCs w:val="21"/>
          <w:highlight w:val="none"/>
          <w:lang w:val="en-US" w:eastAsia="zh-CN"/>
        </w:rPr>
        <w:t>文书类、</w:t>
      </w:r>
      <w:r>
        <w:rPr>
          <w:rFonts w:hint="eastAsia" w:ascii="宋体" w:hAnsi="宋体" w:eastAsia="宋体" w:cs="宋体"/>
          <w:color w:val="auto"/>
          <w:sz w:val="21"/>
          <w:szCs w:val="21"/>
          <w:highlight w:val="none"/>
        </w:rPr>
        <w:t>专业类</w:t>
      </w:r>
      <w:r>
        <w:rPr>
          <w:rFonts w:hint="eastAsia" w:ascii="宋体" w:hAnsi="宋体" w:eastAsia="宋体" w:cs="宋体"/>
          <w:color w:val="auto"/>
          <w:sz w:val="21"/>
          <w:szCs w:val="21"/>
          <w:highlight w:val="none"/>
          <w:lang w:val="en-US" w:eastAsia="zh-CN"/>
        </w:rPr>
        <w:t>等各门类</w:t>
      </w:r>
      <w:r>
        <w:rPr>
          <w:rFonts w:hint="eastAsia" w:ascii="宋体" w:hAnsi="宋体" w:eastAsia="宋体" w:cs="宋体"/>
          <w:color w:val="auto"/>
          <w:sz w:val="21"/>
          <w:szCs w:val="21"/>
          <w:highlight w:val="none"/>
        </w:rPr>
        <w:t>档案</w:t>
      </w:r>
      <w:r>
        <w:rPr>
          <w:rFonts w:hint="eastAsia" w:ascii="宋体" w:hAnsi="宋体" w:eastAsia="宋体" w:cs="宋体"/>
          <w:color w:val="auto"/>
          <w:sz w:val="21"/>
          <w:szCs w:val="21"/>
          <w:highlight w:val="none"/>
          <w:lang w:val="en-US" w:eastAsia="zh-CN"/>
        </w:rPr>
        <w:t>进行清点、</w:t>
      </w:r>
      <w:r>
        <w:rPr>
          <w:rFonts w:hint="eastAsia" w:ascii="宋体" w:hAnsi="宋体" w:eastAsia="宋体" w:cs="宋体"/>
          <w:color w:val="auto"/>
          <w:sz w:val="21"/>
          <w:szCs w:val="21"/>
          <w:highlight w:val="none"/>
        </w:rPr>
        <w:t>整理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纸质装订</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入库上架。</w:t>
      </w:r>
    </w:p>
    <w:p w14:paraId="58EAA8CC">
      <w:pPr>
        <w:bidi w:val="0"/>
        <w:spacing w:line="560" w:lineRule="exact"/>
        <w:ind w:firstLine="422" w:firstLineChars="20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3.档案数字化及其他相关服务</w:t>
      </w:r>
      <w:r>
        <w:rPr>
          <w:rFonts w:hint="eastAsia" w:ascii="宋体" w:hAnsi="宋体" w:eastAsia="宋体" w:cs="宋体"/>
          <w:b w:val="0"/>
          <w:bCs w:val="0"/>
          <w:color w:val="auto"/>
          <w:sz w:val="21"/>
          <w:szCs w:val="21"/>
          <w:highlight w:val="none"/>
          <w:lang w:val="en-US" w:eastAsia="zh-CN"/>
        </w:rPr>
        <w:t>：对档案进行</w:t>
      </w:r>
      <w:r>
        <w:rPr>
          <w:rFonts w:hint="eastAsia" w:ascii="宋体" w:hAnsi="宋体" w:eastAsia="宋体" w:cs="宋体"/>
          <w:color w:val="auto"/>
          <w:sz w:val="21"/>
          <w:szCs w:val="21"/>
          <w:highlight w:val="none"/>
        </w:rPr>
        <w:t>数字化扫描、系统导入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同步建立电子索引目录</w:t>
      </w:r>
      <w:r>
        <w:rPr>
          <w:rFonts w:hint="eastAsia" w:ascii="宋体" w:hAnsi="宋体" w:eastAsia="宋体" w:cs="宋体"/>
          <w:color w:val="auto"/>
          <w:sz w:val="21"/>
          <w:szCs w:val="21"/>
          <w:highlight w:val="none"/>
          <w:lang w:eastAsia="zh-CN"/>
        </w:rPr>
        <w:t>。</w:t>
      </w:r>
    </w:p>
    <w:p w14:paraId="44307B86">
      <w:pPr>
        <w:spacing w:line="56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.档案信息化技术支撑。</w:t>
      </w:r>
      <w:r>
        <w:rPr>
          <w:rFonts w:hint="eastAsia" w:ascii="宋体" w:hAnsi="宋体" w:eastAsia="宋体" w:cs="宋体"/>
          <w:color w:val="auto"/>
          <w:sz w:val="21"/>
          <w:szCs w:val="21"/>
          <w:highlight w:val="none"/>
        </w:rPr>
        <w:t>优化完善用户档案信息系统，提供线上档案查询服务，推进人工智能在档案系统中的应用。</w:t>
      </w:r>
    </w:p>
    <w:p w14:paraId="2C877CA3">
      <w:pPr>
        <w:spacing w:line="560" w:lineRule="exact"/>
        <w:ind w:firstLine="422" w:firstLineChars="200"/>
        <w:rPr>
          <w:rFonts w:hint="default" w:ascii="Times New Roman" w:hAnsi="Times New Roman" w:eastAsia="仿宋_GB2312" w:cs="Times New Roman"/>
          <w:color w:val="auto"/>
          <w:sz w:val="32"/>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.档案数据增值应用。</w:t>
      </w:r>
      <w:r>
        <w:rPr>
          <w:rFonts w:hint="eastAsia" w:ascii="宋体" w:hAnsi="宋体" w:eastAsia="宋体" w:cs="宋体"/>
          <w:color w:val="auto"/>
          <w:sz w:val="21"/>
          <w:szCs w:val="21"/>
          <w:highlight w:val="none"/>
        </w:rPr>
        <w:t>以实施智慧档案大数据为核心，聚焦城市规划、产业发展、民生保障、应急管理领域，开展档案数据查询、统计分析，为政府决策、资源配置、效能提升提供数据支撑，推动档案数据资源转化为发展动能。</w:t>
      </w:r>
    </w:p>
    <w:p w14:paraId="548EA6FB">
      <w:pPr>
        <w:keepNext w:val="0"/>
        <w:keepLines w:val="0"/>
        <w:pageBreakBefore w:val="0"/>
        <w:wordWrap/>
        <w:overflowPunct/>
        <w:topLinePunct w:val="0"/>
        <w:bidi w:val="0"/>
        <w:spacing w:line="400" w:lineRule="exact"/>
        <w:ind w:left="0" w:leftChars="0" w:right="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w:t>
      </w:r>
      <w:r>
        <w:rPr>
          <w:rFonts w:hint="default" w:ascii="宋体" w:hAnsi="宋体" w:eastAsia="宋体" w:cs="宋体"/>
          <w:b/>
          <w:bCs/>
          <w:color w:val="auto"/>
          <w:sz w:val="24"/>
          <w:szCs w:val="24"/>
          <w:highlight w:val="none"/>
          <w:lang w:val="en-US" w:eastAsia="zh-CN"/>
        </w:rPr>
        <w:t>、实施目标</w:t>
      </w:r>
    </w:p>
    <w:p w14:paraId="5E9F93A3">
      <w:pPr>
        <w:widowControl w:val="0"/>
        <w:bidi w:val="0"/>
        <w:spacing w:before="0" w:beforeAutospacing="0" w:after="0" w:afterAutospacing="0" w:line="560" w:lineRule="exact"/>
        <w:ind w:firstLine="420" w:firstLineChars="200"/>
        <w:jc w:val="left"/>
        <w:outlineLvl w:val="1"/>
        <w:rPr>
          <w:rFonts w:hint="eastAsia" w:ascii="宋体" w:hAnsi="宋体" w:eastAsia="宋体" w:cs="宋体"/>
          <w:bCs/>
          <w:color w:val="auto"/>
          <w:kern w:val="0"/>
          <w:sz w:val="21"/>
          <w:szCs w:val="21"/>
          <w:highlight w:val="none"/>
          <w:lang w:val="en-US" w:eastAsia="zh-CN" w:bidi="ar"/>
        </w:rPr>
      </w:pPr>
      <w:r>
        <w:rPr>
          <w:rFonts w:hint="eastAsia" w:ascii="宋体" w:hAnsi="宋体" w:eastAsia="宋体" w:cs="宋体"/>
          <w:bCs/>
          <w:color w:val="auto"/>
          <w:kern w:val="0"/>
          <w:sz w:val="21"/>
          <w:szCs w:val="21"/>
          <w:highlight w:val="none"/>
          <w:lang w:val="en-US" w:eastAsia="zh-CN" w:bidi="ar"/>
        </w:rPr>
        <w:t>（一）构建集约化管理平台，实现降本增效</w:t>
      </w:r>
    </w:p>
    <w:p w14:paraId="34A2ED66">
      <w:pPr>
        <w:bidi w:val="0"/>
        <w:spacing w:line="5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通过“统一承接、集中管理”模式，整合</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家实施单位档案业务，由承接主体集中投入专业库房、设备及人员，形成规模化运营优势。降低各单位档案管理成本</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减少各单位自有库房占用，释放办公空间资源。</w:t>
      </w:r>
    </w:p>
    <w:p w14:paraId="492D4ACC">
      <w:pPr>
        <w:widowControl w:val="0"/>
        <w:bidi w:val="0"/>
        <w:spacing w:before="0" w:beforeAutospacing="0" w:after="0" w:afterAutospacing="0" w:line="560" w:lineRule="exact"/>
        <w:ind w:firstLine="420" w:firstLineChars="200"/>
        <w:jc w:val="left"/>
        <w:outlineLvl w:val="1"/>
        <w:rPr>
          <w:rFonts w:hint="eastAsia" w:ascii="宋体" w:hAnsi="宋体" w:eastAsia="宋体" w:cs="宋体"/>
          <w:bCs/>
          <w:color w:val="auto"/>
          <w:kern w:val="0"/>
          <w:sz w:val="21"/>
          <w:szCs w:val="21"/>
          <w:highlight w:val="none"/>
          <w:lang w:val="en-US" w:eastAsia="zh-CN" w:bidi="ar"/>
        </w:rPr>
      </w:pPr>
      <w:r>
        <w:rPr>
          <w:rFonts w:hint="eastAsia" w:ascii="宋体" w:hAnsi="宋体" w:eastAsia="宋体" w:cs="宋体"/>
          <w:bCs/>
          <w:color w:val="auto"/>
          <w:kern w:val="0"/>
          <w:sz w:val="21"/>
          <w:szCs w:val="21"/>
          <w:highlight w:val="none"/>
          <w:lang w:val="en-US" w:eastAsia="zh-CN" w:bidi="ar"/>
        </w:rPr>
        <w:t>（二）建立规范化管理体系，提升服务效能</w:t>
      </w:r>
    </w:p>
    <w:p w14:paraId="3CF3FC5F">
      <w:pPr>
        <w:bidi w:val="0"/>
        <w:spacing w:line="5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破解传统纸质档案管理难题，构建“数字化采集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智能分类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安全备份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线上查询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权限管控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动态监管”全流程智慧档案集中管理体系，全面提升管理与服务效能。</w:t>
      </w:r>
    </w:p>
    <w:p w14:paraId="1414A877">
      <w:pPr>
        <w:widowControl w:val="0"/>
        <w:bidi w:val="0"/>
        <w:spacing w:before="0" w:beforeAutospacing="0" w:after="0" w:afterAutospacing="0" w:line="560" w:lineRule="exact"/>
        <w:ind w:firstLine="420" w:firstLineChars="200"/>
        <w:jc w:val="left"/>
        <w:outlineLvl w:val="1"/>
        <w:rPr>
          <w:rFonts w:hint="eastAsia" w:ascii="宋体" w:hAnsi="宋体" w:eastAsia="宋体" w:cs="宋体"/>
          <w:bCs/>
          <w:color w:val="auto"/>
          <w:kern w:val="0"/>
          <w:sz w:val="21"/>
          <w:szCs w:val="21"/>
          <w:highlight w:val="none"/>
          <w:lang w:val="en-US" w:eastAsia="zh-CN" w:bidi="ar"/>
        </w:rPr>
      </w:pPr>
      <w:r>
        <w:rPr>
          <w:rFonts w:hint="eastAsia" w:ascii="宋体" w:hAnsi="宋体" w:eastAsia="宋体" w:cs="宋体"/>
          <w:bCs/>
          <w:color w:val="auto"/>
          <w:kern w:val="0"/>
          <w:sz w:val="21"/>
          <w:szCs w:val="21"/>
          <w:highlight w:val="none"/>
          <w:lang w:val="en-US" w:eastAsia="zh-CN" w:bidi="ar"/>
        </w:rPr>
        <w:t>（三）打造数据化运营机制，释放要素价值</w:t>
      </w:r>
    </w:p>
    <w:p w14:paraId="1B0D1432">
      <w:pPr>
        <w:bidi w:val="0"/>
        <w:spacing w:line="5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托智慧档案全流程服务项目，通过三年实施，推动智慧档案业务逐步覆盖至全市机关、企事业单位，力争建成档案集中托管中心，形成全市智慧档案“一张网”，推动档案资源从“存储保管”向“数据化、资源化、资产化”转型。</w:t>
      </w:r>
    </w:p>
    <w:p w14:paraId="3B2528E5">
      <w:pPr>
        <w:keepNext/>
        <w:widowControl w:val="0"/>
        <w:bidi w:val="0"/>
        <w:jc w:val="both"/>
        <w:outlineLvl w:val="0"/>
        <w:rPr>
          <w:rFonts w:hint="default" w:ascii="Times New Roman" w:hAnsi="Times New Roman" w:eastAsia="宋体" w:cs="Times New Roman"/>
          <w:b/>
          <w:bCs/>
          <w:color w:val="auto"/>
          <w:kern w:val="0"/>
          <w:sz w:val="24"/>
          <w:szCs w:val="20"/>
          <w:highlight w:val="none"/>
          <w:lang w:val="en-US" w:eastAsia="zh-CN" w:bidi="ar-SA"/>
        </w:rPr>
      </w:pPr>
      <w:bookmarkStart w:id="2" w:name="_Hlk200295781"/>
    </w:p>
    <w:p w14:paraId="31C179F6">
      <w:pPr>
        <w:keepNext/>
        <w:widowControl w:val="0"/>
        <w:bidi w:val="0"/>
        <w:jc w:val="both"/>
        <w:outlineLvl w:val="0"/>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四、</w:t>
      </w:r>
      <w:r>
        <w:rPr>
          <w:rFonts w:hint="eastAsia" w:ascii="宋体" w:hAnsi="宋体" w:eastAsia="宋体" w:cs="宋体"/>
          <w:b/>
          <w:bCs/>
          <w:color w:val="auto"/>
          <w:kern w:val="2"/>
          <w:sz w:val="24"/>
          <w:szCs w:val="24"/>
          <w:highlight w:val="none"/>
          <w:lang w:val="en-US" w:eastAsia="zh-CN" w:bidi="ar-SA"/>
        </w:rPr>
        <w:t>项目</w:t>
      </w:r>
      <w:r>
        <w:rPr>
          <w:rFonts w:hint="default" w:ascii="Times New Roman" w:hAnsi="Times New Roman" w:eastAsia="宋体" w:cs="Times New Roman"/>
          <w:b/>
          <w:bCs/>
          <w:color w:val="auto"/>
          <w:kern w:val="0"/>
          <w:sz w:val="24"/>
          <w:szCs w:val="20"/>
          <w:highlight w:val="none"/>
          <w:lang w:val="en-US" w:eastAsia="zh-CN" w:bidi="ar-SA"/>
        </w:rPr>
        <w:t>实施</w:t>
      </w:r>
      <w:r>
        <w:rPr>
          <w:rFonts w:hint="eastAsia" w:ascii="Times New Roman" w:hAnsi="Times New Roman" w:eastAsia="宋体" w:cs="Times New Roman"/>
          <w:b/>
          <w:bCs/>
          <w:color w:val="auto"/>
          <w:kern w:val="0"/>
          <w:sz w:val="24"/>
          <w:szCs w:val="20"/>
          <w:highlight w:val="none"/>
          <w:lang w:val="en-US" w:eastAsia="zh-CN" w:bidi="ar-SA"/>
        </w:rPr>
        <w:t>步骤</w:t>
      </w:r>
    </w:p>
    <w:bookmarkEnd w:id="2"/>
    <w:p w14:paraId="3E6D19B9">
      <w:pPr>
        <w:bidi w:val="0"/>
        <w:spacing w:line="560" w:lineRule="exact"/>
        <w:ind w:firstLine="482" w:firstLineChars="200"/>
        <w:rPr>
          <w:rFonts w:hint="eastAsia" w:ascii="Arial" w:hAnsi="Arial" w:eastAsia="宋体" w:cs="Times New Roman"/>
          <w:b/>
          <w:bCs/>
          <w:color w:val="auto"/>
          <w:kern w:val="0"/>
          <w:sz w:val="24"/>
          <w:szCs w:val="32"/>
          <w:highlight w:val="none"/>
          <w:lang w:val="en-US" w:eastAsia="zh-CN" w:bidi="ar-SA"/>
        </w:rPr>
      </w:pPr>
      <w:bookmarkStart w:id="3" w:name="_Hlk200295594"/>
      <w:r>
        <w:rPr>
          <w:rFonts w:hint="default" w:ascii="Arial" w:hAnsi="Arial" w:eastAsia="宋体" w:cs="Times New Roman"/>
          <w:b/>
          <w:bCs/>
          <w:color w:val="auto"/>
          <w:kern w:val="0"/>
          <w:sz w:val="24"/>
          <w:szCs w:val="32"/>
          <w:highlight w:val="none"/>
          <w:lang w:val="en-US" w:eastAsia="zh-CN" w:bidi="ar-SA"/>
        </w:rPr>
        <w:t>（</w:t>
      </w:r>
      <w:r>
        <w:rPr>
          <w:rFonts w:hint="eastAsia" w:ascii="Arial" w:hAnsi="Arial" w:eastAsia="宋体" w:cs="Times New Roman"/>
          <w:b/>
          <w:bCs/>
          <w:color w:val="auto"/>
          <w:kern w:val="0"/>
          <w:sz w:val="24"/>
          <w:szCs w:val="32"/>
          <w:highlight w:val="none"/>
          <w:lang w:val="en-US" w:eastAsia="zh-CN" w:bidi="ar-SA"/>
        </w:rPr>
        <w:t>一</w:t>
      </w:r>
      <w:r>
        <w:rPr>
          <w:rFonts w:hint="default" w:ascii="Arial" w:hAnsi="Arial" w:eastAsia="宋体" w:cs="Times New Roman"/>
          <w:b/>
          <w:bCs/>
          <w:color w:val="auto"/>
          <w:kern w:val="0"/>
          <w:sz w:val="24"/>
          <w:szCs w:val="32"/>
          <w:highlight w:val="none"/>
          <w:lang w:val="en-US" w:eastAsia="zh-CN" w:bidi="ar-SA"/>
        </w:rPr>
        <w:t>）</w:t>
      </w:r>
      <w:r>
        <w:rPr>
          <w:rFonts w:hint="eastAsia" w:ascii="Arial" w:hAnsi="Arial" w:eastAsia="宋体" w:cs="Times New Roman"/>
          <w:b/>
          <w:bCs/>
          <w:color w:val="auto"/>
          <w:kern w:val="0"/>
          <w:sz w:val="24"/>
          <w:szCs w:val="32"/>
          <w:highlight w:val="none"/>
          <w:lang w:val="en-US" w:eastAsia="zh-CN" w:bidi="ar-SA"/>
        </w:rPr>
        <w:t>分类实施</w:t>
      </w:r>
    </w:p>
    <w:p w14:paraId="772DAFB1">
      <w:pPr>
        <w:bidi w:val="0"/>
        <w:spacing w:line="560" w:lineRule="exact"/>
        <w:ind w:firstLine="422" w:firstLineChars="200"/>
        <w:rPr>
          <w:rFonts w:hint="default" w:ascii="宋体" w:hAnsi="宋体" w:eastAsia="宋体" w:cs="宋体"/>
          <w:color w:val="auto"/>
          <w:sz w:val="21"/>
          <w:szCs w:val="21"/>
          <w:highlight w:val="none"/>
        </w:rPr>
      </w:pPr>
      <w:r>
        <w:rPr>
          <w:rFonts w:hint="default" w:ascii="宋体" w:hAnsi="宋体" w:eastAsia="宋体" w:cs="宋体"/>
          <w:b/>
          <w:bCs/>
          <w:color w:val="auto"/>
          <w:sz w:val="21"/>
          <w:szCs w:val="21"/>
          <w:highlight w:val="none"/>
        </w:rPr>
        <w:t>1.机关</w:t>
      </w:r>
      <w:r>
        <w:rPr>
          <w:rFonts w:hint="default" w:ascii="宋体" w:hAnsi="宋体" w:eastAsia="宋体" w:cs="宋体"/>
          <w:b/>
          <w:bCs/>
          <w:color w:val="auto"/>
          <w:sz w:val="21"/>
          <w:szCs w:val="21"/>
          <w:highlight w:val="none"/>
          <w:lang w:eastAsia="zh-CN"/>
        </w:rPr>
        <w:t>、</w:t>
      </w:r>
      <w:r>
        <w:rPr>
          <w:rFonts w:hint="default" w:ascii="宋体" w:hAnsi="宋体" w:eastAsia="宋体" w:cs="宋体"/>
          <w:b/>
          <w:bCs/>
          <w:color w:val="auto"/>
          <w:sz w:val="21"/>
          <w:szCs w:val="21"/>
          <w:highlight w:val="none"/>
        </w:rPr>
        <w:t>事业单位</w:t>
      </w:r>
      <w:r>
        <w:rPr>
          <w:rFonts w:hint="eastAsia" w:ascii="宋体" w:hAnsi="宋体" w:eastAsia="宋体" w:cs="宋体"/>
          <w:b/>
          <w:bCs/>
          <w:color w:val="auto"/>
          <w:sz w:val="21"/>
          <w:szCs w:val="21"/>
          <w:highlight w:val="none"/>
          <w:lang w:eastAsia="zh-CN"/>
        </w:rPr>
        <w:t>。</w:t>
      </w:r>
      <w:r>
        <w:rPr>
          <w:rFonts w:hint="default" w:ascii="宋体" w:hAnsi="宋体" w:eastAsia="宋体" w:cs="宋体"/>
          <w:color w:val="auto"/>
          <w:sz w:val="21"/>
          <w:szCs w:val="21"/>
          <w:highlight w:val="none"/>
          <w:lang w:val="en-US" w:eastAsia="zh-CN"/>
        </w:rPr>
        <w:t>本项目实施范围中由财政资金保障的</w:t>
      </w:r>
      <w:r>
        <w:rPr>
          <w:rFonts w:hint="default" w:ascii="宋体" w:hAnsi="宋体" w:eastAsia="宋体" w:cs="宋体"/>
          <w:color w:val="auto"/>
          <w:sz w:val="21"/>
          <w:szCs w:val="21"/>
          <w:highlight w:val="none"/>
        </w:rPr>
        <w:t>机关</w:t>
      </w:r>
      <w:r>
        <w:rPr>
          <w:rFonts w:hint="default" w:ascii="宋体" w:hAnsi="宋体" w:eastAsia="宋体" w:cs="宋体"/>
          <w:color w:val="auto"/>
          <w:sz w:val="21"/>
          <w:szCs w:val="21"/>
          <w:highlight w:val="none"/>
          <w:lang w:eastAsia="zh-CN"/>
        </w:rPr>
        <w:t>、</w:t>
      </w:r>
      <w:r>
        <w:rPr>
          <w:rFonts w:hint="default" w:ascii="宋体" w:hAnsi="宋体" w:eastAsia="宋体" w:cs="宋体"/>
          <w:color w:val="auto"/>
          <w:sz w:val="21"/>
          <w:szCs w:val="21"/>
          <w:highlight w:val="none"/>
        </w:rPr>
        <w:t>事业单位</w:t>
      </w:r>
      <w:r>
        <w:rPr>
          <w:rFonts w:hint="default" w:ascii="宋体" w:hAnsi="宋体" w:eastAsia="宋体" w:cs="宋体"/>
          <w:color w:val="auto"/>
          <w:sz w:val="21"/>
          <w:szCs w:val="21"/>
          <w:highlight w:val="none"/>
          <w:lang w:val="en-US" w:eastAsia="zh-CN"/>
        </w:rPr>
        <w:t>按照政府采购法规相关要求，</w:t>
      </w:r>
      <w:r>
        <w:rPr>
          <w:rFonts w:hint="default" w:ascii="宋体" w:hAnsi="宋体" w:eastAsia="宋体" w:cs="宋体"/>
          <w:color w:val="auto"/>
          <w:sz w:val="21"/>
          <w:szCs w:val="21"/>
          <w:highlight w:val="none"/>
        </w:rPr>
        <w:t>采取“</w:t>
      </w:r>
      <w:r>
        <w:rPr>
          <w:rFonts w:hint="eastAsia" w:ascii="宋体" w:hAnsi="宋体" w:eastAsia="宋体" w:cs="宋体"/>
          <w:color w:val="auto"/>
          <w:sz w:val="21"/>
          <w:szCs w:val="21"/>
          <w:highlight w:val="none"/>
          <w:lang w:eastAsia="zh-CN"/>
        </w:rPr>
        <w:t>联合采购分签合同</w:t>
      </w:r>
      <w:r>
        <w:rPr>
          <w:rFonts w:hint="default" w:ascii="宋体" w:hAnsi="宋体" w:eastAsia="宋体" w:cs="宋体"/>
          <w:color w:val="auto"/>
          <w:sz w:val="21"/>
          <w:szCs w:val="21"/>
          <w:highlight w:val="none"/>
        </w:rPr>
        <w:t>”方式，</w:t>
      </w:r>
      <w:r>
        <w:rPr>
          <w:rFonts w:hint="default" w:ascii="宋体" w:hAnsi="宋体" w:eastAsia="宋体" w:cs="宋体"/>
          <w:b/>
          <w:bCs/>
          <w:color w:val="auto"/>
          <w:sz w:val="21"/>
          <w:szCs w:val="21"/>
          <w:highlight w:val="none"/>
        </w:rPr>
        <w:t>由市政府授权</w:t>
      </w:r>
      <w:r>
        <w:rPr>
          <w:rFonts w:hint="default" w:ascii="Times New Roman" w:hAnsi="Times New Roman" w:eastAsia="宋体" w:cs="Times New Roman"/>
          <w:b/>
          <w:bCs/>
          <w:color w:val="auto"/>
          <w:highlight w:val="none"/>
        </w:rPr>
        <w:t>株洲市机关事务管理局、市档案局共同作为项目实施机构</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本项目经株洲市档案局授权</w:t>
      </w:r>
      <w:r>
        <w:rPr>
          <w:rFonts w:hint="default" w:ascii="Times New Roman" w:hAnsi="Times New Roman" w:eastAsia="宋体" w:cs="Times New Roman"/>
          <w:b/>
          <w:bCs/>
          <w:color w:val="auto"/>
          <w:highlight w:val="none"/>
        </w:rPr>
        <w:t>株洲市机关事务管理局</w:t>
      </w:r>
      <w:r>
        <w:rPr>
          <w:rFonts w:hint="eastAsia" w:ascii="Times New Roman" w:hAnsi="Times New Roman" w:eastAsia="宋体" w:cs="Times New Roman"/>
          <w:b/>
          <w:bCs/>
          <w:color w:val="auto"/>
          <w:highlight w:val="none"/>
          <w:lang w:val="en-US" w:eastAsia="zh-CN"/>
        </w:rPr>
        <w:t>作为本项目的实施主体进行招标</w:t>
      </w:r>
      <w:r>
        <w:rPr>
          <w:rFonts w:hint="default" w:ascii="宋体" w:hAnsi="宋体" w:eastAsia="宋体" w:cs="宋体"/>
          <w:color w:val="auto"/>
          <w:sz w:val="21"/>
          <w:szCs w:val="21"/>
          <w:highlight w:val="none"/>
        </w:rPr>
        <w:t>，择优选取一家综合能力强的承接主体</w:t>
      </w:r>
      <w:r>
        <w:rPr>
          <w:rFonts w:hint="default" w:ascii="宋体" w:hAnsi="宋体" w:eastAsia="宋体" w:cs="宋体"/>
          <w:color w:val="auto"/>
          <w:sz w:val="21"/>
          <w:szCs w:val="21"/>
          <w:highlight w:val="none"/>
          <w:lang w:eastAsia="zh-CN"/>
        </w:rPr>
        <w:t>，</w:t>
      </w:r>
      <w:r>
        <w:rPr>
          <w:rFonts w:hint="default" w:ascii="宋体" w:hAnsi="宋体" w:eastAsia="宋体" w:cs="宋体"/>
          <w:color w:val="auto"/>
          <w:sz w:val="21"/>
          <w:szCs w:val="21"/>
          <w:highlight w:val="none"/>
        </w:rPr>
        <w:t>各单位根据招投标结果分别与承接主体签订服务合同。</w:t>
      </w:r>
    </w:p>
    <w:p w14:paraId="59A60DF2">
      <w:pPr>
        <w:bidi w:val="0"/>
        <w:spacing w:line="560" w:lineRule="exact"/>
        <w:ind w:firstLine="482" w:firstLineChars="200"/>
        <w:rPr>
          <w:rFonts w:hint="default" w:ascii="Arial" w:hAnsi="Arial" w:eastAsia="宋体" w:cs="Times New Roman"/>
          <w:b/>
          <w:bCs/>
          <w:color w:val="auto"/>
          <w:kern w:val="0"/>
          <w:sz w:val="24"/>
          <w:szCs w:val="32"/>
          <w:highlight w:val="none"/>
          <w:lang w:val="en-US" w:eastAsia="zh-CN" w:bidi="ar-SA"/>
        </w:rPr>
      </w:pPr>
      <w:r>
        <w:rPr>
          <w:rFonts w:hint="default" w:ascii="Arial" w:hAnsi="Arial" w:eastAsia="宋体" w:cs="Times New Roman"/>
          <w:b/>
          <w:bCs/>
          <w:color w:val="auto"/>
          <w:kern w:val="0"/>
          <w:sz w:val="24"/>
          <w:szCs w:val="32"/>
          <w:highlight w:val="none"/>
          <w:lang w:val="en-US" w:eastAsia="zh-CN" w:bidi="ar-SA"/>
        </w:rPr>
        <w:t>（</w:t>
      </w:r>
      <w:r>
        <w:rPr>
          <w:rFonts w:hint="eastAsia" w:ascii="Arial" w:hAnsi="Arial" w:eastAsia="宋体" w:cs="Times New Roman"/>
          <w:b/>
          <w:bCs/>
          <w:color w:val="auto"/>
          <w:kern w:val="0"/>
          <w:sz w:val="24"/>
          <w:szCs w:val="32"/>
          <w:highlight w:val="none"/>
          <w:lang w:val="en-US" w:eastAsia="zh-CN" w:bidi="ar-SA"/>
        </w:rPr>
        <w:t>二</w:t>
      </w:r>
      <w:r>
        <w:rPr>
          <w:rFonts w:hint="default" w:ascii="Arial" w:hAnsi="Arial" w:eastAsia="宋体" w:cs="Times New Roman"/>
          <w:b/>
          <w:bCs/>
          <w:color w:val="auto"/>
          <w:kern w:val="0"/>
          <w:sz w:val="24"/>
          <w:szCs w:val="32"/>
          <w:highlight w:val="none"/>
          <w:lang w:val="en-US" w:eastAsia="zh-CN" w:bidi="ar-SA"/>
        </w:rPr>
        <w:t>）合同签订与费用结算</w:t>
      </w:r>
    </w:p>
    <w:p w14:paraId="46D51164">
      <w:pPr>
        <w:bidi w:val="0"/>
        <w:spacing w:line="560" w:lineRule="exact"/>
        <w:ind w:firstLine="420" w:firstLineChars="200"/>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color w:val="auto"/>
          <w:sz w:val="21"/>
          <w:szCs w:val="21"/>
          <w:highlight w:val="none"/>
          <w:lang w:val="en-US" w:eastAsia="zh-CN"/>
        </w:rPr>
        <w:t>纳入招标实施范围的</w:t>
      </w:r>
      <w:r>
        <w:rPr>
          <w:rFonts w:hint="eastAsia" w:ascii="宋体" w:hAnsi="宋体" w:eastAsia="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家机关、事业单位与承接主体分别签订服务合同</w:t>
      </w:r>
      <w:r>
        <w:rPr>
          <w:rFonts w:hint="default" w:ascii="宋体" w:hAnsi="宋体" w:eastAsia="宋体" w:cs="宋体"/>
          <w:b w:val="0"/>
          <w:bCs w:val="0"/>
          <w:color w:val="auto"/>
          <w:sz w:val="21"/>
          <w:szCs w:val="21"/>
          <w:highlight w:val="none"/>
          <w:lang w:val="en-US" w:eastAsia="zh-CN"/>
        </w:rPr>
        <w:t>，服务费用结算需以各单位档案实际档案寄</w:t>
      </w:r>
      <w:r>
        <w:rPr>
          <w:rFonts w:hint="eastAsia" w:ascii="宋体" w:hAnsi="宋体" w:eastAsia="宋体" w:cs="宋体"/>
          <w:b w:val="0"/>
          <w:bCs w:val="0"/>
          <w:color w:val="auto"/>
          <w:sz w:val="21"/>
          <w:szCs w:val="21"/>
          <w:highlight w:val="none"/>
          <w:lang w:val="en-US" w:eastAsia="zh-CN"/>
        </w:rPr>
        <w:t>存</w:t>
      </w:r>
      <w:r>
        <w:rPr>
          <w:rFonts w:hint="default" w:ascii="宋体" w:hAnsi="宋体" w:eastAsia="宋体" w:cs="宋体"/>
          <w:b w:val="0"/>
          <w:bCs w:val="0"/>
          <w:color w:val="auto"/>
          <w:sz w:val="21"/>
          <w:szCs w:val="21"/>
          <w:highlight w:val="none"/>
          <w:lang w:val="en-US" w:eastAsia="zh-CN"/>
        </w:rPr>
        <w:t>服务、档案整理服务、档案数字化</w:t>
      </w:r>
      <w:r>
        <w:rPr>
          <w:rFonts w:hint="eastAsia" w:ascii="宋体" w:hAnsi="宋体" w:eastAsia="宋体" w:cs="宋体"/>
          <w:b w:val="0"/>
          <w:bCs w:val="0"/>
          <w:color w:val="auto"/>
          <w:sz w:val="21"/>
          <w:szCs w:val="21"/>
          <w:highlight w:val="none"/>
          <w:lang w:val="en-US" w:eastAsia="zh-CN"/>
        </w:rPr>
        <w:t>等</w:t>
      </w:r>
      <w:r>
        <w:rPr>
          <w:rFonts w:hint="default" w:ascii="宋体" w:hAnsi="宋体" w:eastAsia="宋体" w:cs="宋体"/>
          <w:b w:val="0"/>
          <w:bCs w:val="0"/>
          <w:color w:val="auto"/>
          <w:sz w:val="21"/>
          <w:szCs w:val="21"/>
          <w:highlight w:val="none"/>
          <w:lang w:val="en-US" w:eastAsia="zh-CN"/>
        </w:rPr>
        <w:t>及其他相关服务</w:t>
      </w:r>
      <w:r>
        <w:rPr>
          <w:rFonts w:hint="eastAsia" w:ascii="宋体" w:hAnsi="宋体" w:eastAsia="宋体" w:cs="宋体"/>
          <w:b w:val="0"/>
          <w:bCs w:val="0"/>
          <w:color w:val="auto"/>
          <w:sz w:val="21"/>
          <w:szCs w:val="21"/>
          <w:highlight w:val="none"/>
          <w:lang w:val="en-US" w:eastAsia="zh-CN"/>
        </w:rPr>
        <w:t>工作</w:t>
      </w:r>
      <w:r>
        <w:rPr>
          <w:rFonts w:hint="default" w:ascii="宋体" w:hAnsi="宋体" w:eastAsia="宋体" w:cs="宋体"/>
          <w:b w:val="0"/>
          <w:bCs w:val="0"/>
          <w:color w:val="auto"/>
          <w:sz w:val="21"/>
          <w:szCs w:val="21"/>
          <w:highlight w:val="none"/>
          <w:lang w:val="en-US" w:eastAsia="zh-CN"/>
        </w:rPr>
        <w:t>完成量为依据，由承接主体提供经服务对象确认的验收凭证，作为资金支付的必要依据。</w:t>
      </w:r>
    </w:p>
    <w:p w14:paraId="1EBF3F56">
      <w:pPr>
        <w:bidi w:val="0"/>
        <w:spacing w:line="560" w:lineRule="exact"/>
        <w:ind w:firstLine="482" w:firstLineChars="200"/>
        <w:rPr>
          <w:rFonts w:hint="default" w:ascii="Arial" w:hAnsi="Arial" w:eastAsia="宋体" w:cs="Times New Roman"/>
          <w:b/>
          <w:bCs/>
          <w:color w:val="auto"/>
          <w:kern w:val="0"/>
          <w:sz w:val="24"/>
          <w:szCs w:val="32"/>
          <w:highlight w:val="none"/>
          <w:lang w:val="en-US" w:eastAsia="zh-CN" w:bidi="ar-SA"/>
        </w:rPr>
      </w:pPr>
      <w:r>
        <w:rPr>
          <w:rFonts w:hint="default" w:ascii="Arial" w:hAnsi="Arial" w:eastAsia="宋体" w:cs="Times New Roman"/>
          <w:b/>
          <w:bCs/>
          <w:color w:val="auto"/>
          <w:kern w:val="0"/>
          <w:sz w:val="24"/>
          <w:szCs w:val="32"/>
          <w:highlight w:val="none"/>
          <w:lang w:val="en-US" w:eastAsia="zh-CN" w:bidi="ar-SA"/>
        </w:rPr>
        <w:t>（</w:t>
      </w:r>
      <w:r>
        <w:rPr>
          <w:rFonts w:hint="eastAsia" w:ascii="Arial" w:hAnsi="Arial" w:eastAsia="宋体" w:cs="Times New Roman"/>
          <w:b/>
          <w:bCs/>
          <w:color w:val="auto"/>
          <w:kern w:val="0"/>
          <w:sz w:val="24"/>
          <w:szCs w:val="32"/>
          <w:highlight w:val="none"/>
          <w:lang w:val="en-US" w:eastAsia="zh-CN" w:bidi="ar-SA"/>
        </w:rPr>
        <w:t>三</w:t>
      </w:r>
      <w:r>
        <w:rPr>
          <w:rFonts w:hint="default" w:ascii="Arial" w:hAnsi="Arial" w:eastAsia="宋体" w:cs="Times New Roman"/>
          <w:b/>
          <w:bCs/>
          <w:color w:val="auto"/>
          <w:kern w:val="0"/>
          <w:sz w:val="24"/>
          <w:szCs w:val="32"/>
          <w:highlight w:val="none"/>
          <w:lang w:val="en-US" w:eastAsia="zh-CN" w:bidi="ar-SA"/>
        </w:rPr>
        <w:t>）考核监督与长效执行</w:t>
      </w:r>
    </w:p>
    <w:p w14:paraId="552113E7">
      <w:pPr>
        <w:bidi w:val="0"/>
        <w:spacing w:line="560" w:lineRule="exact"/>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市机关事务管理局负责对项目承接主体的服务质量、履约能力进行监督考核，市档案局提供业务指导。市财政局、市国资委负责服务费用结算支付的监管考核。</w:t>
      </w:r>
    </w:p>
    <w:bookmarkEnd w:id="3"/>
    <w:p w14:paraId="19BC9E01">
      <w:pPr>
        <w:keepNext w:val="0"/>
        <w:keepLines w:val="0"/>
        <w:pageBreakBefore w:val="0"/>
        <w:wordWrap/>
        <w:overflowPunct/>
        <w:topLinePunct w:val="0"/>
        <w:bidi w:val="0"/>
        <w:spacing w:line="400" w:lineRule="exact"/>
        <w:ind w:left="0" w:leftChars="0" w:right="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五、项目服务要求</w:t>
      </w:r>
    </w:p>
    <w:p w14:paraId="2213E61B">
      <w:pPr>
        <w:keepNext w:val="0"/>
        <w:keepLines w:val="0"/>
        <w:pageBreakBefore w:val="0"/>
        <w:kinsoku/>
        <w:wordWrap/>
        <w:overflowPunct/>
        <w:topLinePunct w:val="0"/>
        <w:autoSpaceDE/>
        <w:autoSpaceDN/>
        <w:bidi w:val="0"/>
        <w:snapToGrid/>
        <w:spacing w:line="440" w:lineRule="exact"/>
        <w:ind w:firstLine="422" w:firstLineChars="200"/>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（一）档案整理及数字化加工服务要求</w:t>
      </w:r>
    </w:p>
    <w:p w14:paraId="0926A64C">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1.档案分类整理</w:t>
      </w:r>
    </w:p>
    <w:p w14:paraId="209584F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1.1档案门类划分为文书（WS）、科技（KJ）、会计（KU）、业务（YW）、照片（ZP）、录音（LY）、录像（LX）、实物（SW）、人事（RS）9个一级档案门类（本单位公务电子邮件划入文书档案分类）；科技档案分为科研（KJ·KY）、基建（KJ·JJ）、设备（KJ·SB）3个二级门类。</w:t>
      </w:r>
    </w:p>
    <w:p w14:paraId="35C5777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1.2文书档案按照年度、机构（问题）、保管期限等分类项进行分类。</w:t>
      </w:r>
    </w:p>
    <w:p w14:paraId="5083F15B">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档号结构为：全宗号-档案门类代码·年度-保管期限代码-机构（问题）代码-件号。例：综合部：277-WS·2022-Y-ZHB-0001。</w:t>
      </w:r>
    </w:p>
    <w:p w14:paraId="4D69D4C6">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1.3科技档案按照年度（或课题、项目、型号）、保管期限等分类项进行分类。</w:t>
      </w:r>
    </w:p>
    <w:p w14:paraId="2B0DCB60">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档号结构为：全宗号-档案门类代码·年度（目录号、课题号、项目号、型号）-保管期限代码-案卷号-件号。例：0169-KJ·JJ·2022-Y-001-0001。以件为单位整理的，参照文书档案执行。</w:t>
      </w:r>
    </w:p>
    <w:p w14:paraId="1B8E113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1.4业务档案按照年度、保管期限等分类项进行分类。</w:t>
      </w:r>
    </w:p>
    <w:p w14:paraId="57629CB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档案号结构为：全宗号-档案门类代码·年度-保管期限代码-案卷号-件号。例：0277-YW·2024-Y-001-0001。以件为单位整理的，参照文书档案执行。</w:t>
      </w:r>
    </w:p>
    <w:p w14:paraId="33DC96CA">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1.5照片、录音、录像、业务数据、网页信息、实物档案按照年度、机构（问题）、保管期限等分类项进行分类。</w:t>
      </w:r>
    </w:p>
    <w:p w14:paraId="186B955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档号结构为：全宗号-档案门类代码·年度-保管期限代码-机构（问题）代码-件号。例：0168-ZP·2022-Y-001-0001。</w:t>
      </w:r>
    </w:p>
    <w:p w14:paraId="223056E1">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1.6会计、人事档案的分类方法和档号结构参照有关规定执行。</w:t>
      </w:r>
    </w:p>
    <w:p w14:paraId="29B34C1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（注：分类方法和档号结构在满足科学性、规范性情况下，可以根据实际情况予以调整。）</w:t>
      </w:r>
    </w:p>
    <w:p w14:paraId="1968677E">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2.档案数字化</w:t>
      </w:r>
    </w:p>
    <w:p w14:paraId="380FF5E1">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2.1</w:t>
      </w:r>
      <w:r>
        <w:rPr>
          <w:rFonts w:ascii="宋体" w:hAnsi="宋体" w:eastAsia="宋体" w:cs="Times New Roman"/>
          <w:b/>
          <w:bCs/>
          <w:color w:val="auto"/>
          <w:highlight w:val="none"/>
        </w:rPr>
        <w:t>档案数字化处理流程</w:t>
      </w:r>
    </w:p>
    <w:p w14:paraId="4696AA4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数字化处理基本流程应包括案卷整理、资料扫描、图像处理、图像存储、数据挂接、数据备份等。</w:t>
      </w:r>
    </w:p>
    <w:p w14:paraId="186E41B0">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在数字化处理过程中应加强对纸质档案的安全保密管理，确保档案原件和数字化档案信息安全，同时纸质档案数字化的各个环节均应进行详细的记录，并及时整理、汇总、装订成册，在数字化工作完成的同时建立起完整、规范的记录。</w:t>
      </w:r>
    </w:p>
    <w:p w14:paraId="730B0967">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2.2</w:t>
      </w:r>
      <w:r>
        <w:rPr>
          <w:rFonts w:ascii="宋体" w:hAnsi="宋体" w:eastAsia="宋体" w:cs="Times New Roman"/>
          <w:b/>
          <w:bCs/>
          <w:color w:val="auto"/>
          <w:highlight w:val="none"/>
        </w:rPr>
        <w:t>档案数字化处理要求</w:t>
      </w:r>
    </w:p>
    <w:p w14:paraId="4190DDD9">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2.2.1应根据资料幅面的大小选择相应规格的扫描设备，大幅面资料可采用大幅面扫描仪，也可采用对小幅面扫描后的图像进行拼接的方式处理。</w:t>
      </w:r>
    </w:p>
    <w:p w14:paraId="57411CCC">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2.2.2采用200dpi分辨率、24位彩色模式扫描。对于纸张状况较差，以及过薄、过软或超厚的原件，采用平板扫描方式。对粘贴页，可采用大幅面扫描仪扫描，或先分部扫描后拼接。对部分字体很小、字迹密集的材料，应适当提高扫描分辨率，采用局部深化技术解决。字迹与表格颜色深度不同的，采用局部淡化技术解决。对页面中有照片的材料，可采用JPEG、TIF等格式存储，确保照片清晰度。</w:t>
      </w:r>
    </w:p>
    <w:p w14:paraId="1AC7F7CD">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2.3</w:t>
      </w:r>
      <w:r>
        <w:rPr>
          <w:rFonts w:ascii="宋体" w:hAnsi="宋体" w:eastAsia="宋体" w:cs="Times New Roman"/>
          <w:b/>
          <w:bCs/>
          <w:color w:val="auto"/>
          <w:highlight w:val="none"/>
        </w:rPr>
        <w:t>数字化图像处理要求</w:t>
      </w:r>
    </w:p>
    <w:p w14:paraId="60351A4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2.3.1对出现偏斜的图像应进行纠偏处理，对方向不正确的图像应进行旋转还原。</w:t>
      </w:r>
    </w:p>
    <w:p w14:paraId="3EBA9DF3">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2.3.2对图像页面中出现有影响图像质量的杂质，应进行去污处理，处理过程中应遵循在不影响可懂度的前提下展现资料原貌的原则。</w:t>
      </w:r>
    </w:p>
    <w:p w14:paraId="14B38826">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2.3.3对大幅面资料进行分区扫描形成的多幅图像，应进行拼接处理，合并为一个完整的图像。</w:t>
      </w:r>
    </w:p>
    <w:p w14:paraId="1969FC2E">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2.3.4彩色模式扫描的图像应进行裁边处理，去除多余的白边。</w:t>
      </w:r>
    </w:p>
    <w:p w14:paraId="1FAF3BC5">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2.4</w:t>
      </w:r>
      <w:r>
        <w:rPr>
          <w:rFonts w:ascii="宋体" w:hAnsi="宋体" w:eastAsia="宋体" w:cs="Times New Roman"/>
          <w:b/>
          <w:bCs/>
          <w:color w:val="auto"/>
          <w:highlight w:val="none"/>
        </w:rPr>
        <w:t>数字化图像存储</w:t>
      </w:r>
    </w:p>
    <w:p w14:paraId="4F422227">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采用灰度或彩色模式扫描的原始电子材料，采用JPEG格式存储。存储时压缩率的选择，应以保证扫描的图像清晰可读为前提。在挂接到业务系统之前，应转换成PDF文档（一件材料为一个PDF文档）,PDF文档在可读方面需保证优良的兼容性。图像文档的命名须符合系统相应规则，确保其唯一性，并与电子档案目录形成对应关系。</w:t>
      </w:r>
    </w:p>
    <w:p w14:paraId="5093C4B5">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2.5</w:t>
      </w:r>
      <w:r>
        <w:rPr>
          <w:rFonts w:ascii="宋体" w:hAnsi="宋体" w:eastAsia="宋体" w:cs="Times New Roman"/>
          <w:b/>
          <w:bCs/>
          <w:color w:val="auto"/>
          <w:highlight w:val="none"/>
        </w:rPr>
        <w:t>数据挂接</w:t>
      </w:r>
    </w:p>
    <w:p w14:paraId="3EA04E06">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对案卷中目录有不准确或错漏的，要根据文件内容和著录标准重新修改补录。对部分已有的卷内目录应按采购人要求进行修改、校对并完善录入电子条目信息，确保各项著录信息准确、完整。档案数字化成果目录数据与图像材料应通过采购人指定专用网络及时上传到数据服务器端汇总，通过编制程序或借助相应软件及接口，加入对应的电子文件位置信息等，实现批量、快速挂接，实现目录数据对相关联的数字图像的自动检索，数字图像的排列顺序应与物理档案排序相符合。</w:t>
      </w:r>
    </w:p>
    <w:p w14:paraId="05C2210C">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为确保数据上传的及时性，要求自接收档案后，于3个工作日内完成成果数据的挂接。(不同业务类型要求时限不同，应满足采购人实际工作需要。)</w:t>
      </w:r>
    </w:p>
    <w:p w14:paraId="70D45B23">
      <w:pPr>
        <w:spacing w:line="360" w:lineRule="auto"/>
        <w:ind w:firstLine="422" w:firstLineChars="200"/>
        <w:rPr>
          <w:rFonts w:ascii="宋体" w:hAnsi="宋体" w:eastAsia="宋体" w:cs="Times New Roman"/>
          <w:b/>
          <w:bCs/>
          <w:color w:val="auto"/>
          <w:highlight w:val="none"/>
        </w:rPr>
      </w:pPr>
      <w:r>
        <w:rPr>
          <w:rFonts w:hint="eastAsia" w:ascii="宋体" w:hAnsi="宋体" w:eastAsia="宋体" w:cs="Times New Roman"/>
          <w:b/>
          <w:bCs/>
          <w:color w:val="auto"/>
          <w:highlight w:val="none"/>
          <w:lang w:val="en-US" w:eastAsia="zh-CN"/>
        </w:rPr>
        <w:t>2.6</w:t>
      </w:r>
      <w:r>
        <w:rPr>
          <w:rFonts w:ascii="宋体" w:hAnsi="宋体" w:eastAsia="宋体" w:cs="Times New Roman"/>
          <w:b/>
          <w:bCs/>
          <w:color w:val="auto"/>
          <w:highlight w:val="none"/>
        </w:rPr>
        <w:t>数据备份</w:t>
      </w:r>
    </w:p>
    <w:p w14:paraId="6E70086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为确保档案电子数据的安全，成交供应商应做好日常数据备份工作。要求档案扫描原始数据保留1个全备份，待挂接的PDF电子文档保留1个全备份。备份数据做为应急之用，须加强信息保密，不得随意使用。</w:t>
      </w:r>
    </w:p>
    <w:p w14:paraId="53F35DD0">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3.档案交接</w:t>
      </w:r>
    </w:p>
    <w:p w14:paraId="6430B2FC">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按照《档案著录规则》、《档案服务外包工作规范》、《纸质档案整理规范》等要求，将档案分阶段分批次列出《档案整理出入库登记册》，详细记录本批次领取批次号、盒号、案卷号、卷数等相关信息。</w:t>
      </w:r>
    </w:p>
    <w:p w14:paraId="54BBC5D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3.1移交领取要求如下：</w:t>
      </w:r>
    </w:p>
    <w:p w14:paraId="08AAB911">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3.1.1即时对档案、资料进行清点，不允许延后，当天交接的档案，当天必须填写档案出入库登记明细表和分类统计表（按照规定模版填写）。</w:t>
      </w:r>
    </w:p>
    <w:p w14:paraId="5F4E58EA">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3.1.2清点档案案卷时禁止用力翻扯，年代较久的纸质资料不允许裸手直接接触档案，以防资料损坏。资料清点时至少有双方人员在场，不允许单人操作。</w:t>
      </w:r>
    </w:p>
    <w:p w14:paraId="146757FE">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3.1.3清点结果第一时间报送采购人指定的档案管理人员确认、登记，形成双方《档案交接单》。</w:t>
      </w:r>
    </w:p>
    <w:p w14:paraId="235E0783">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3.1.4将借出的档案案卷按照年代、类型等分门别类放置入档案加工现场的档案柜或者周转柜/箱中，并加贴标签注明档案的相关信息，为保证实体档案不出现混淆现象，应于每工作日结束前将同一批次周转柜/箱中档案加工完毕。</w:t>
      </w:r>
    </w:p>
    <w:p w14:paraId="55E3561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3.1.5中标人指定专人负责对实体档案接收及归还的传递工作，采购人安排专人对接核查无误后方可传递归还。加工结束后归还案卷；认真做好传送案卷过程中的登记工作；保护移送档案的安全，不使无关人员接触档案，遵守保密条例，保守档案秘密；不得违反操作流程将未经过档案员验收的档案传送提供查阅，不得单人移送档案。</w:t>
      </w:r>
    </w:p>
    <w:p w14:paraId="25ACBE00">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4.标引著录</w:t>
      </w:r>
    </w:p>
    <w:p w14:paraId="6D1AED1E">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符合</w:t>
      </w:r>
      <w:r>
        <w:rPr>
          <w:rFonts w:hint="eastAsia" w:ascii="宋体" w:hAnsi="宋体" w:eastAsia="宋体" w:cs="宋体"/>
          <w:b w:val="0"/>
          <w:bCs w:val="0"/>
          <w:color w:val="auto"/>
          <w:kern w:val="0"/>
          <w:sz w:val="21"/>
          <w:szCs w:val="21"/>
          <w:highlight w:val="none"/>
          <w:lang w:val="en-US" w:eastAsia="zh-CN" w:bidi="ar-SA"/>
        </w:rPr>
        <w:fldChar w:fldCharType="begin"/>
      </w:r>
      <w:r>
        <w:rPr>
          <w:rFonts w:hint="eastAsia" w:ascii="宋体" w:hAnsi="宋体" w:eastAsia="宋体" w:cs="宋体"/>
          <w:b w:val="0"/>
          <w:bCs w:val="0"/>
          <w:color w:val="auto"/>
          <w:kern w:val="0"/>
          <w:sz w:val="21"/>
          <w:szCs w:val="21"/>
          <w:highlight w:val="none"/>
          <w:lang w:val="en-US" w:eastAsia="zh-CN" w:bidi="ar-SA"/>
        </w:rPr>
        <w:instrText xml:space="preserve"> HYPERLINK "https://www.saac.gov.cn/daj/hybz/202206/beb7ba0f09ee4742ad4bb93bce2504b0.shtml" </w:instrText>
      </w:r>
      <w:r>
        <w:rPr>
          <w:rFonts w:hint="eastAsia" w:ascii="宋体" w:hAnsi="宋体" w:eastAsia="宋体" w:cs="宋体"/>
          <w:b w:val="0"/>
          <w:bCs w:val="0"/>
          <w:color w:val="auto"/>
          <w:kern w:val="0"/>
          <w:sz w:val="21"/>
          <w:szCs w:val="21"/>
          <w:highlight w:val="none"/>
          <w:lang w:val="en-US" w:eastAsia="zh-CN" w:bidi="ar-SA"/>
        </w:rPr>
        <w:fldChar w:fldCharType="separate"/>
      </w:r>
      <w:r>
        <w:rPr>
          <w:rFonts w:hint="eastAsia" w:ascii="宋体" w:hAnsi="宋体" w:eastAsia="宋体" w:cs="宋体"/>
          <w:b w:val="0"/>
          <w:bCs w:val="0"/>
          <w:color w:val="auto"/>
          <w:kern w:val="0"/>
          <w:sz w:val="21"/>
          <w:szCs w:val="21"/>
          <w:highlight w:val="none"/>
          <w:lang w:val="en-US" w:eastAsia="zh-CN" w:bidi="ar-SA"/>
        </w:rPr>
        <w:t>《DA/T18—2022档案著录规则》</w:t>
      </w:r>
      <w:r>
        <w:rPr>
          <w:rFonts w:hint="eastAsia" w:ascii="宋体" w:hAnsi="宋体" w:eastAsia="宋体" w:cs="宋体"/>
          <w:b w:val="0"/>
          <w:bCs w:val="0"/>
          <w:color w:val="auto"/>
          <w:kern w:val="0"/>
          <w:sz w:val="21"/>
          <w:szCs w:val="21"/>
          <w:highlight w:val="none"/>
          <w:lang w:val="en-US" w:eastAsia="zh-CN" w:bidi="ar-SA"/>
        </w:rPr>
        <w:fldChar w:fldCharType="end"/>
      </w:r>
      <w:r>
        <w:rPr>
          <w:rFonts w:hint="eastAsia" w:ascii="宋体" w:hAnsi="宋体" w:eastAsia="宋体" w:cs="宋体"/>
          <w:b w:val="0"/>
          <w:bCs w:val="0"/>
          <w:color w:val="auto"/>
          <w:kern w:val="0"/>
          <w:sz w:val="21"/>
          <w:szCs w:val="21"/>
          <w:highlight w:val="none"/>
          <w:lang w:val="en-US" w:eastAsia="zh-CN" w:bidi="ar-SA"/>
        </w:rPr>
        <w:t>的相关要求。</w:t>
      </w:r>
    </w:p>
    <w:p w14:paraId="53525E8E">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5.案卷整理还原</w:t>
      </w:r>
    </w:p>
    <w:p w14:paraId="00972481">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档案整理工作严格按照国家档案局规定的相关标准进行有序的整理，安排专人负责案卷整理与还原，保证档案内容与数字化前一致，无信息丢失、错误或篡改；按照档案原有顺序和格式进行还原，确保档案的规范性和可读性；高效、准确地完成档案还原工作，满足市档案馆档案管理的要求。</w:t>
      </w:r>
    </w:p>
    <w:p w14:paraId="66CB2913">
      <w:pPr>
        <w:keepNext w:val="0"/>
        <w:keepLines w:val="0"/>
        <w:pageBreakBefore w:val="0"/>
        <w:kinsoku/>
        <w:wordWrap/>
        <w:overflowPunct/>
        <w:topLinePunct w:val="0"/>
        <w:autoSpaceDE/>
        <w:autoSpaceDN/>
        <w:bidi w:val="0"/>
        <w:snapToGrid/>
        <w:spacing w:line="440" w:lineRule="exact"/>
        <w:ind w:firstLine="422" w:firstLineChars="200"/>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（二）档案寄存托管服务要求</w:t>
      </w:r>
    </w:p>
    <w:p w14:paraId="128D616D">
      <w:pPr>
        <w:keepNext w:val="0"/>
        <w:keepLines w:val="0"/>
        <w:pageBreakBefore w:val="0"/>
        <w:kinsoku/>
        <w:wordWrap/>
        <w:overflowPunct/>
        <w:topLinePunct w:val="0"/>
        <w:autoSpaceDE/>
        <w:autoSpaceDN/>
        <w:bidi w:val="0"/>
        <w:snapToGrid/>
        <w:spacing w:line="440" w:lineRule="exact"/>
        <w:ind w:firstLine="422" w:firstLineChars="200"/>
        <w:textAlignment w:val="auto"/>
        <w:outlineLvl w:val="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1.库房要求</w:t>
      </w:r>
    </w:p>
    <w:p w14:paraId="60E657A9">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2.1库房应当满足《档案馆建设标准》（建标〔2008〕51号）、《档案馆建筑设计规范》（JGJ25-2010）规定，符合当地档案局鉴定标准。</w:t>
      </w:r>
    </w:p>
    <w:p w14:paraId="5D1319A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2.2库房不得与办公、工业、商业、民用以及仓库等与档案管理无关的用房混杂，应设置工作人员专用储物箱柜，并与档案装具分区放置。</w:t>
      </w:r>
    </w:p>
    <w:p w14:paraId="72C3E97E">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2.3库房应符合防盗、防火、防尘、防水、防潮、防高温、防日光及紫外线照射、防有害生物、防污染等安全管理要求。</w:t>
      </w:r>
    </w:p>
    <w:p w14:paraId="6D7A573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▲2.4档案库房应配置七氟丙烷（FM200）或 IG541 惰性气体灭火系统，严禁使用水喷淋系统，确保灭火时不损伤档案、不导电、无残留。配置消防灭火系统，灭火介质不能对档案产生二次损害，不能污染环境。（</w:t>
      </w:r>
      <w:r>
        <w:rPr>
          <w:rFonts w:hint="eastAsia" w:ascii="宋体" w:hAnsi="宋体" w:eastAsia="宋体" w:cs="宋体"/>
          <w:b/>
          <w:bCs/>
          <w:color w:val="auto"/>
          <w:kern w:val="0"/>
          <w:sz w:val="21"/>
          <w:szCs w:val="21"/>
          <w:highlight w:val="none"/>
          <w:lang w:val="en-US" w:eastAsia="zh-CN" w:bidi="ar-SA"/>
        </w:rPr>
        <w:t>须提供证明资料或承诺函并加盖单位公章）</w:t>
      </w:r>
    </w:p>
    <w:p w14:paraId="0D0DB40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2.5库房内烟感、温感探测器应按规范标准布设，确保无死角全覆盖，并与气体灭火系统联动。</w:t>
      </w:r>
    </w:p>
    <w:p w14:paraId="7BD7954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bCs/>
          <w:i w:val="0"/>
          <w:iCs w:val="0"/>
          <w:color w:val="auto"/>
          <w:kern w:val="0"/>
          <w:sz w:val="21"/>
          <w:szCs w:val="21"/>
          <w:highlight w:val="none"/>
          <w:u w:val="none"/>
          <w:lang w:eastAsia="zh-CN"/>
        </w:rPr>
      </w:pPr>
      <w:r>
        <w:rPr>
          <w:rFonts w:hint="eastAsia" w:ascii="宋体" w:hAnsi="宋体" w:eastAsia="宋体" w:cs="宋体"/>
          <w:b w:val="0"/>
          <w:bCs w:val="0"/>
          <w:color w:val="auto"/>
          <w:kern w:val="0"/>
          <w:sz w:val="21"/>
          <w:szCs w:val="21"/>
          <w:highlight w:val="none"/>
          <w:lang w:val="en-US" w:eastAsia="zh-CN" w:bidi="ar-SA"/>
        </w:rPr>
        <w:t>2.6</w:t>
      </w:r>
      <w:r>
        <w:rPr>
          <w:rFonts w:hint="eastAsia" w:ascii="宋体" w:hAnsi="宋体" w:eastAsia="宋体" w:cs="宋体"/>
          <w:b/>
          <w:bCs/>
          <w:color w:val="auto"/>
          <w:kern w:val="1"/>
          <w:sz w:val="21"/>
          <w:szCs w:val="21"/>
          <w:highlight w:val="none"/>
          <w:lang w:val="en-US" w:eastAsia="zh-CN"/>
        </w:rPr>
        <w:t>库房容量应能够满足采购人全部存量档案上架需求，并在此基础上预留不少于3年的新增档案存储容量，档案库房须为供应商自有或租赁使用场所，提供套内面积不少于1500平方米的不动产权证（或房产证）等证明材料。（1）如库房为租赁或新建库房的，</w:t>
      </w:r>
      <w:r>
        <w:rPr>
          <w:rFonts w:hint="eastAsia" w:ascii="宋体" w:hAnsi="宋体" w:eastAsia="宋体" w:cs="宋体"/>
          <w:b/>
          <w:bCs/>
          <w:i w:val="0"/>
          <w:iCs w:val="0"/>
          <w:color w:val="auto"/>
          <w:kern w:val="0"/>
          <w:sz w:val="21"/>
          <w:szCs w:val="21"/>
          <w:highlight w:val="none"/>
          <w:u w:val="none"/>
          <w:lang w:val="en-US" w:eastAsia="zh-CN"/>
        </w:rPr>
        <w:t>须</w:t>
      </w:r>
      <w:r>
        <w:rPr>
          <w:rFonts w:hint="eastAsia" w:ascii="宋体" w:hAnsi="宋体" w:eastAsia="宋体" w:cs="宋体"/>
          <w:b/>
          <w:bCs/>
          <w:i w:val="0"/>
          <w:iCs w:val="0"/>
          <w:color w:val="auto"/>
          <w:kern w:val="0"/>
          <w:sz w:val="21"/>
          <w:szCs w:val="21"/>
          <w:highlight w:val="none"/>
          <w:u w:val="none"/>
          <w:lang w:eastAsia="zh-CN"/>
        </w:rPr>
        <w:t>承诺在合同签订后</w:t>
      </w:r>
      <w:r>
        <w:rPr>
          <w:rFonts w:hint="eastAsia" w:ascii="宋体" w:hAnsi="宋体" w:eastAsia="宋体" w:cs="宋体"/>
          <w:b/>
          <w:bCs/>
          <w:i w:val="0"/>
          <w:iCs w:val="0"/>
          <w:color w:val="auto"/>
          <w:kern w:val="0"/>
          <w:sz w:val="21"/>
          <w:szCs w:val="21"/>
          <w:highlight w:val="none"/>
          <w:u w:val="none"/>
          <w:lang w:val="en-US" w:eastAsia="zh-CN"/>
        </w:rPr>
        <w:t>120</w:t>
      </w:r>
      <w:r>
        <w:rPr>
          <w:rFonts w:hint="eastAsia" w:ascii="宋体" w:hAnsi="宋体" w:eastAsia="宋体" w:cs="宋体"/>
          <w:b/>
          <w:bCs/>
          <w:i w:val="0"/>
          <w:iCs w:val="0"/>
          <w:color w:val="auto"/>
          <w:kern w:val="0"/>
          <w:sz w:val="21"/>
          <w:szCs w:val="21"/>
          <w:highlight w:val="none"/>
          <w:u w:val="none"/>
          <w:lang w:eastAsia="zh-CN"/>
        </w:rPr>
        <w:t>日内取得消防验收备案凭证，</w:t>
      </w:r>
      <w:r>
        <w:rPr>
          <w:rFonts w:hint="eastAsia" w:ascii="宋体" w:hAnsi="宋体" w:eastAsia="宋体" w:cs="宋体"/>
          <w:b/>
          <w:bCs/>
          <w:i w:val="0"/>
          <w:iCs w:val="0"/>
          <w:color w:val="auto"/>
          <w:kern w:val="0"/>
          <w:sz w:val="21"/>
          <w:szCs w:val="21"/>
          <w:highlight w:val="none"/>
          <w:u w:val="none"/>
          <w:lang w:val="en-US" w:eastAsia="zh-CN"/>
        </w:rPr>
        <w:t>并</w:t>
      </w:r>
      <w:r>
        <w:rPr>
          <w:rFonts w:hint="eastAsia" w:ascii="宋体" w:hAnsi="宋体" w:eastAsia="宋体" w:cs="宋体"/>
          <w:b/>
          <w:bCs/>
          <w:i w:val="0"/>
          <w:iCs w:val="0"/>
          <w:color w:val="auto"/>
          <w:kern w:val="0"/>
          <w:sz w:val="21"/>
          <w:szCs w:val="21"/>
          <w:highlight w:val="none"/>
          <w:u w:val="none"/>
          <w:lang w:eastAsia="zh-CN"/>
        </w:rPr>
        <w:t>完成档案移库，</w:t>
      </w:r>
      <w:r>
        <w:rPr>
          <w:rFonts w:hint="eastAsia" w:ascii="宋体" w:hAnsi="宋体" w:eastAsia="宋体" w:cs="宋体"/>
          <w:b/>
          <w:bCs/>
          <w:color w:val="auto"/>
          <w:kern w:val="0"/>
          <w:sz w:val="21"/>
          <w:szCs w:val="21"/>
          <w:highlight w:val="none"/>
          <w:lang w:val="en-US" w:eastAsia="zh-CN" w:bidi="ar-SA"/>
        </w:rPr>
        <w:t>须提供承诺函并加盖单位公章，格式自拟</w:t>
      </w:r>
      <w:r>
        <w:rPr>
          <w:rFonts w:hint="eastAsia" w:ascii="宋体" w:hAnsi="宋体" w:eastAsia="宋体" w:cs="宋体"/>
          <w:b/>
          <w:bCs/>
          <w:i w:val="0"/>
          <w:iCs w:val="0"/>
          <w:color w:val="auto"/>
          <w:kern w:val="0"/>
          <w:sz w:val="21"/>
          <w:szCs w:val="21"/>
          <w:highlight w:val="none"/>
          <w:u w:val="none"/>
          <w:lang w:eastAsia="zh-CN"/>
        </w:rPr>
        <w:t>。（</w:t>
      </w:r>
      <w:r>
        <w:rPr>
          <w:rFonts w:hint="eastAsia" w:ascii="宋体" w:hAnsi="宋体" w:eastAsia="宋体" w:cs="宋体"/>
          <w:b/>
          <w:bCs/>
          <w:i w:val="0"/>
          <w:iCs w:val="0"/>
          <w:color w:val="auto"/>
          <w:kern w:val="0"/>
          <w:sz w:val="21"/>
          <w:szCs w:val="21"/>
          <w:highlight w:val="none"/>
          <w:u w:val="none"/>
          <w:lang w:val="en-US" w:eastAsia="zh-CN"/>
        </w:rPr>
        <w:t>2）如自有库房，</w:t>
      </w:r>
      <w:r>
        <w:rPr>
          <w:rFonts w:hint="eastAsia" w:ascii="宋体" w:hAnsi="宋体" w:eastAsia="宋体" w:cs="宋体"/>
          <w:b/>
          <w:bCs/>
          <w:color w:val="auto"/>
          <w:kern w:val="0"/>
          <w:sz w:val="21"/>
          <w:szCs w:val="21"/>
          <w:highlight w:val="none"/>
          <w:lang w:val="en-US" w:eastAsia="zh-CN" w:bidi="ar-SA"/>
        </w:rPr>
        <w:t>档案库房建筑防火设计应符合《档案馆建筑设计规范》（JGJ25-2010）规定，并提供消防安全专项检查表、建设工程消防备案受理凭证、检测评定报告。</w:t>
      </w:r>
    </w:p>
    <w:p w14:paraId="2A63087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2.7库房的周边、所有出入口、档案交接室、档案调阅室、档案熏蒸室、档案存储区域和电梯等，均应设有实时可视监控系统，确保库房所有通道实现监控画面无死角全覆盖，且监控记录保留≥180天。</w:t>
      </w:r>
    </w:p>
    <w:p w14:paraId="4CEEF0D3">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2.8库房主出入口、电梯厅、核心通道安装指纹/人脸识别门禁，实行双人双锁管理</w:t>
      </w:r>
    </w:p>
    <w:p w14:paraId="644F9072">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2.9库房采用不低于 400 万像素的网络高清摄像机，实现360°无死角全覆盖。录像保存期限：日常监控≥180天，重要区域（如出入口）≥365天。</w:t>
      </w:r>
    </w:p>
    <w:p w14:paraId="2100367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2.10库房周界、档案存储区内部安装红外微波双鉴入侵探测器，并与110 报警中心联网，及时处理突发状况。</w:t>
      </w:r>
    </w:p>
    <w:p w14:paraId="247623F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2.11库房及专用机房应安装二类防雷装置，并设置专用接地系统，防止直击雷与感应雷对档案实体及电子数据造成损害。</w:t>
      </w:r>
    </w:p>
    <w:p w14:paraId="35AFB910">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2.12库房应由两路独立市电供电，确保断电后安防及温控系统持续稳定运行。</w:t>
      </w:r>
    </w:p>
    <w:p w14:paraId="39160FB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2.13库房温湿度应符合档案行政管理部门的相关规定要求，配备工业级恒温恒湿精密空调，库房温度控制在14℃～24℃范围内，湿度控制在45%～60%范围内；每昼夜波动幅度，温度在±2℃范围之内、相对湿度在±5%范围之内，配备自动温湿度记录仪。</w:t>
      </w:r>
    </w:p>
    <w:p w14:paraId="6166DDA7">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2.14窗户做双层遮阳密封处理，库内照明应选用无紫外线（UV-Free）光源或防眩光 LED 灯具，照度应符合阅览要求但严格控制紫外线含量，防止长期光辐射对档案载体的损害。</w:t>
      </w:r>
    </w:p>
    <w:p w14:paraId="3C484E3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default"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2.15库房配备独立的新风系统，新风系统入口设置中高效空气过滤器，防止灰尘及有害气体进入；库房地面采用不起尘、耐磨材料（如PVC防静电地板）。</w:t>
      </w:r>
    </w:p>
    <w:p w14:paraId="0123021C">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2.16库房应设有温湿度自动或人工调节设施，根据档案的重要性和载体等因素区别对待。</w:t>
      </w:r>
    </w:p>
    <w:p w14:paraId="6C3B570C">
      <w:pPr>
        <w:keepNext w:val="0"/>
        <w:keepLines w:val="0"/>
        <w:pageBreakBefore w:val="0"/>
        <w:kinsoku/>
        <w:wordWrap/>
        <w:overflowPunct/>
        <w:topLinePunct w:val="0"/>
        <w:autoSpaceDE/>
        <w:autoSpaceDN/>
        <w:bidi w:val="0"/>
        <w:snapToGrid/>
        <w:spacing w:line="440" w:lineRule="exact"/>
        <w:ind w:firstLine="422" w:firstLineChars="200"/>
        <w:textAlignment w:val="auto"/>
        <w:outlineLvl w:val="1"/>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2.档案寄存管理要求</w:t>
      </w:r>
    </w:p>
    <w:p w14:paraId="01533059">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主要包括：档案的接收、清点、登记、上架、存储、管理、调阅、查阅、归还等。具体标准如下：</w:t>
      </w:r>
    </w:p>
    <w:tbl>
      <w:tblPr>
        <w:tblStyle w:val="2"/>
        <w:tblW w:w="8299" w:type="dxa"/>
        <w:tblInd w:w="93"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947"/>
        <w:gridCol w:w="5352"/>
      </w:tblGrid>
      <w:tr w14:paraId="6884BC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2947" w:type="dxa"/>
            <w:tcBorders>
              <w:tl2br w:val="nil"/>
              <w:tr2bl w:val="nil"/>
            </w:tcBorders>
            <w:noWrap w:val="0"/>
            <w:vAlign w:val="center"/>
          </w:tcPr>
          <w:p w14:paraId="4E7A4B3D">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snapToGrid w:val="0"/>
                <w:color w:val="auto"/>
                <w:kern w:val="0"/>
                <w:sz w:val="21"/>
                <w:szCs w:val="21"/>
                <w:highlight w:val="none"/>
                <w:lang w:val="en-US" w:eastAsia="zh-CN" w:bidi="ar"/>
              </w:rPr>
            </w:pPr>
            <w:r>
              <w:rPr>
                <w:rFonts w:hint="eastAsia" w:ascii="宋体" w:hAnsi="宋体" w:eastAsia="宋体" w:cs="宋体"/>
                <w:b/>
                <w:bCs/>
                <w:snapToGrid w:val="0"/>
                <w:color w:val="auto"/>
                <w:kern w:val="0"/>
                <w:sz w:val="21"/>
                <w:szCs w:val="21"/>
                <w:highlight w:val="none"/>
                <w:lang w:val="en-US" w:eastAsia="zh-CN" w:bidi="ar"/>
              </w:rPr>
              <w:t>服务内容</w:t>
            </w:r>
          </w:p>
        </w:tc>
        <w:tc>
          <w:tcPr>
            <w:tcW w:w="5352" w:type="dxa"/>
            <w:tcBorders>
              <w:tl2br w:val="nil"/>
              <w:tr2bl w:val="nil"/>
            </w:tcBorders>
            <w:noWrap w:val="0"/>
            <w:vAlign w:val="center"/>
          </w:tcPr>
          <w:p w14:paraId="45B2FFCA">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snapToGrid w:val="0"/>
                <w:color w:val="auto"/>
                <w:kern w:val="0"/>
                <w:sz w:val="21"/>
                <w:szCs w:val="21"/>
                <w:highlight w:val="none"/>
                <w:lang w:val="en-US" w:eastAsia="zh-CN" w:bidi="ar"/>
              </w:rPr>
            </w:pPr>
            <w:r>
              <w:rPr>
                <w:rFonts w:hint="eastAsia" w:ascii="宋体" w:hAnsi="宋体" w:eastAsia="宋体" w:cs="宋体"/>
                <w:b/>
                <w:bCs/>
                <w:snapToGrid w:val="0"/>
                <w:color w:val="auto"/>
                <w:kern w:val="0"/>
                <w:sz w:val="21"/>
                <w:szCs w:val="21"/>
                <w:highlight w:val="none"/>
                <w:lang w:val="en-US" w:eastAsia="zh-CN" w:bidi="ar"/>
              </w:rPr>
              <w:t>服务要求</w:t>
            </w:r>
          </w:p>
        </w:tc>
      </w:tr>
      <w:tr w14:paraId="7CD8A6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2947" w:type="dxa"/>
            <w:tcBorders>
              <w:tl2br w:val="nil"/>
              <w:tr2bl w:val="nil"/>
            </w:tcBorders>
            <w:noWrap/>
            <w:vAlign w:val="center"/>
          </w:tcPr>
          <w:p w14:paraId="598354EE">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档案运输</w:t>
            </w:r>
          </w:p>
        </w:tc>
        <w:tc>
          <w:tcPr>
            <w:tcW w:w="5352" w:type="dxa"/>
            <w:tcBorders>
              <w:tl2br w:val="nil"/>
              <w:tr2bl w:val="nil"/>
            </w:tcBorders>
            <w:noWrap w:val="0"/>
            <w:vAlign w:val="center"/>
          </w:tcPr>
          <w:p w14:paraId="3A18F68B">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专人专车。</w:t>
            </w:r>
          </w:p>
        </w:tc>
      </w:tr>
      <w:tr w14:paraId="2491C7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2947" w:type="dxa"/>
            <w:tcBorders>
              <w:tl2br w:val="nil"/>
              <w:tr2bl w:val="nil"/>
            </w:tcBorders>
            <w:noWrap/>
            <w:vAlign w:val="center"/>
          </w:tcPr>
          <w:p w14:paraId="7EF0192A">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档案存储</w:t>
            </w:r>
          </w:p>
        </w:tc>
        <w:tc>
          <w:tcPr>
            <w:tcW w:w="5352" w:type="dxa"/>
            <w:tcBorders>
              <w:tl2br w:val="nil"/>
              <w:tr2bl w:val="nil"/>
            </w:tcBorders>
            <w:noWrap w:val="0"/>
            <w:vAlign w:val="center"/>
          </w:tcPr>
          <w:p w14:paraId="62616B8A">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包含定期档案箱维护及药物熏蒸。</w:t>
            </w:r>
          </w:p>
        </w:tc>
      </w:tr>
      <w:tr w14:paraId="1FD971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947" w:type="dxa"/>
            <w:tcBorders>
              <w:tl2br w:val="nil"/>
              <w:tr2bl w:val="nil"/>
            </w:tcBorders>
            <w:noWrap/>
            <w:vAlign w:val="center"/>
          </w:tcPr>
          <w:p w14:paraId="18BE7309">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档案箱随时调阅--往返(派送+收取)</w:t>
            </w:r>
          </w:p>
        </w:tc>
        <w:tc>
          <w:tcPr>
            <w:tcW w:w="5352" w:type="dxa"/>
            <w:tcBorders>
              <w:tl2br w:val="nil"/>
              <w:tr2bl w:val="nil"/>
            </w:tcBorders>
            <w:noWrap w:val="0"/>
            <w:vAlign w:val="center"/>
          </w:tcPr>
          <w:p w14:paraId="6FCF0672">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将封箱档案箱派送至客户指定地点；将客户档案箱收回档案库房。</w:t>
            </w:r>
          </w:p>
        </w:tc>
      </w:tr>
      <w:tr w14:paraId="0C9484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2947" w:type="dxa"/>
            <w:tcBorders>
              <w:tl2br w:val="nil"/>
              <w:tr2bl w:val="nil"/>
            </w:tcBorders>
            <w:noWrap w:val="0"/>
            <w:vAlign w:val="center"/>
          </w:tcPr>
          <w:p w14:paraId="6124A13A">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非工作时间派送</w:t>
            </w:r>
          </w:p>
        </w:tc>
        <w:tc>
          <w:tcPr>
            <w:tcW w:w="5352" w:type="dxa"/>
            <w:tcBorders>
              <w:tl2br w:val="nil"/>
              <w:tr2bl w:val="nil"/>
            </w:tcBorders>
            <w:noWrap w:val="0"/>
            <w:vAlign w:val="center"/>
          </w:tcPr>
          <w:p w14:paraId="592400B6">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将封箱档案箱派送至客户指定地点。</w:t>
            </w:r>
          </w:p>
        </w:tc>
      </w:tr>
      <w:tr w14:paraId="372209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2947" w:type="dxa"/>
            <w:tcBorders>
              <w:tl2br w:val="nil"/>
              <w:tr2bl w:val="nil"/>
            </w:tcBorders>
            <w:noWrap w:val="0"/>
            <w:vAlign w:val="center"/>
          </w:tcPr>
          <w:p w14:paraId="4C38AAFC">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default"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紧急调阅派送</w:t>
            </w:r>
          </w:p>
        </w:tc>
        <w:tc>
          <w:tcPr>
            <w:tcW w:w="5352" w:type="dxa"/>
            <w:tcBorders>
              <w:tl2br w:val="nil"/>
              <w:tr2bl w:val="nil"/>
            </w:tcBorders>
            <w:noWrap w:val="0"/>
            <w:vAlign w:val="center"/>
          </w:tcPr>
          <w:p w14:paraId="5BBBC74B">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1小时内将封箱档案箱派送至客户指定地点。</w:t>
            </w:r>
          </w:p>
        </w:tc>
      </w:tr>
      <w:tr w14:paraId="113862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0" w:hRule="atLeast"/>
        </w:trPr>
        <w:tc>
          <w:tcPr>
            <w:tcW w:w="2947" w:type="dxa"/>
            <w:tcBorders>
              <w:tl2br w:val="nil"/>
              <w:tr2bl w:val="nil"/>
            </w:tcBorders>
            <w:noWrap/>
            <w:vAlign w:val="center"/>
          </w:tcPr>
          <w:p w14:paraId="6EF4D21A">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档案箱库房现场查阅</w:t>
            </w:r>
          </w:p>
        </w:tc>
        <w:tc>
          <w:tcPr>
            <w:tcW w:w="5352" w:type="dxa"/>
            <w:tcBorders>
              <w:tl2br w:val="nil"/>
              <w:tr2bl w:val="nil"/>
            </w:tcBorders>
            <w:noWrap w:val="0"/>
            <w:vAlign w:val="center"/>
          </w:tcPr>
          <w:p w14:paraId="3BFC8D99">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30分钟内提供客户指定封箱档案箱。</w:t>
            </w:r>
          </w:p>
        </w:tc>
      </w:tr>
    </w:tbl>
    <w:p w14:paraId="40441D12">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2.1档案寄存：在不改变档案所有权和处置权的前提下，采购人将档案委托给中标人保管，由中标人负责存储档案的库房，并配套相应的设备，进行日常安全防护工作。档案寄存场所应符合防盗、防火、防尘、防水、防潮、防高温、防日光及紫外线照射、防有害生物、防污染等安全管理要求。同时，档案寄存场所应配备视频监控设备，确保档案存放处及门窗等无监控死角。</w:t>
      </w:r>
    </w:p>
    <w:p w14:paraId="0AFDB5F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 xml:space="preserve"> ▲2.2装具要求：装具质量、规格、印字须符合甲方要求。</w:t>
      </w:r>
      <w:r>
        <w:rPr>
          <w:rFonts w:hint="eastAsia" w:ascii="宋体" w:hAnsi="宋体" w:eastAsia="宋体" w:cs="宋体"/>
          <w:b/>
          <w:bCs/>
          <w:color w:val="auto"/>
          <w:kern w:val="0"/>
          <w:sz w:val="21"/>
          <w:szCs w:val="21"/>
          <w:highlight w:val="none"/>
          <w:lang w:val="en-US" w:eastAsia="zh-CN" w:bidi="ar-SA"/>
        </w:rPr>
        <w:t>供应商须承诺档案装具应使用符合国标（如 GB/T 9705）的无酸纸档案箱（40cm*32cm*25.5cm长宽高），四角承重测试达到60kg，盒角不应出现纸板断裂、压溃、脱胶或永久性变形，确保档案在搬运、堆叠、取放过程中，边角能有效抵抗局部撞击与压力（须提供承诺函并加盖单位公章，格式自拟）。</w:t>
      </w:r>
    </w:p>
    <w:p w14:paraId="77E650E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2.3档案出入库管理：在档案交接时，应由专人负责做好清点、验收和装箱工作，履行入库登记手续，双方指定人员签章确认。采购人需进入库房的，应严格遵守中标人库房管理规定，并出示相关证件或办理相关手续，由中标人指定专人全程陪同，全程有视频监控。寄存和代保管档案进入中标人库房时，中标人应进行安全检查和科学消毒，防止易燃易爆、有毒有害气体或生物进入库区。</w:t>
      </w:r>
    </w:p>
    <w:p w14:paraId="1FF41DF6">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2.4库房安全保管：库房内整洁有序，不得堆放杂物。库房内应配置符合相关安全保管规定的装具、灭火系统、恒温系统。库房管理人员应每日定时进行库房巡查，发现安全隐患和问题及时处理，并做好记录。库房档案应定期进行检查和清点盘库，确保档案的完整与安全。</w:t>
      </w:r>
    </w:p>
    <w:p w14:paraId="3EEAF32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2.5消防和安全保卫：中标人应定期检测消防、安全监控设备和电路等运行情况。建立消防等安防预案，定期进行演练。配备安保力量，建立24小时值班和昼夜定时巡检制度。设施设备检查、安全值班、监控巡视记录的保存期限，自合同约定的保管期起始日起至合同保管期满后的3个月止（监控影像资料自生成之日起保存不少于180天），以备查阅。</w:t>
      </w:r>
    </w:p>
    <w:p w14:paraId="6630602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bCs/>
          <w:color w:val="auto"/>
          <w:kern w:val="0"/>
          <w:sz w:val="21"/>
          <w:szCs w:val="21"/>
          <w:highlight w:val="none"/>
          <w:u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2.6库房设施设备：中标人保管采购人的库房应配备消防设施、安防设施、避雷设施、用电设施和库房温湿度系统</w:t>
      </w:r>
      <w:r>
        <w:rPr>
          <w:rFonts w:hint="eastAsia" w:ascii="宋体" w:hAnsi="宋体" w:eastAsia="宋体" w:cs="宋体"/>
          <w:b/>
          <w:bCs/>
          <w:color w:val="auto"/>
          <w:kern w:val="0"/>
          <w:sz w:val="21"/>
          <w:szCs w:val="21"/>
          <w:highlight w:val="none"/>
          <w:u w:val="none"/>
          <w:lang w:val="en-US" w:eastAsia="zh-CN" w:bidi="ar-SA"/>
        </w:rPr>
        <w:t>。</w:t>
      </w:r>
    </w:p>
    <w:p w14:paraId="2F1D08BA">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hint="default" w:ascii="宋体" w:hAnsi="宋体" w:eastAsia="宋体" w:cs="宋体"/>
          <w:b/>
          <w:bCs/>
          <w:color w:val="auto"/>
          <w:sz w:val="21"/>
          <w:szCs w:val="21"/>
          <w:highlight w:val="none"/>
          <w:lang w:val="en-US" w:eastAsia="zh-CN"/>
        </w:rPr>
      </w:pPr>
      <w:bookmarkStart w:id="4" w:name="_Toc4644_WPSOffice_Level2"/>
      <w:r>
        <w:rPr>
          <w:rFonts w:hint="eastAsia" w:ascii="宋体" w:hAnsi="宋体" w:eastAsia="宋体" w:cs="宋体"/>
          <w:b/>
          <w:bCs/>
          <w:color w:val="auto"/>
          <w:sz w:val="21"/>
          <w:szCs w:val="21"/>
          <w:highlight w:val="none"/>
          <w:lang w:val="en-US" w:eastAsia="zh-CN"/>
        </w:rPr>
        <w:t>3.</w:t>
      </w:r>
      <w:bookmarkEnd w:id="4"/>
      <w:r>
        <w:rPr>
          <w:rFonts w:hint="eastAsia" w:ascii="宋体" w:hAnsi="宋体" w:eastAsia="宋体" w:cs="宋体"/>
          <w:b/>
          <w:bCs/>
          <w:color w:val="auto"/>
          <w:sz w:val="21"/>
          <w:szCs w:val="21"/>
          <w:highlight w:val="none"/>
          <w:lang w:val="en-US" w:eastAsia="zh-CN"/>
        </w:rPr>
        <w:t>档案运输要求：</w:t>
      </w:r>
    </w:p>
    <w:p w14:paraId="7720CD3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3.1档案外包运输：应对档案的上下架、装箱、装卸车及运输全过程实施封闭式安全管理。供应商须使用专用档案运输车辆，严禁使用挂靠车辆或普通货运车辆。车辆应具备防火、防水、防盗设施，并配备GPS 全球定位系统及全车厢无死角实时视频监控，监控影像资料自生成之日起保存不少于180天。实行专人专车、双人双押（驾驶员与押运员各一名），运输时间、路线及目的地严格保密。档案必须使用标准专业档案箱封装，箱体加封一次性防伪封条并上锁，确保运输途中箱体的完整性与私密性。</w:t>
      </w:r>
    </w:p>
    <w:p w14:paraId="686475DE">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hint="default" w:ascii="宋体" w:hAnsi="宋体" w:eastAsia="宋体" w:cs="宋体"/>
          <w:b/>
          <w:bCs/>
          <w:color w:val="auto"/>
          <w:kern w:val="1"/>
          <w:sz w:val="21"/>
          <w:szCs w:val="21"/>
          <w:highlight w:val="none"/>
          <w:lang w:val="en-US" w:eastAsia="zh-CN"/>
        </w:rPr>
      </w:pPr>
      <w:bookmarkStart w:id="5" w:name="_Toc16464_WPSOffice_Level2"/>
      <w:r>
        <w:rPr>
          <w:rFonts w:hint="eastAsia" w:ascii="宋体" w:hAnsi="宋体" w:eastAsia="宋体" w:cs="宋体"/>
          <w:b/>
          <w:bCs/>
          <w:color w:val="auto"/>
          <w:kern w:val="1"/>
          <w:sz w:val="21"/>
          <w:szCs w:val="21"/>
          <w:highlight w:val="none"/>
          <w:lang w:val="en-US" w:eastAsia="zh-CN"/>
        </w:rPr>
        <w:t>4.</w:t>
      </w:r>
      <w:bookmarkEnd w:id="5"/>
      <w:r>
        <w:rPr>
          <w:rFonts w:hint="eastAsia" w:ascii="宋体" w:hAnsi="宋体" w:eastAsia="宋体" w:cs="宋体"/>
          <w:b/>
          <w:bCs/>
          <w:color w:val="auto"/>
          <w:kern w:val="1"/>
          <w:sz w:val="21"/>
          <w:szCs w:val="21"/>
          <w:highlight w:val="none"/>
          <w:lang w:val="en-US" w:eastAsia="zh-CN"/>
        </w:rPr>
        <w:t>档案调阅要求</w:t>
      </w:r>
    </w:p>
    <w:p w14:paraId="1B7EB13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4.1档案调阅服务：中标人应为采购人提供档案调阅服务，满足调阅需求。非采购人调阅、查阅相关档案资料的必须征得采购人同意，并提供有采购人单位公章（或法定代表人签名）的书面证明。</w:t>
      </w:r>
    </w:p>
    <w:p w14:paraId="44A2E4D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提供档案调阅服务时，须核对调阅者身份。调阅者查阅、复制、下载或打印等应履行档案调阅登记手续。应建立提供档案调阅服务登记簿，对调阅日期、单位、人员、内容和方式等进行逐项登记记录，调阅者应签字确认。</w:t>
      </w:r>
    </w:p>
    <w:p w14:paraId="20717688">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hint="eastAsia" w:ascii="宋体" w:hAnsi="宋体" w:eastAsia="宋体" w:cs="宋体"/>
          <w:b/>
          <w:bCs/>
          <w:color w:val="auto"/>
          <w:kern w:val="1"/>
          <w:sz w:val="21"/>
          <w:szCs w:val="21"/>
          <w:highlight w:val="none"/>
          <w:lang w:val="en-US" w:eastAsia="zh-CN"/>
        </w:rPr>
      </w:pPr>
      <w:r>
        <w:rPr>
          <w:rFonts w:hint="eastAsia" w:ascii="宋体" w:hAnsi="宋体" w:eastAsia="宋体" w:cs="宋体"/>
          <w:b/>
          <w:bCs/>
          <w:color w:val="auto"/>
          <w:kern w:val="1"/>
          <w:sz w:val="21"/>
          <w:szCs w:val="21"/>
          <w:highlight w:val="none"/>
          <w:lang w:val="en-US" w:eastAsia="zh-CN"/>
        </w:rPr>
        <w:t>5.服务标准</w:t>
      </w:r>
    </w:p>
    <w:p w14:paraId="669169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22" w:firstLineChars="200"/>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5.1档案寄存服务标准:</w:t>
      </w:r>
    </w:p>
    <w:p w14:paraId="446A2109">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（1）、档案箱配置服务标准</w:t>
      </w:r>
    </w:p>
    <w:p w14:paraId="3226C8CC">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提供国标无酸纸档案箱，规格、承重、材质均符合档案长期保管要求，四角承重达标、结构牢固，不易变形破损；每箱配备唯一条码标识及装箱清单，首次入库完成防虫、防霉熏蒸处理，有效抑制虫蛀、霉变，保障档案长期存放安全。</w:t>
      </w:r>
    </w:p>
    <w:p w14:paraId="3A8AB01A">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（2）、档案锁扣服务标准</w:t>
      </w:r>
    </w:p>
    <w:p w14:paraId="37D3AA17">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每箱配置两个保密锁扣，材质牢固、封签严密，可一次性加封、防拆防篡改，确保档案在运输、流转、存储过程中全程可控、责任可追溯、安全可核验。</w:t>
      </w:r>
    </w:p>
    <w:p w14:paraId="1E68A98B">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（3)、档案运输服务标准</w:t>
      </w:r>
    </w:p>
    <w:p w14:paraId="148C792A">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由专人专车提供全程运输服务，包含档案下架、搬运、装车、运输、卸车、上架等环节；运输过程做到防潮、防压、防折、防丢失、防破损，全程轻搬轻放、规范操作；市内客户单位至档案库房全程闭环管理，运输过程可追溯、可核验。</w:t>
      </w:r>
    </w:p>
    <w:p w14:paraId="63253601">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(4)、档案录入服务标准</w:t>
      </w:r>
    </w:p>
    <w:p w14:paraId="0B858E18">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按照档案分类规范及著录标准，完成档案基础信息、分类信息、年度信息、保管期限、档号、盒号、卷号、件号等信息的逐条录入、核对、校验，做到录入完整、信息准确、条目规范、无错漏，确保档案数据真实、有效、可检索。</w:t>
      </w:r>
    </w:p>
    <w:p w14:paraId="5D7C84D4">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(5)、档案整理封箱服务标准</w:t>
      </w:r>
    </w:p>
    <w:p w14:paraId="69CAF213">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对档案进行基础分类、系统排序、规范整理，剔除杂物、平整页面、理顺顺序、规范组卷；按类别、年度、保管期限等统一封装成箱，做到一箱一类、一箱一标、一箱一档、标识清晰、封箱规范、便于管理。</w:t>
      </w:r>
    </w:p>
    <w:p w14:paraId="159F8551">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(6)、档案储存服务标准</w:t>
      </w:r>
    </w:p>
    <w:p w14:paraId="29D023DD">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档案库房严格符合国家档案馆建设标准，具备防火、防盗、防潮、防尘、防虫、防高温、防光、防有害气体等条件；配备恒温恒湿、视频监控、消防、安防、避雷、温湿度监测等设施，实行 24 小时值守、昼夜巡检、定期维护；档案入箱上架整齐有序，定期进行维护保养、药物熏蒸、安全检查，确保档案实体长期完好、存放安全。</w:t>
      </w:r>
    </w:p>
    <w:p w14:paraId="5550F5F7">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(7)、档案查询调阅服务标准</w:t>
      </w:r>
    </w:p>
    <w:p w14:paraId="23BFFD6A">
      <w:pPr>
        <w:keepNext w:val="0"/>
        <w:keepLines w:val="0"/>
        <w:widowControl/>
        <w:suppressLineNumbers w:val="0"/>
        <w:spacing w:line="360" w:lineRule="auto"/>
        <w:ind w:firstLine="420" w:firstLineChars="20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7.1建立规范的档案查询、调阅、登记、审核、出入库、归还、跟踪管理制度；</w:t>
      </w:r>
    </w:p>
    <w:p w14:paraId="5D614C4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val="0"/>
          <w:bCs w:val="0"/>
          <w:i w:val="0"/>
          <w:iCs w:val="0"/>
          <w:color w:val="auto"/>
          <w:kern w:val="0"/>
          <w:sz w:val="21"/>
          <w:szCs w:val="21"/>
          <w:highlight w:val="none"/>
          <w:u w:val="none"/>
          <w:lang w:val="en-US" w:eastAsia="zh-CN" w:bidi="ar"/>
        </w:rPr>
        <w:t>7.2现场查阅做到30 分钟内提供指定档案；支持档案箱派送、回收、往返调阅及非工作时间派送服务，紧急调阅可在 1 小时内送达；调阅全程登记、身份核验、手续齐全、闭环管理，做到可查、可溯、可控、可跟踪</w:t>
      </w:r>
      <w:r>
        <w:rPr>
          <w:rFonts w:hint="eastAsia" w:ascii="宋体" w:hAnsi="宋体" w:eastAsia="宋体" w:cs="宋体"/>
          <w:b w:val="0"/>
          <w:bCs w:val="0"/>
          <w:color w:val="auto"/>
          <w:kern w:val="0"/>
          <w:sz w:val="21"/>
          <w:szCs w:val="21"/>
          <w:highlight w:val="none"/>
          <w:lang w:val="en-US" w:eastAsia="zh-CN" w:bidi="ar-SA"/>
        </w:rPr>
        <w:t>（</w:t>
      </w:r>
      <w:r>
        <w:rPr>
          <w:rFonts w:hint="eastAsia" w:ascii="宋体" w:hAnsi="宋体" w:eastAsia="宋体" w:cs="宋体"/>
          <w:b/>
          <w:bCs/>
          <w:color w:val="auto"/>
          <w:kern w:val="0"/>
          <w:sz w:val="21"/>
          <w:szCs w:val="21"/>
          <w:highlight w:val="none"/>
          <w:lang w:val="en-US" w:eastAsia="zh-CN" w:bidi="ar-SA"/>
        </w:rPr>
        <w:t>须提供证明资料或承诺函并加盖单位公章）</w:t>
      </w:r>
      <w:r>
        <w:rPr>
          <w:rFonts w:hint="eastAsia" w:ascii="宋体" w:hAnsi="宋体" w:eastAsia="宋体" w:cs="宋体"/>
          <w:b w:val="0"/>
          <w:bCs w:val="0"/>
          <w:i w:val="0"/>
          <w:iCs w:val="0"/>
          <w:color w:val="auto"/>
          <w:kern w:val="0"/>
          <w:sz w:val="21"/>
          <w:szCs w:val="21"/>
          <w:highlight w:val="none"/>
          <w:u w:val="none"/>
          <w:lang w:val="en-US" w:eastAsia="zh-CN" w:bidi="ar"/>
        </w:rPr>
        <w:t>。</w:t>
      </w:r>
    </w:p>
    <w:p w14:paraId="54FABEF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22" w:firstLineChars="200"/>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5.2档案整理及数字化全流程服务标准:</w:t>
      </w:r>
    </w:p>
    <w:p w14:paraId="4530AD46">
      <w:pPr>
        <w:keepNext w:val="0"/>
        <w:keepLines w:val="0"/>
        <w:pageBreakBefore w:val="0"/>
        <w:wordWrap/>
        <w:overflowPunct/>
        <w:topLinePunct w:val="0"/>
        <w:bidi w:val="0"/>
        <w:spacing w:line="400" w:lineRule="exact"/>
        <w:ind w:left="0" w:leftChars="0" w:right="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i w:val="0"/>
          <w:iCs w:val="0"/>
          <w:color w:val="auto"/>
          <w:kern w:val="0"/>
          <w:sz w:val="21"/>
          <w:szCs w:val="21"/>
          <w:highlight w:val="none"/>
          <w:u w:val="none"/>
          <w:lang w:val="en-US" w:eastAsia="zh-CN" w:bidi="ar"/>
        </w:rPr>
        <w:t xml:space="preserve"> (1)、各类档案整理服务标准</w:t>
      </w:r>
    </w:p>
    <w:p w14:paraId="2F0A6C53">
      <w:pPr>
        <w:keepNext w:val="0"/>
        <w:keepLines w:val="0"/>
        <w:pageBreakBefore w:val="0"/>
        <w:wordWrap/>
        <w:overflowPunct/>
        <w:topLinePunct w:val="0"/>
        <w:bidi w:val="0"/>
        <w:spacing w:line="400" w:lineRule="exact"/>
        <w:ind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涵盖案卷级、文书、业务、会计、声像、实物档案整理及图纸折叠全品类作业，均按档案管理规范执行基础整理流程，特殊档案针对性细化标准：</w:t>
      </w:r>
    </w:p>
    <w:p w14:paraId="547A259E">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案卷级档案（科研、基建等）：完成组卷、分类排序、实体整理、目录著录及规范装订全流程作业。</w:t>
      </w:r>
    </w:p>
    <w:p w14:paraId="03078CE3">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文书档案：执行组卷、分类排序、实体整理、规范装订标准流程。</w:t>
      </w:r>
    </w:p>
    <w:p w14:paraId="23C505C6">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业务档案：规划资源类、不动产类、综合业务类业务档案，均按要求完成组卷、分类排序、实体整理及规范装订。</w:t>
      </w:r>
    </w:p>
    <w:p w14:paraId="00D0CAF6">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会计档案：会计凭证、会计账簿及报表，均开展整理排序作业，并完成背脊目录著录。</w:t>
      </w:r>
    </w:p>
    <w:p w14:paraId="490E700C">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声像档案：针对磁带、光盘、录像等各类声像载体，进行分类规范整理。</w:t>
      </w:r>
    </w:p>
    <w:p w14:paraId="31B3C138">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实物档案：面向奖状、奖牌、锦旗、证书等实物档案，开展标准化整理归档作业。</w:t>
      </w:r>
    </w:p>
    <w:p w14:paraId="7622D5B7">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图纸折叠：按A2、A1、A0 不同规格图纸，执行行业标准折叠作业，确保图纸规整、便于存放查阅。</w:t>
      </w:r>
    </w:p>
    <w:p w14:paraId="3EC30325">
      <w:pPr>
        <w:keepNext w:val="0"/>
        <w:keepLines w:val="0"/>
        <w:pageBreakBefore w:val="0"/>
        <w:wordWrap/>
        <w:overflowPunct/>
        <w:topLinePunct w:val="0"/>
        <w:bidi w:val="0"/>
        <w:spacing w:line="400" w:lineRule="exact"/>
        <w:ind w:left="0" w:leftChars="0" w:right="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    (2)、档案辅助加工服务标准</w:t>
      </w:r>
    </w:p>
    <w:p w14:paraId="0CFA106C">
      <w:pPr>
        <w:keepNext w:val="0"/>
        <w:keepLines w:val="0"/>
        <w:pageBreakBefore w:val="0"/>
        <w:wordWrap/>
        <w:overflowPunct/>
        <w:topLinePunct w:val="0"/>
        <w:bidi w:val="0"/>
        <w:spacing w:line="400" w:lineRule="exact"/>
        <w:ind w:left="0" w:leftChars="0" w:right="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    围绕档案著录、封套配置、档案盒装具定制，提供标准化配套服务，保障档案归档完整性与规范性：</w:t>
      </w:r>
    </w:p>
    <w:p w14:paraId="1C97B920">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档案著录：精准完成档案条目著录，生成合规电子版目录，确保目录信息与实体档案一致。</w:t>
      </w:r>
    </w:p>
    <w:p w14:paraId="626D8B0E">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档案封套：适配文书、业务档案使用场景，提供标准规格封套，保障档案实体防护。</w:t>
      </w:r>
    </w:p>
    <w:p w14:paraId="37B35819">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档案盒装具：提供 2CM-3CM、4CM、5CM 规格的常规无酸档案盒；支持背脊、封面文字定制打印，由档案打印机完成印制作业，满足档案标识管理需求。</w:t>
      </w:r>
    </w:p>
    <w:p w14:paraId="34B37704">
      <w:pPr>
        <w:keepNext w:val="0"/>
        <w:keepLines w:val="0"/>
        <w:pageBreakBefore w:val="0"/>
        <w:wordWrap/>
        <w:overflowPunct/>
        <w:topLinePunct w:val="0"/>
        <w:bidi w:val="0"/>
        <w:spacing w:line="400" w:lineRule="exact"/>
        <w:ind w:left="0" w:leftChars="0" w:right="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   (3)、档案数字化扫描服务标准</w:t>
      </w:r>
    </w:p>
    <w:p w14:paraId="47024550">
      <w:pPr>
        <w:keepNext w:val="0"/>
        <w:keepLines w:val="0"/>
        <w:pageBreakBefore w:val="0"/>
        <w:wordWrap/>
        <w:overflowPunct/>
        <w:topLinePunct w:val="0"/>
        <w:bidi w:val="0"/>
        <w:spacing w:line="400" w:lineRule="exact"/>
        <w:ind w:left="0" w:leftChars="0" w:righ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针对不同规格档案开展数字化扫描，兼顾扫描精度与后期优化，保障电子档案可用性： 对 A4、A3、A2、A1、A0 规格档案分别执行对应扫描作业，扫描后同步完成数字化修图处理；电子档案输出格式包含 JPEG、PDF、TIF，确保电子图像清晰、内容完整、格式合规。</w:t>
      </w:r>
    </w:p>
    <w:p w14:paraId="4229A155">
      <w:pPr>
        <w:keepNext w:val="0"/>
        <w:keepLines w:val="0"/>
        <w:pageBreakBefore w:val="0"/>
        <w:wordWrap/>
        <w:overflowPunct/>
        <w:topLinePunct w:val="0"/>
        <w:bidi w:val="0"/>
        <w:spacing w:line="400" w:lineRule="exact"/>
        <w:ind w:left="0" w:leftChars="0" w:right="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五、团队配置与要求</w:t>
      </w:r>
    </w:p>
    <w:p w14:paraId="4A7B714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根据项目日常管理与新增档案两个不同阶段工作量，采用固定的人员配置模式。所有服务人员（包含项目经理、驻场人员）的管理、薪酬、社保福利等均由供应商完全负责，采购人提供清点期间的工作场地、基础桌椅、水电及双方事项约定的专用耗材。</w:t>
      </w:r>
    </w:p>
    <w:p w14:paraId="352D4DEA">
      <w:pPr>
        <w:keepNext w:val="0"/>
        <w:keepLines w:val="0"/>
        <w:pageBreakBefore w:val="0"/>
        <w:widowControl w:val="0"/>
        <w:numPr>
          <w:ilvl w:val="0"/>
          <w:numId w:val="1"/>
        </w:numPr>
        <w:kinsoku/>
        <w:wordWrap/>
        <w:overflowPunct/>
        <w:topLinePunct w:val="0"/>
        <w:autoSpaceDN/>
        <w:bidi w:val="0"/>
        <w:adjustRightInd w:val="0"/>
        <w:snapToGrid w:val="0"/>
        <w:spacing w:line="400" w:lineRule="exact"/>
        <w:ind w:left="0" w:leftChars="0" w:firstLine="422" w:firstLineChars="200"/>
        <w:jc w:val="left"/>
        <w:textAlignment w:val="bottom"/>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项目总负责人1名：</w:t>
      </w:r>
      <w:r>
        <w:rPr>
          <w:rFonts w:hint="eastAsia" w:ascii="宋体" w:hAnsi="宋体" w:eastAsia="宋体" w:cs="宋体"/>
          <w:b w:val="0"/>
          <w:bCs w:val="0"/>
          <w:color w:val="auto"/>
          <w:kern w:val="0"/>
          <w:sz w:val="21"/>
          <w:szCs w:val="21"/>
          <w:highlight w:val="none"/>
          <w:lang w:val="en-US" w:eastAsia="zh-CN" w:bidi="ar-SA"/>
        </w:rPr>
        <w:t>项目总负责人应熟悉档案整理、数字化加工及寄存托管全流程服务内容，具备较强的组织协调能力和项目实施管理经验，能够全面负责项目统筹工作。</w:t>
      </w:r>
    </w:p>
    <w:p w14:paraId="2C2E8606">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.项目经理2名：</w:t>
      </w:r>
      <w:r>
        <w:rPr>
          <w:rFonts w:hint="eastAsia" w:ascii="宋体" w:hAnsi="宋体" w:eastAsia="宋体" w:cs="宋体"/>
          <w:b w:val="0"/>
          <w:bCs w:val="0"/>
          <w:strike w:val="0"/>
          <w:dstrike w:val="0"/>
          <w:color w:val="auto"/>
          <w:kern w:val="0"/>
          <w:sz w:val="21"/>
          <w:szCs w:val="21"/>
          <w:highlight w:val="none"/>
          <w:lang w:val="en-US" w:eastAsia="zh-CN" w:bidi="ar-SA"/>
        </w:rPr>
        <w:t>须具备3年以上项目管理经验。</w:t>
      </w:r>
      <w:r>
        <w:rPr>
          <w:rFonts w:hint="eastAsia" w:ascii="宋体" w:hAnsi="宋体" w:eastAsia="宋体" w:cs="宋体"/>
          <w:b w:val="0"/>
          <w:bCs w:val="0"/>
          <w:color w:val="auto"/>
          <w:kern w:val="0"/>
          <w:sz w:val="21"/>
          <w:szCs w:val="21"/>
          <w:highlight w:val="none"/>
          <w:lang w:val="en-US" w:eastAsia="zh-CN" w:bidi="ar-SA"/>
        </w:rPr>
        <w:t>项目经理负责项目总体统筹与实施管理，具体包括项目协调沟通、进度计划编制与监督、质量控制、风险防控及应急事件处置，确保项目按期保质完成。</w:t>
      </w:r>
    </w:p>
    <w:p w14:paraId="701BF6A6">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.项目组长4名：</w:t>
      </w:r>
      <w:r>
        <w:rPr>
          <w:rFonts w:hint="eastAsia" w:ascii="宋体" w:hAnsi="宋体" w:eastAsia="宋体" w:cs="宋体"/>
          <w:strike w:val="0"/>
          <w:dstrike w:val="0"/>
          <w:color w:val="auto"/>
          <w:sz w:val="21"/>
          <w:szCs w:val="21"/>
          <w:highlight w:val="none"/>
        </w:rPr>
        <w:t>须</w:t>
      </w:r>
      <w:r>
        <w:rPr>
          <w:rFonts w:hint="eastAsia" w:ascii="宋体" w:hAnsi="宋体" w:eastAsia="宋体" w:cs="宋体"/>
          <w:b w:val="0"/>
          <w:bCs w:val="0"/>
          <w:strike w:val="0"/>
          <w:dstrike w:val="0"/>
          <w:color w:val="auto"/>
          <w:kern w:val="0"/>
          <w:sz w:val="21"/>
          <w:szCs w:val="21"/>
          <w:highlight w:val="none"/>
          <w:lang w:val="en-US" w:eastAsia="zh-CN" w:bidi="ar-SA"/>
        </w:rPr>
        <w:t>具备2年以上档案整理、数字化加工相关工作经验。</w:t>
      </w:r>
      <w:r>
        <w:rPr>
          <w:rFonts w:hint="eastAsia" w:ascii="宋体" w:hAnsi="宋体" w:eastAsia="宋体" w:cs="宋体"/>
          <w:b w:val="0"/>
          <w:bCs w:val="0"/>
          <w:color w:val="auto"/>
          <w:kern w:val="0"/>
          <w:sz w:val="21"/>
          <w:szCs w:val="21"/>
          <w:highlight w:val="none"/>
          <w:lang w:val="en-US" w:eastAsia="zh-CN" w:bidi="ar-SA"/>
        </w:rPr>
        <w:t>负责档案工作的组织实施，涵盖存量档案管理、零散档案接收、档案整理、数字化加工及寄存托管入库等全流程服务，熟悉档案库房管理流程，能够统筹推进档案调阅、库存盘点及交接等工作，确保档案整理、数字化及托管全过程规范高效运行。</w:t>
      </w:r>
    </w:p>
    <w:p w14:paraId="7D765906">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.档案</w:t>
      </w:r>
      <w:r>
        <w:rPr>
          <w:rFonts w:hint="eastAsia" w:ascii="宋体" w:hAnsi="宋体" w:eastAsia="宋体" w:cs="宋体"/>
          <w:b/>
          <w:bCs/>
          <w:color w:val="auto"/>
          <w:sz w:val="21"/>
          <w:szCs w:val="21"/>
          <w:highlight w:val="none"/>
          <w:lang w:val="en-US" w:eastAsia="zh-CN"/>
        </w:rPr>
        <w:t>项目人</w:t>
      </w:r>
      <w:r>
        <w:rPr>
          <w:rFonts w:hint="eastAsia" w:ascii="宋体" w:hAnsi="宋体" w:eastAsia="宋体" w:cs="宋体"/>
          <w:b/>
          <w:bCs/>
          <w:color w:val="auto"/>
          <w:sz w:val="21"/>
          <w:szCs w:val="21"/>
          <w:highlight w:val="none"/>
        </w:rPr>
        <w:t>员10名：</w:t>
      </w:r>
      <w:r>
        <w:rPr>
          <w:rFonts w:hint="eastAsia" w:ascii="宋体" w:hAnsi="宋体" w:eastAsia="宋体" w:cs="宋体"/>
          <w:b w:val="0"/>
          <w:bCs w:val="0"/>
          <w:strike w:val="0"/>
          <w:color w:val="auto"/>
          <w:kern w:val="0"/>
          <w:sz w:val="21"/>
          <w:szCs w:val="21"/>
          <w:highlight w:val="none"/>
          <w:lang w:val="en-US" w:eastAsia="zh-CN" w:bidi="ar-SA"/>
        </w:rPr>
        <w:t>档案项目人员应</w:t>
      </w:r>
      <w:r>
        <w:rPr>
          <w:rFonts w:hint="eastAsia" w:ascii="宋体" w:hAnsi="宋体" w:eastAsia="宋体" w:cs="宋体"/>
          <w:b w:val="0"/>
          <w:bCs w:val="0"/>
          <w:strike w:val="0"/>
          <w:dstrike w:val="0"/>
          <w:color w:val="auto"/>
          <w:kern w:val="0"/>
          <w:sz w:val="21"/>
          <w:szCs w:val="21"/>
          <w:highlight w:val="none"/>
          <w:lang w:val="en-US" w:eastAsia="zh-CN" w:bidi="ar-SA"/>
        </w:rPr>
        <w:t>具备档案整理、数字化加工能力，</w:t>
      </w:r>
      <w:r>
        <w:rPr>
          <w:rFonts w:hint="eastAsia" w:ascii="宋体" w:hAnsi="宋体" w:eastAsia="宋体" w:cs="宋体"/>
          <w:b w:val="0"/>
          <w:bCs w:val="0"/>
          <w:color w:val="auto"/>
          <w:kern w:val="0"/>
          <w:sz w:val="21"/>
          <w:szCs w:val="21"/>
          <w:highlight w:val="none"/>
          <w:lang w:val="en-US" w:eastAsia="zh-CN" w:bidi="ar-SA"/>
        </w:rPr>
        <w:t>能够独立开展档案清点、接收及规范化整理工作，确保档案整理、数字化及托管全过程符合相关规范要求，熟悉档案分类、编目、装订、扫描及入库、寄存托管等全流程操作。</w:t>
      </w:r>
    </w:p>
    <w:p w14:paraId="31C509C0">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5.档案库房管理人员3名：</w:t>
      </w:r>
      <w:r>
        <w:rPr>
          <w:rFonts w:hint="eastAsia" w:ascii="宋体" w:hAnsi="宋体" w:eastAsia="宋体" w:cs="宋体"/>
          <w:b w:val="0"/>
          <w:bCs w:val="0"/>
          <w:color w:val="auto"/>
          <w:kern w:val="0"/>
          <w:sz w:val="21"/>
          <w:szCs w:val="21"/>
          <w:highlight w:val="none"/>
          <w:lang w:val="en-US" w:eastAsia="zh-CN" w:bidi="ar-SA"/>
        </w:rPr>
        <w:t>熟悉档案库房消防安全管理、档案接收、入库、盘点及日常管理查调阅流程，具备较强的安全管理意识和应急处置能力，能够规范开展档案出入库、库存盘点及安全巡查等工作，确保库房运行安全有序。</w:t>
      </w:r>
    </w:p>
    <w:p w14:paraId="70713885">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仿宋" w:hAnsi="仿宋" w:eastAsia="仿宋" w:cs="Times New Roman"/>
          <w:b/>
          <w:bCs/>
          <w:color w:val="auto"/>
          <w:szCs w:val="21"/>
          <w:highlight w:val="none"/>
        </w:rPr>
        <w:t>★</w:t>
      </w:r>
      <w:r>
        <w:rPr>
          <w:rFonts w:hint="eastAsia" w:ascii="仿宋" w:hAnsi="仿宋" w:eastAsia="仿宋" w:cs="Times New Roman"/>
          <w:b/>
          <w:bCs/>
          <w:color w:val="auto"/>
          <w:szCs w:val="21"/>
          <w:highlight w:val="none"/>
          <w:lang w:val="en-US" w:eastAsia="zh-CN"/>
        </w:rPr>
        <w:t>6.</w:t>
      </w:r>
      <w:r>
        <w:rPr>
          <w:rFonts w:hint="eastAsia" w:ascii="宋体" w:hAnsi="宋体" w:eastAsia="宋体" w:cs="宋体"/>
          <w:b/>
          <w:bCs/>
          <w:color w:val="auto"/>
          <w:kern w:val="0"/>
          <w:sz w:val="21"/>
          <w:szCs w:val="21"/>
          <w:highlight w:val="none"/>
          <w:lang w:val="en-US" w:eastAsia="zh-CN" w:bidi="ar-SA"/>
        </w:rPr>
        <w:t>为保障本项目服务的连续性、及时性、专业性，本项目拟投入人员应为供应商稳定团队，具备丰富的档案整理与管理经验，能够确保项目实施的连续性与专业性，拟投入项目组所有人员须提供近半年内任意一个月供应商为其缴纳的社保证明材料复印件并加盖单位公章</w:t>
      </w:r>
      <w:r>
        <w:rPr>
          <w:rFonts w:hint="eastAsia" w:ascii="宋体" w:hAnsi="宋体" w:eastAsia="宋体" w:cs="宋体"/>
          <w:b w:val="0"/>
          <w:bCs w:val="0"/>
          <w:color w:val="auto"/>
          <w:kern w:val="0"/>
          <w:sz w:val="21"/>
          <w:szCs w:val="21"/>
          <w:highlight w:val="none"/>
          <w:lang w:val="en-US" w:eastAsia="zh-CN" w:bidi="ar-SA"/>
        </w:rPr>
        <w:t>。</w:t>
      </w:r>
    </w:p>
    <w:p w14:paraId="1E67D847">
      <w:pPr>
        <w:keepNext w:val="0"/>
        <w:keepLines w:val="0"/>
        <w:pageBreakBefore w:val="0"/>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7.本项目</w:t>
      </w:r>
      <w:r>
        <w:rPr>
          <w:rFonts w:hint="eastAsia" w:ascii="宋体" w:hAnsi="宋体" w:eastAsia="宋体" w:cs="宋体"/>
          <w:b/>
          <w:bCs/>
          <w:color w:val="auto"/>
          <w:sz w:val="21"/>
          <w:szCs w:val="21"/>
          <w:highlight w:val="none"/>
        </w:rPr>
        <w:t>拟投入的项目服务人员须与</w:t>
      </w:r>
      <w:r>
        <w:rPr>
          <w:rFonts w:hint="eastAsia" w:ascii="宋体" w:hAnsi="宋体" w:eastAsia="宋体" w:cs="宋体"/>
          <w:b/>
          <w:bCs/>
          <w:color w:val="auto"/>
          <w:sz w:val="21"/>
          <w:szCs w:val="21"/>
          <w:highlight w:val="none"/>
          <w:lang w:val="en-US" w:eastAsia="zh-CN"/>
        </w:rPr>
        <w:t>项目</w:t>
      </w:r>
      <w:r>
        <w:rPr>
          <w:rFonts w:hint="eastAsia" w:ascii="宋体" w:hAnsi="宋体" w:eastAsia="宋体" w:cs="宋体"/>
          <w:b/>
          <w:bCs/>
          <w:color w:val="auto"/>
          <w:sz w:val="21"/>
          <w:szCs w:val="21"/>
          <w:highlight w:val="none"/>
        </w:rPr>
        <w:t>实际</w:t>
      </w:r>
      <w:r>
        <w:rPr>
          <w:rFonts w:hint="eastAsia" w:ascii="宋体" w:hAnsi="宋体" w:eastAsia="宋体" w:cs="宋体"/>
          <w:b/>
          <w:bCs/>
          <w:color w:val="auto"/>
          <w:sz w:val="21"/>
          <w:szCs w:val="21"/>
          <w:highlight w:val="none"/>
          <w:lang w:val="en-US" w:eastAsia="zh-CN"/>
        </w:rPr>
        <w:t>实施</w:t>
      </w:r>
      <w:r>
        <w:rPr>
          <w:rFonts w:hint="eastAsia" w:ascii="宋体" w:hAnsi="宋体" w:eastAsia="宋体" w:cs="宋体"/>
          <w:b/>
          <w:bCs/>
          <w:color w:val="auto"/>
          <w:sz w:val="21"/>
          <w:szCs w:val="21"/>
          <w:highlight w:val="none"/>
        </w:rPr>
        <w:t>服务人员一致，否则按虚假应标处理。</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须制定完善的</w:t>
      </w:r>
      <w:r>
        <w:rPr>
          <w:rFonts w:hint="eastAsia" w:ascii="宋体" w:hAnsi="宋体" w:eastAsia="宋体" w:cs="宋体"/>
          <w:b/>
          <w:bCs/>
          <w:color w:val="auto"/>
          <w:sz w:val="21"/>
          <w:szCs w:val="21"/>
          <w:highlight w:val="none"/>
          <w:lang w:val="en-US" w:eastAsia="zh-CN"/>
        </w:rPr>
        <w:t>工作流程、</w:t>
      </w:r>
      <w:r>
        <w:rPr>
          <w:rFonts w:hint="eastAsia" w:ascii="宋体" w:hAnsi="宋体" w:eastAsia="宋体" w:cs="宋体"/>
          <w:b/>
          <w:bCs/>
          <w:color w:val="auto"/>
          <w:sz w:val="21"/>
          <w:szCs w:val="21"/>
          <w:highlight w:val="none"/>
        </w:rPr>
        <w:t>管理制度</w:t>
      </w:r>
      <w:r>
        <w:rPr>
          <w:rFonts w:hint="eastAsia" w:ascii="宋体" w:hAnsi="宋体" w:eastAsia="宋体" w:cs="宋体"/>
          <w:b/>
          <w:bCs/>
          <w:color w:val="auto"/>
          <w:sz w:val="21"/>
          <w:szCs w:val="21"/>
          <w:highlight w:val="none"/>
          <w:lang w:val="en-US" w:eastAsia="zh-CN"/>
        </w:rPr>
        <w:t>等内容</w:t>
      </w:r>
      <w:r>
        <w:rPr>
          <w:rFonts w:hint="eastAsia" w:ascii="宋体" w:hAnsi="宋体" w:eastAsia="宋体" w:cs="宋体"/>
          <w:b/>
          <w:bCs/>
          <w:color w:val="auto"/>
          <w:sz w:val="21"/>
          <w:szCs w:val="21"/>
          <w:highlight w:val="none"/>
        </w:rPr>
        <w:t>，配备专业的工作人员管理。</w:t>
      </w:r>
      <w:r>
        <w:rPr>
          <w:rFonts w:hint="eastAsia" w:ascii="宋体" w:hAnsi="宋体" w:eastAsia="宋体" w:cs="宋体"/>
          <w:b/>
          <w:bCs/>
          <w:color w:val="auto"/>
          <w:sz w:val="21"/>
          <w:szCs w:val="21"/>
          <w:highlight w:val="none"/>
          <w:lang w:val="en-US" w:eastAsia="zh-CN"/>
        </w:rPr>
        <w:t>项目组</w:t>
      </w:r>
      <w:r>
        <w:rPr>
          <w:rFonts w:hint="eastAsia" w:ascii="宋体" w:hAnsi="宋体" w:eastAsia="宋体" w:cs="宋体"/>
          <w:b/>
          <w:bCs/>
          <w:color w:val="auto"/>
          <w:sz w:val="21"/>
          <w:szCs w:val="21"/>
          <w:highlight w:val="none"/>
        </w:rPr>
        <w:t>工作人员必须保持相对稳定，不能频繁流动，</w:t>
      </w:r>
      <w:r>
        <w:rPr>
          <w:rFonts w:hint="eastAsia" w:ascii="宋体" w:hAnsi="宋体" w:eastAsia="宋体" w:cs="宋体"/>
          <w:b/>
          <w:bCs/>
          <w:color w:val="auto"/>
          <w:sz w:val="21"/>
          <w:szCs w:val="21"/>
          <w:highlight w:val="none"/>
          <w:lang w:val="en-US" w:eastAsia="zh-CN"/>
        </w:rPr>
        <w:t>重要岗位</w:t>
      </w:r>
      <w:r>
        <w:rPr>
          <w:rFonts w:hint="eastAsia" w:ascii="宋体" w:hAnsi="宋体" w:eastAsia="宋体" w:cs="宋体"/>
          <w:b/>
          <w:bCs/>
          <w:color w:val="auto"/>
          <w:sz w:val="21"/>
          <w:szCs w:val="21"/>
          <w:highlight w:val="none"/>
        </w:rPr>
        <w:t>工作人员任职前，需报采购人备案。</w:t>
      </w:r>
    </w:p>
    <w:p w14:paraId="64B2F359">
      <w:pPr>
        <w:keepNext w:val="0"/>
        <w:keepLines w:val="0"/>
        <w:pageBreakBefore w:val="0"/>
        <w:wordWrap/>
        <w:topLinePunct w:val="0"/>
        <w:bidi w:val="0"/>
        <w:spacing w:line="400" w:lineRule="exact"/>
        <w:ind w:firstLine="422" w:firstLineChars="200"/>
        <w:rPr>
          <w:rFonts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聘用员工的工资及福利待遇必须按有关劳动法规执行，缴纳社会保险费用标准不得低于相关规定。</w:t>
      </w:r>
    </w:p>
    <w:p w14:paraId="4DBE4ED8">
      <w:pPr>
        <w:keepNext w:val="0"/>
        <w:keepLines w:val="0"/>
        <w:pageBreakBefore w:val="0"/>
        <w:wordWrap/>
        <w:topLinePunct w:val="0"/>
        <w:bidi w:val="0"/>
        <w:spacing w:line="400" w:lineRule="exact"/>
        <w:ind w:firstLine="420" w:firstLineChars="200"/>
        <w:rPr>
          <w:rFonts w:hint="eastAsia" w:ascii="宋体" w:hAnsi="宋体" w:eastAsia="宋体" w:cs="宋体"/>
          <w:bCs/>
          <w:i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bCs/>
          <w:iCs/>
          <w:color w:val="auto"/>
          <w:kern w:val="0"/>
          <w:sz w:val="21"/>
          <w:szCs w:val="21"/>
          <w:highlight w:val="none"/>
          <w:lang w:val="en-US" w:eastAsia="zh-CN" w:bidi="ar-SA"/>
        </w:rPr>
        <w:t>及相关工作人员必须做好保密工作，不得泄露在工作中知悉应保密的内容或信息。</w:t>
      </w:r>
    </w:p>
    <w:p w14:paraId="741080E4">
      <w:pPr>
        <w:keepNext w:val="0"/>
        <w:keepLines w:val="0"/>
        <w:pageBreakBefore w:val="0"/>
        <w:wordWrap/>
        <w:overflowPunct/>
        <w:topLinePunct w:val="0"/>
        <w:bidi w:val="0"/>
        <w:spacing w:line="400" w:lineRule="exact"/>
        <w:ind w:left="0" w:leftChars="0" w:right="0"/>
        <w:rPr>
          <w:rFonts w:hint="eastAsia" w:ascii="宋体" w:hAnsi="宋体" w:eastAsia="宋体" w:cs="宋体"/>
          <w:b/>
          <w:bCs/>
          <w:color w:val="auto"/>
          <w:sz w:val="24"/>
          <w:szCs w:val="24"/>
          <w:highlight w:val="none"/>
          <w:lang w:val="en-US" w:eastAsia="zh-CN"/>
        </w:rPr>
      </w:pPr>
    </w:p>
    <w:p w14:paraId="05EF6A73">
      <w:pPr>
        <w:keepNext w:val="0"/>
        <w:keepLines w:val="0"/>
        <w:pageBreakBefore w:val="0"/>
        <w:wordWrap/>
        <w:overflowPunct/>
        <w:topLinePunct w:val="0"/>
        <w:bidi w:val="0"/>
        <w:spacing w:line="400" w:lineRule="exact"/>
        <w:ind w:left="0" w:leftChars="0" w:right="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六、项目总体服务规范标准</w:t>
      </w:r>
    </w:p>
    <w:p w14:paraId="0520586E">
      <w:pPr>
        <w:spacing w:line="288" w:lineRule="auto"/>
        <w:ind w:firstLine="420" w:firstLineChars="200"/>
        <w:jc w:val="left"/>
        <w:rPr>
          <w:rFonts w:ascii="宋体" w:hAnsi="宋体" w:eastAsia="宋体" w:cs="宋体"/>
          <w:color w:val="auto"/>
          <w:kern w:val="0"/>
          <w:szCs w:val="21"/>
          <w:highlight w:val="none"/>
        </w:rPr>
      </w:pPr>
      <w:bookmarkStart w:id="6" w:name="_Toc103261102"/>
      <w:bookmarkStart w:id="7" w:name="_Toc106045643"/>
      <w:r>
        <w:rPr>
          <w:rFonts w:hint="eastAsia" w:ascii="宋体" w:hAnsi="宋体" w:eastAsia="宋体" w:cs="宋体"/>
          <w:color w:val="auto"/>
          <w:kern w:val="0"/>
          <w:szCs w:val="21"/>
          <w:highlight w:val="none"/>
        </w:rPr>
        <w:t xml:space="preserve">1、《中华人民共和国档案法》 </w:t>
      </w:r>
    </w:p>
    <w:p w14:paraId="62C0FFFD">
      <w:pPr>
        <w:spacing w:line="288"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2、《干部人事档案工作条例》（中办发[2018]60号） </w:t>
      </w:r>
    </w:p>
    <w:p w14:paraId="213D5C4A">
      <w:pPr>
        <w:spacing w:line="288"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3、《关于印发&lt;湖南省流动人员人事档案整理工作标准&gt;、&lt;湖南省流动人员人事档案数字化扫描工作标准&gt;的通知》（湘人服〔2021〕13号） </w:t>
      </w:r>
    </w:p>
    <w:p w14:paraId="0DF2E16D">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 xml:space="preserve">、《纸质档案数字化技术规范》（国家档案行业标准 DA/T31-2017）； </w:t>
      </w:r>
    </w:p>
    <w:p w14:paraId="53F0CC72">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 xml:space="preserve">、《干部人事档案数字化技术规范》（国家标准 GB/T33870-2017）； </w:t>
      </w:r>
    </w:p>
    <w:p w14:paraId="11363755">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、《电子文件归档与管理规范》（国家标准 GB/T18894-2002）</w:t>
      </w:r>
      <w:r>
        <w:rPr>
          <w:rFonts w:hint="eastAsia" w:ascii="宋体" w:hAnsi="宋体" w:eastAsia="宋体" w:cs="宋体"/>
          <w:color w:val="auto"/>
          <w:kern w:val="0"/>
          <w:szCs w:val="21"/>
          <w:highlight w:val="none"/>
          <w:lang w:eastAsia="zh-CN"/>
        </w:rPr>
        <w:t>、</w:t>
      </w:r>
      <w:r>
        <w:rPr>
          <w:rFonts w:hint="eastAsia" w:ascii="宋体" w:hAnsi="宋体" w:eastAsia="宋体" w:cs="宋体"/>
          <w:b w:val="0"/>
          <w:bCs w:val="0"/>
          <w:color w:val="auto"/>
          <w:kern w:val="0"/>
          <w:sz w:val="21"/>
          <w:szCs w:val="21"/>
          <w:highlight w:val="none"/>
          <w:lang w:val="en-US" w:eastAsia="zh-CN" w:bidi="ar-SA"/>
        </w:rPr>
        <w:t>《电子文件归档与管理规范》（DA/T43-2007）</w:t>
      </w:r>
      <w:r>
        <w:rPr>
          <w:rFonts w:hint="eastAsia" w:ascii="宋体" w:hAnsi="宋体" w:eastAsia="宋体" w:cs="宋体"/>
          <w:color w:val="auto"/>
          <w:kern w:val="0"/>
          <w:szCs w:val="21"/>
          <w:highlight w:val="none"/>
        </w:rPr>
        <w:t xml:space="preserve">； </w:t>
      </w:r>
    </w:p>
    <w:p w14:paraId="0B0A986E">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w:t>
      </w:r>
      <w:r>
        <w:rPr>
          <w:rFonts w:hint="eastAsia" w:ascii="宋体" w:hAnsi="宋体" w:eastAsia="宋体" w:cs="宋体"/>
          <w:b w:val="0"/>
          <w:bCs w:val="0"/>
          <w:color w:val="auto"/>
          <w:kern w:val="0"/>
          <w:sz w:val="21"/>
          <w:szCs w:val="21"/>
          <w:highlight w:val="none"/>
          <w:lang w:val="en-US" w:eastAsia="zh-CN" w:bidi="ar-SA"/>
        </w:rPr>
        <w:t>《档案著录规则（DA／T18-2022）》</w:t>
      </w:r>
      <w:r>
        <w:rPr>
          <w:rFonts w:hint="eastAsia" w:ascii="宋体" w:hAnsi="宋体" w:eastAsia="宋体" w:cs="宋体"/>
          <w:color w:val="auto"/>
          <w:kern w:val="0"/>
          <w:szCs w:val="21"/>
          <w:highlight w:val="none"/>
        </w:rPr>
        <w:t>；</w:t>
      </w:r>
    </w:p>
    <w:p w14:paraId="4B70ECE9">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8、《档案与文件收集利用条例》</w:t>
      </w:r>
    </w:p>
    <w:p w14:paraId="298EE20B">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9、《档案服务外包工作规范（DA／T68-2017）》</w:t>
      </w:r>
    </w:p>
    <w:p w14:paraId="33A87313">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10、《中华人民共和国保守国家秘密法》</w:t>
      </w:r>
    </w:p>
    <w:p w14:paraId="4C1844C5">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11、《中华人民共和国保守国家秘密法实施办法》</w:t>
      </w:r>
    </w:p>
    <w:p w14:paraId="1B06AAE8">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12、《档案虫霉防治一般规则》（DA/T35）</w:t>
      </w:r>
    </w:p>
    <w:p w14:paraId="0C22F6AA">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13、《照片档案管理规范》（GB/T11821）</w:t>
      </w:r>
    </w:p>
    <w:p w14:paraId="6E6B13F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14、《档号编制规则》（DA/T13—2022）</w:t>
      </w:r>
    </w:p>
    <w:p w14:paraId="20ABC32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15、《建设项目竣工文件编制及档案整理规范》&lt;DA-2001&gt;</w:t>
      </w:r>
    </w:p>
    <w:p w14:paraId="4AF20A8D">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16、《档案馆建筑设计规范》（JGJ25-2010）</w:t>
      </w:r>
    </w:p>
    <w:p w14:paraId="05E7CE40">
      <w:pPr>
        <w:spacing w:line="288" w:lineRule="auto"/>
        <w:ind w:firstLine="360" w:firstLineChars="200"/>
        <w:jc w:val="left"/>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说明：</w:t>
      </w:r>
      <w:r>
        <w:rPr>
          <w:rFonts w:hint="eastAsia" w:ascii="宋体" w:hAnsi="宋体" w:eastAsia="宋体" w:cs="宋体"/>
          <w:color w:val="auto"/>
          <w:kern w:val="0"/>
          <w:sz w:val="18"/>
          <w:szCs w:val="18"/>
          <w:highlight w:val="none"/>
        </w:rPr>
        <w:t>上述标准如有不足之处或未能达到国家最新标准时，实施及选用的设备</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材料</w:t>
      </w:r>
      <w:r>
        <w:rPr>
          <w:rFonts w:hint="eastAsia" w:ascii="宋体" w:hAnsi="宋体" w:eastAsia="宋体" w:cs="宋体"/>
          <w:color w:val="auto"/>
          <w:kern w:val="0"/>
          <w:sz w:val="18"/>
          <w:szCs w:val="18"/>
          <w:highlight w:val="none"/>
          <w:lang w:val="en-US" w:eastAsia="zh-CN"/>
        </w:rPr>
        <w:t>及服务须</w:t>
      </w:r>
      <w:r>
        <w:rPr>
          <w:rFonts w:hint="eastAsia" w:ascii="宋体" w:hAnsi="宋体" w:eastAsia="宋体" w:cs="宋体"/>
          <w:color w:val="auto"/>
          <w:kern w:val="0"/>
          <w:sz w:val="18"/>
          <w:szCs w:val="18"/>
          <w:highlight w:val="none"/>
        </w:rPr>
        <w:t xml:space="preserve">符合最新国家标准、规范。 </w:t>
      </w:r>
    </w:p>
    <w:p w14:paraId="5595952A">
      <w:pPr>
        <w:spacing w:line="288" w:lineRule="auto"/>
        <w:ind w:firstLine="482" w:firstLineChars="200"/>
        <w:jc w:val="left"/>
        <w:rPr>
          <w:rFonts w:hint="eastAsia" w:ascii="宋体" w:hAnsi="宋体" w:eastAsia="宋体" w:cs="宋体"/>
          <w:b/>
          <w:bCs/>
          <w:color w:val="auto"/>
          <w:sz w:val="24"/>
          <w:szCs w:val="24"/>
          <w:highlight w:val="none"/>
          <w:lang w:val="en-US" w:eastAsia="zh-CN"/>
        </w:rPr>
      </w:pPr>
    </w:p>
    <w:p w14:paraId="1D583AE1">
      <w:pPr>
        <w:spacing w:line="288" w:lineRule="auto"/>
        <w:ind w:firstLine="482" w:firstLineChars="200"/>
        <w:jc w:val="left"/>
        <w:rPr>
          <w:rFonts w:ascii="宋体" w:hAnsi="宋体" w:eastAsia="宋体" w:cs="宋体"/>
          <w:b/>
          <w:bCs/>
          <w:color w:val="auto"/>
          <w:kern w:val="0"/>
          <w:szCs w:val="21"/>
          <w:highlight w:val="none"/>
        </w:rPr>
      </w:pPr>
      <w:r>
        <w:rPr>
          <w:rFonts w:hint="eastAsia" w:ascii="宋体" w:hAnsi="宋体" w:eastAsia="宋体" w:cs="宋体"/>
          <w:b/>
          <w:bCs/>
          <w:color w:val="auto"/>
          <w:sz w:val="24"/>
          <w:szCs w:val="24"/>
          <w:highlight w:val="none"/>
          <w:lang w:val="en-US" w:eastAsia="zh-CN"/>
        </w:rPr>
        <w:t xml:space="preserve">七、验收内容、方法与标准 </w:t>
      </w:r>
    </w:p>
    <w:p w14:paraId="4FC2CF60">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（一）验收内容 </w:t>
      </w:r>
    </w:p>
    <w:p w14:paraId="4C9716DA">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①档案交接验收：中标供应商应在每批档案数字化加工和自检全部完成后，向采购人归还交接档案并完成档案的上架工作。要求档案数量准确无误，档案上架位置无误（与系统里分配的位置对应），拆除装订物的档案需按原位置装订，件与件的顺序、件内顺序按原页码排列，页面无损毁，涂改、破损、丢失，对破损、模糊材料采取了补救措施。如有问题，应及时返工进行补救。 </w:t>
      </w:r>
    </w:p>
    <w:p w14:paraId="05C6BAE6">
      <w:pPr>
        <w:spacing w:line="288"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②数据成果检验：中标供应商向采购人提交已完成批次数字化加工的实体档案和数字化的档案数据（目录数据、图像文件及数据挂接等），提交验收必须以中标供应商自检合格为前提。采购人将对提交的档案数字化成果的通过数量、完整性、准确性、可用性和安全性等检测。</w:t>
      </w:r>
    </w:p>
    <w:p w14:paraId="01127C1F">
      <w:pPr>
        <w:widowControl/>
        <w:ind w:firstLine="420" w:firstLineChars="200"/>
        <w:jc w:val="left"/>
        <w:rPr>
          <w:rFonts w:ascii="Microsoft JhengHei Light" w:hAnsi="Microsoft JhengHei Light" w:eastAsia="Microsoft JhengHei Light" w:cs="宋体"/>
          <w:color w:val="auto"/>
          <w:kern w:val="0"/>
          <w:sz w:val="24"/>
          <w:szCs w:val="24"/>
          <w:highlight w:val="none"/>
          <w:lang w:val="en-US" w:eastAsia="zh-CN" w:bidi="en-US"/>
        </w:rPr>
      </w:pPr>
      <w:r>
        <w:rPr>
          <w:rFonts w:hint="eastAsia" w:ascii="宋体" w:hAnsi="宋体" w:eastAsia="宋体" w:cs="宋体"/>
          <w:color w:val="auto"/>
          <w:kern w:val="0"/>
          <w:sz w:val="21"/>
          <w:szCs w:val="21"/>
          <w:highlight w:val="none"/>
          <w:lang w:val="en-US" w:eastAsia="zh-CN" w:bidi="en-US"/>
        </w:rPr>
        <w:t>③数据备份验收：应结合档案管理实际工作需求提供管档机构及档案类别配置、档案材料分类、用人单位、文件管理、用户管理；信息统计，存量统计、著目及挂接统计、人员结构统计；调档管理；档案盘点，出入库登记、档案盘点、档案移交；档案管理，基础信息、编制信息、岗位信息、电子档案、查漏补缺、档案利用、档案备录、档案日志、检索和导出等功能。</w:t>
      </w:r>
    </w:p>
    <w:p w14:paraId="58EB2632">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（二）验收方法 </w:t>
      </w:r>
    </w:p>
    <w:p w14:paraId="4F5227FD">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①按照采购需求及质量标准进行验收，涉及分类、著录、扫描、图像处理等细节要求均按采购人制定的验收要求进行验收标准的确认。 </w:t>
      </w:r>
    </w:p>
    <w:p w14:paraId="2EE6E66E">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②按采购人的要求进行验收，验收检查已完成数字化的纸质档案、目录数据库、图像文件及数据挂接总体质量。 </w:t>
      </w:r>
    </w:p>
    <w:p w14:paraId="205DE5F0">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③整理装订及数字化的档案质量检验合格率达到 95%以上（含 95%)，档案上架检验合格率达到 100%。合格率＝检验合格档案</w:t>
      </w:r>
      <w:r>
        <w:rPr>
          <w:rFonts w:hint="eastAsia" w:ascii="宋体" w:hAnsi="宋体" w:eastAsia="宋体" w:cs="宋体"/>
          <w:color w:val="auto"/>
          <w:kern w:val="0"/>
          <w:szCs w:val="21"/>
          <w:highlight w:val="none"/>
          <w:lang w:val="en-US" w:eastAsia="zh-CN"/>
        </w:rPr>
        <w:t>箱</w:t>
      </w:r>
      <w:r>
        <w:rPr>
          <w:rFonts w:hint="eastAsia" w:ascii="宋体" w:hAnsi="宋体" w:eastAsia="宋体" w:cs="宋体"/>
          <w:color w:val="auto"/>
          <w:kern w:val="0"/>
          <w:szCs w:val="21"/>
          <w:highlight w:val="none"/>
        </w:rPr>
        <w:t>数／检验</w:t>
      </w:r>
      <w:r>
        <w:rPr>
          <w:rFonts w:hint="eastAsia" w:ascii="宋体" w:hAnsi="宋体" w:eastAsia="宋体" w:cs="宋体"/>
          <w:color w:val="auto"/>
          <w:kern w:val="0"/>
          <w:szCs w:val="21"/>
          <w:highlight w:val="none"/>
          <w:lang w:val="en-US" w:eastAsia="zh-CN"/>
        </w:rPr>
        <w:t>箱</w:t>
      </w:r>
      <w:r>
        <w:rPr>
          <w:rFonts w:hint="eastAsia" w:ascii="宋体" w:hAnsi="宋体" w:eastAsia="宋体" w:cs="宋体"/>
          <w:color w:val="auto"/>
          <w:kern w:val="0"/>
          <w:szCs w:val="21"/>
          <w:highlight w:val="none"/>
        </w:rPr>
        <w:t xml:space="preserve">数×100%。档案整理分类、著录、装订、图像处理、页码编写等有任何质量问题时，检验单卷记为“不合格”，若在检验档案中存在上架位置错误的情况，检验单卷记为“不合格”。低于检验合格率则验收“不通过”，可进行整改，直至验收“通过”。 </w:t>
      </w:r>
    </w:p>
    <w:p w14:paraId="55A26269">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（三）验收标准 </w:t>
      </w:r>
    </w:p>
    <w:p w14:paraId="089E3086">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①电子影像 </w:t>
      </w:r>
    </w:p>
    <w:p w14:paraId="4E3AD8C7">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图像格式：JPG</w:t>
      </w:r>
      <w:r>
        <w:rPr>
          <w:rFonts w:hint="eastAsia" w:ascii="宋体" w:hAnsi="宋体" w:eastAsia="宋体" w:cs="宋体"/>
          <w:color w:val="auto"/>
          <w:kern w:val="0"/>
          <w:szCs w:val="21"/>
          <w:highlight w:val="none"/>
          <w:lang w:val="en-US" w:eastAsia="zh-CN"/>
        </w:rPr>
        <w:t>或PDF或TIF</w:t>
      </w:r>
      <w:r>
        <w:rPr>
          <w:rFonts w:hint="eastAsia" w:ascii="宋体" w:hAnsi="宋体" w:eastAsia="宋体" w:cs="宋体"/>
          <w:color w:val="auto"/>
          <w:kern w:val="0"/>
          <w:szCs w:val="21"/>
          <w:highlight w:val="none"/>
        </w:rPr>
        <w:t>，≥</w:t>
      </w:r>
      <w:r>
        <w:rPr>
          <w:rFonts w:hint="eastAsia" w:ascii="宋体" w:hAnsi="宋体" w:eastAsia="宋体" w:cs="宋体"/>
          <w:b w:val="0"/>
          <w:bCs w:val="0"/>
          <w:color w:val="auto"/>
          <w:kern w:val="0"/>
          <w:sz w:val="21"/>
          <w:szCs w:val="21"/>
          <w:highlight w:val="none"/>
          <w:lang w:val="en-US" w:eastAsia="zh-CN" w:bidi="ar-SA"/>
        </w:rPr>
        <w:t>200dpi分辨率、24位彩色模式扫描</w:t>
      </w:r>
      <w:r>
        <w:rPr>
          <w:rFonts w:hint="eastAsia" w:ascii="宋体" w:hAnsi="宋体" w:eastAsia="宋体" w:cs="宋体"/>
          <w:color w:val="auto"/>
          <w:kern w:val="0"/>
          <w:szCs w:val="21"/>
          <w:highlight w:val="none"/>
        </w:rPr>
        <w:t xml:space="preserve">； </w:t>
      </w:r>
    </w:p>
    <w:p w14:paraId="0049FFA9">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倾斜角度：数字化影像倾斜角度在 0.5 度以内，且倾斜数量不超过总页数的5%扫描影像是否与原件完全一致。 </w:t>
      </w:r>
    </w:p>
    <w:p w14:paraId="699EC57D">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文件夹命名是否</w:t>
      </w:r>
      <w:r>
        <w:rPr>
          <w:rFonts w:hint="eastAsia" w:ascii="宋体" w:hAnsi="宋体" w:eastAsia="宋体" w:cs="宋体"/>
          <w:color w:val="auto"/>
          <w:kern w:val="0"/>
          <w:szCs w:val="21"/>
          <w:highlight w:val="none"/>
          <w:lang w:val="en-US" w:eastAsia="zh-CN"/>
        </w:rPr>
        <w:t>符合</w:t>
      </w:r>
      <w:r>
        <w:rPr>
          <w:rFonts w:hint="eastAsia" w:ascii="宋体" w:hAnsi="宋体" w:eastAsia="宋体" w:cs="宋体"/>
          <w:color w:val="auto"/>
          <w:kern w:val="0"/>
          <w:szCs w:val="21"/>
          <w:highlight w:val="none"/>
        </w:rPr>
        <w:t xml:space="preserve">标准； </w:t>
      </w:r>
    </w:p>
    <w:p w14:paraId="1DEE63CF">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差错率：数字化转换质量检验的合格率应≥95%。 </w:t>
      </w:r>
    </w:p>
    <w:p w14:paraId="799D4EC1">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②数据 </w:t>
      </w:r>
    </w:p>
    <w:p w14:paraId="7BE746FB">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案卷目录信息：案卷目录信息数据应完整，编号准确；目录数据库项是否缺漏，主要数据项差错率不得超过 5‰； </w:t>
      </w:r>
    </w:p>
    <w:p w14:paraId="74B6105C">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差错率：主要数据差错率不得超过 5‰。 </w:t>
      </w:r>
    </w:p>
    <w:p w14:paraId="6ABD482B">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③中标人按招标要求和中标方案实施，严格履行服务承诺，按照采购人保密、安全、项目实施、其他等要求执行，并接受采购人的定期检查（包含服务、响应、管理等），如在定期检查中发现严重违反项目要求，验收“不通过”，可进行整改，直至验收“通过”。档案上架检验合格率达到 100%。 </w:t>
      </w:r>
    </w:p>
    <w:p w14:paraId="44A39280">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（四）验收流程 </w:t>
      </w:r>
    </w:p>
    <w:p w14:paraId="1D1EAAF9">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①中标人在完成项目进度一定数量后可申请进行验收，验收时由中标人向采购人提出数据验收申请。 </w:t>
      </w:r>
    </w:p>
    <w:p w14:paraId="5B057C8E">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②采购人根据中标人提交的数据验收申请进行验收并出具《验收登记表》。低于检验合格率则由成交供应商进行整改，并出具整改报告提交采购人，直至验收通过。 </w:t>
      </w:r>
    </w:p>
    <w:p w14:paraId="441BAACC">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③达到验收标准后，该批次验收通过。项目验收完成后，中标人需提交数字化成果一套（移动硬盘）给采购人作为数据备份，并通过完整性、准确性、可用性和安全性检查，检测合格后方可办理数据交接手续。 </w:t>
      </w:r>
    </w:p>
    <w:p w14:paraId="401168B8">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④中标人需将数字化加工过程中产生的临时性、作废的纸质文件，统一采用碎纸机进行销毁。中标人所有电脑硬盘以及数字化过程中使用过的全部移动存储介质，交采购人现场进行不少于 2 次的格式化，并通过采购人检查确保无信息留存。 </w:t>
      </w:r>
    </w:p>
    <w:p w14:paraId="6A86E56E">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⑤中标人配合出具验收过程文档及验收报告提交给采购人。 </w:t>
      </w:r>
    </w:p>
    <w:p w14:paraId="22837CE3">
      <w:pPr>
        <w:spacing w:line="288" w:lineRule="auto"/>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八、保密条款 </w:t>
      </w:r>
    </w:p>
    <w:p w14:paraId="0EB0C78B">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①档案管理人员应当认真执行《中华人民共和国保守国家秘密法》，遵守保密制度和保密纪律，对密级的档案内容不泄密、失密，确保档案的安全；中标人必须与采购人签订保密协议书，明确保密范围、保密要求及泄密责任。中标人与驻场工作人员应同步签订保密协议，并将保密协议副本提交采购人备案保存； </w:t>
      </w:r>
    </w:p>
    <w:p w14:paraId="0DCD3FA5">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②整个项目的实施，中标人的档案数字化加工工作的每个环节必须在采购人工作人员的认可下进行； </w:t>
      </w:r>
    </w:p>
    <w:p w14:paraId="16D5C989">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③项目期间档案由中标人保管，中标人的数字化加工工作人员须承担应档案泄密或文档缺失的连带责任； </w:t>
      </w:r>
    </w:p>
    <w:p w14:paraId="1A0EBEC3">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④中标人应做好项目的工作记录和重要事项的记录，对于因本项目而发生泄密或文档缺失造成的损失和影响，由中标人承担责任； </w:t>
      </w:r>
    </w:p>
    <w:p w14:paraId="22029523">
      <w:pPr>
        <w:spacing w:line="288"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 xml:space="preserve">⑤采购人的所有交付给投标人加工实施的所有档案等资料内容，投标人不得以任何方式（复印、扫描、照相、转抄等）向第三方泄密，投标人要严格做好保密工作，否则应承担相应的责任。 </w:t>
      </w:r>
    </w:p>
    <w:bookmarkEnd w:id="6"/>
    <w:bookmarkEnd w:id="7"/>
    <w:p w14:paraId="2F63927B">
      <w:pPr>
        <w:spacing w:line="288" w:lineRule="auto"/>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九、其他要求</w:t>
      </w:r>
    </w:p>
    <w:p w14:paraId="17289A0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1.中标供应商应保证提供服务过程中不会侵犯任何第三方的知识产权，否则一切后果由成交供应商承担。</w:t>
      </w:r>
    </w:p>
    <w:p w14:paraId="23A9D02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2.项目档案整理加工成果归采购人所有。对于此次整理加工成果及整理加工过程中知悉的采购人档案信息，成交供应商及其工作人员不得以任何形式私自保存并向第三方提供，否则采购方将按国家法律和有关规定追究成交供应商的一切责任。</w:t>
      </w:r>
    </w:p>
    <w:p w14:paraId="120B8B67">
      <w:pPr>
        <w:keepNext w:val="0"/>
        <w:keepLines w:val="0"/>
        <w:pageBreakBefore w:val="0"/>
        <w:wordWrap/>
        <w:topLinePunct w:val="0"/>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kern w:val="0"/>
          <w:szCs w:val="21"/>
          <w:highlight w:val="none"/>
        </w:rPr>
        <w:t>中标人在参与本项目的全部过程中（包括但不限于现场踏勘、档案整理及数字化加工</w:t>
      </w:r>
      <w:r>
        <w:rPr>
          <w:rFonts w:hint="eastAsia" w:ascii="宋体" w:hAnsi="宋体" w:eastAsia="宋体" w:cs="宋体"/>
          <w:color w:val="auto"/>
          <w:kern w:val="0"/>
          <w:szCs w:val="21"/>
          <w:highlight w:val="none"/>
          <w:lang w:val="en-US" w:eastAsia="zh-CN"/>
        </w:rPr>
        <w:t>、档案寄存托管、档案信息化技术支撑、档案数据增值应用、</w:t>
      </w:r>
      <w:r>
        <w:rPr>
          <w:rFonts w:hint="eastAsia" w:ascii="宋体" w:hAnsi="宋体" w:eastAsia="宋体" w:cs="宋体"/>
          <w:color w:val="auto"/>
          <w:kern w:val="0"/>
          <w:szCs w:val="21"/>
          <w:highlight w:val="none"/>
        </w:rPr>
        <w:t>运输、</w:t>
      </w:r>
      <w:r>
        <w:rPr>
          <w:rFonts w:hint="eastAsia" w:ascii="宋体" w:hAnsi="宋体" w:eastAsia="宋体" w:cs="宋体"/>
          <w:color w:val="auto"/>
          <w:kern w:val="0"/>
          <w:szCs w:val="21"/>
          <w:highlight w:val="none"/>
          <w:lang w:val="en-US" w:eastAsia="zh-CN"/>
        </w:rPr>
        <w:t>实施</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调度</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移送、</w:t>
      </w:r>
      <w:r>
        <w:rPr>
          <w:rFonts w:hint="eastAsia" w:ascii="宋体" w:hAnsi="宋体" w:eastAsia="宋体" w:cs="宋体"/>
          <w:color w:val="auto"/>
          <w:kern w:val="0"/>
          <w:szCs w:val="21"/>
          <w:highlight w:val="none"/>
        </w:rPr>
        <w:t>验收售后等），应负责其派出的所有驻场工作人员</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如有）</w:t>
      </w:r>
      <w:r>
        <w:rPr>
          <w:rFonts w:hint="eastAsia" w:ascii="宋体" w:hAnsi="宋体" w:eastAsia="宋体" w:cs="宋体"/>
          <w:color w:val="auto"/>
          <w:kern w:val="0"/>
          <w:szCs w:val="21"/>
          <w:highlight w:val="none"/>
        </w:rPr>
        <w:t>的工伤保险和人身意外保险并承担人身意外事故引发的责任、损失和所有费用。采购人不承担中标人驻场工作人员因意外所致的任何责任。</w:t>
      </w:r>
    </w:p>
    <w:p w14:paraId="55236872">
      <w:pPr>
        <w:widowControl/>
        <w:spacing w:line="240" w:lineRule="auto"/>
        <w:ind w:firstLine="422" w:firstLineChars="200"/>
        <w:jc w:val="left"/>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报价要求：</w:t>
      </w:r>
    </w:p>
    <w:p w14:paraId="1D42E44A">
      <w:pPr>
        <w:widowControl/>
        <w:spacing w:line="240" w:lineRule="auto"/>
        <w:ind w:firstLine="422" w:firstLineChars="200"/>
        <w:jc w:val="left"/>
        <w:textAlignment w:val="center"/>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snapToGrid w:val="0"/>
          <w:color w:val="auto"/>
          <w:kern w:val="0"/>
          <w:sz w:val="21"/>
          <w:szCs w:val="21"/>
          <w:highlight w:val="none"/>
          <w:lang w:val="en-US" w:eastAsia="zh-CN"/>
        </w:rPr>
        <w:t>本项目报价采用折扣率报价方式，每类整体折扣率即为该类各单项的折扣率；供应商报价不得超过单价限价，否则按无效投标处理。</w:t>
      </w:r>
    </w:p>
    <w:p w14:paraId="79A5739E">
      <w:pPr>
        <w:widowControl/>
        <w:spacing w:line="240" w:lineRule="auto"/>
        <w:ind w:firstLine="420" w:firstLineChars="200"/>
        <w:jc w:val="left"/>
        <w:textAlignment w:val="center"/>
        <w:rPr>
          <w:rFonts w:ascii="宋体" w:hAnsi="宋体" w:eastAsia="宋体" w:cs="宋体"/>
          <w:strike w:val="0"/>
          <w:dstrike w:val="0"/>
          <w:color w:val="auto"/>
          <w:sz w:val="21"/>
          <w:szCs w:val="21"/>
          <w:highlight w:val="none"/>
        </w:rPr>
      </w:pPr>
      <w:r>
        <w:rPr>
          <w:rFonts w:hint="eastAsia" w:ascii="宋体" w:hAnsi="宋体" w:eastAsia="宋体" w:cs="宋体"/>
          <w:strike w:val="0"/>
          <w:dstrike w:val="0"/>
          <w:snapToGrid w:val="0"/>
          <w:color w:val="auto"/>
          <w:kern w:val="0"/>
          <w:sz w:val="21"/>
          <w:szCs w:val="21"/>
          <w:highlight w:val="none"/>
          <w:lang w:eastAsia="zh-CN"/>
        </w:rPr>
        <w:t>（</w:t>
      </w:r>
      <w:r>
        <w:rPr>
          <w:rFonts w:hint="eastAsia" w:ascii="宋体" w:hAnsi="宋体" w:eastAsia="宋体" w:cs="宋体"/>
          <w:strike w:val="0"/>
          <w:dstrike w:val="0"/>
          <w:snapToGrid w:val="0"/>
          <w:color w:val="auto"/>
          <w:kern w:val="0"/>
          <w:sz w:val="21"/>
          <w:szCs w:val="21"/>
          <w:highlight w:val="none"/>
          <w:lang w:val="en-US" w:eastAsia="zh-CN"/>
        </w:rPr>
        <w:t>2）投标报价</w:t>
      </w:r>
      <w:r>
        <w:rPr>
          <w:rFonts w:hint="eastAsia" w:ascii="宋体" w:hAnsi="宋体" w:eastAsia="宋体" w:cs="宋体"/>
          <w:strike w:val="0"/>
          <w:dstrike w:val="0"/>
          <w:snapToGrid w:val="0"/>
          <w:color w:val="auto"/>
          <w:kern w:val="0"/>
          <w:sz w:val="21"/>
          <w:szCs w:val="21"/>
          <w:highlight w:val="none"/>
        </w:rPr>
        <w:t>包含本项目所需的一切费用（包括但不限于</w:t>
      </w:r>
      <w:r>
        <w:rPr>
          <w:rFonts w:hint="eastAsia" w:ascii="宋体" w:hAnsi="宋体" w:eastAsia="宋体" w:cs="宋体"/>
          <w:b/>
          <w:bCs/>
          <w:strike w:val="0"/>
          <w:dstrike w:val="0"/>
          <w:color w:val="auto"/>
          <w:sz w:val="21"/>
          <w:szCs w:val="21"/>
          <w:highlight w:val="none"/>
        </w:rPr>
        <w:t>含</w:t>
      </w:r>
      <w:r>
        <w:rPr>
          <w:rFonts w:hint="eastAsia" w:ascii="宋体" w:hAnsi="宋体" w:eastAsia="宋体" w:cs="宋体"/>
          <w:b/>
          <w:bCs/>
          <w:strike w:val="0"/>
          <w:dstrike w:val="0"/>
          <w:color w:val="auto"/>
          <w:sz w:val="21"/>
          <w:szCs w:val="21"/>
          <w:highlight w:val="none"/>
          <w:lang w:val="en-US" w:eastAsia="zh-CN"/>
        </w:rPr>
        <w:t>人工费</w:t>
      </w:r>
      <w:r>
        <w:rPr>
          <w:rFonts w:hint="eastAsia" w:ascii="宋体" w:hAnsi="宋体" w:eastAsia="宋体" w:cs="宋体"/>
          <w:b/>
          <w:bCs/>
          <w:strike w:val="0"/>
          <w:dstrike w:val="0"/>
          <w:color w:val="auto"/>
          <w:sz w:val="21"/>
          <w:szCs w:val="21"/>
          <w:highlight w:val="none"/>
        </w:rPr>
        <w:t>、</w:t>
      </w:r>
      <w:r>
        <w:rPr>
          <w:rFonts w:hint="eastAsia" w:ascii="宋体" w:hAnsi="宋体" w:eastAsia="宋体" w:cs="宋体"/>
          <w:b/>
          <w:bCs/>
          <w:strike w:val="0"/>
          <w:dstrike w:val="0"/>
          <w:color w:val="auto"/>
          <w:sz w:val="21"/>
          <w:szCs w:val="21"/>
          <w:highlight w:val="none"/>
          <w:lang w:val="en-US" w:eastAsia="zh-CN"/>
        </w:rPr>
        <w:t>设备费、管理费、利润、税金及其完成该工作需发生的食宿交通等</w:t>
      </w:r>
      <w:r>
        <w:rPr>
          <w:rFonts w:hint="eastAsia" w:ascii="宋体" w:hAnsi="宋体" w:eastAsia="宋体" w:cs="宋体"/>
          <w:b/>
          <w:bCs/>
          <w:strike w:val="0"/>
          <w:dstrike w:val="0"/>
          <w:color w:val="auto"/>
          <w:sz w:val="21"/>
          <w:szCs w:val="21"/>
          <w:highlight w:val="none"/>
        </w:rPr>
        <w:t>）</w:t>
      </w:r>
      <w:r>
        <w:rPr>
          <w:rFonts w:hint="eastAsia" w:ascii="宋体" w:hAnsi="宋体" w:eastAsia="宋体" w:cs="宋体"/>
          <w:strike w:val="0"/>
          <w:dstrike w:val="0"/>
          <w:snapToGrid w:val="0"/>
          <w:color w:val="auto"/>
          <w:kern w:val="0"/>
          <w:sz w:val="21"/>
          <w:szCs w:val="21"/>
          <w:highlight w:val="none"/>
        </w:rPr>
        <w:t>各类税费及合同实施过程中的不可预见费等。</w:t>
      </w:r>
      <w:r>
        <w:rPr>
          <w:rFonts w:hint="eastAsia" w:ascii="宋体" w:hAnsi="宋体" w:eastAsia="宋体" w:cs="宋体"/>
          <w:b/>
          <w:bCs/>
          <w:strike w:val="0"/>
          <w:dstrike w:val="0"/>
          <w:color w:val="auto"/>
          <w:sz w:val="21"/>
          <w:szCs w:val="21"/>
          <w:highlight w:val="none"/>
        </w:rPr>
        <w:t>投标人一旦中标，在项目实施中出现任何遗漏，均由投标人免费提供，</w:t>
      </w:r>
      <w:r>
        <w:rPr>
          <w:rFonts w:hint="eastAsia" w:ascii="宋体" w:hAnsi="宋体" w:eastAsia="宋体" w:cs="宋体"/>
          <w:b/>
          <w:bCs/>
          <w:strike w:val="0"/>
          <w:dstrike w:val="0"/>
          <w:color w:val="auto"/>
          <w:sz w:val="21"/>
          <w:szCs w:val="21"/>
          <w:highlight w:val="none"/>
          <w:lang w:eastAsia="zh-CN"/>
        </w:rPr>
        <w:t>采购人</w:t>
      </w:r>
      <w:r>
        <w:rPr>
          <w:rFonts w:hint="eastAsia" w:ascii="宋体" w:hAnsi="宋体" w:eastAsia="宋体" w:cs="宋体"/>
          <w:b/>
          <w:bCs/>
          <w:strike w:val="0"/>
          <w:dstrike w:val="0"/>
          <w:color w:val="auto"/>
          <w:sz w:val="21"/>
          <w:szCs w:val="21"/>
          <w:highlight w:val="none"/>
        </w:rPr>
        <w:t>不再支付任何费用。</w:t>
      </w:r>
    </w:p>
    <w:p w14:paraId="498A4309">
      <w:pPr>
        <w:keepNext w:val="0"/>
        <w:keepLines w:val="0"/>
        <w:pageBreakBefore w:val="0"/>
        <w:wordWrap/>
        <w:topLinePunct w:val="0"/>
        <w:bidi w:val="0"/>
        <w:spacing w:line="40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费用结算：</w:t>
      </w:r>
    </w:p>
    <w:p w14:paraId="34694DCB">
      <w:pPr>
        <w:keepNext w:val="0"/>
        <w:keepLines w:val="0"/>
        <w:pageBreakBefore w:val="0"/>
        <w:wordWrap/>
        <w:topLinePunct w:val="0"/>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纳入招标实施范围的7家机关、事业单位与承接主体分别签订服务合同，服务费用结算需以各单位档案实际档案寄存服务、档案整理服务、档案数字化及其他相关服务完成量为结算依据，由承接主体提供经服务对象确认的验收凭证，作为资金支付的必要依据</w:t>
      </w:r>
      <w:r>
        <w:rPr>
          <w:rFonts w:hint="eastAsia" w:ascii="宋体" w:hAnsi="宋体" w:eastAsia="宋体" w:cs="宋体"/>
          <w:b/>
          <w:bCs/>
          <w:color w:val="auto"/>
          <w:sz w:val="21"/>
          <w:szCs w:val="21"/>
          <w:highlight w:val="none"/>
          <w:lang w:val="en-US" w:eastAsia="zh-CN"/>
        </w:rPr>
        <w:t>（按半年拨付）</w:t>
      </w:r>
      <w:r>
        <w:rPr>
          <w:rFonts w:hint="eastAsia" w:ascii="宋体" w:hAnsi="宋体" w:eastAsia="宋体" w:cs="宋体"/>
          <w:color w:val="auto"/>
          <w:sz w:val="21"/>
          <w:szCs w:val="21"/>
          <w:highlight w:val="none"/>
          <w:lang w:val="en-US" w:eastAsia="zh-CN"/>
        </w:rPr>
        <w:t xml:space="preserve">。 </w:t>
      </w:r>
    </w:p>
    <w:p w14:paraId="77233C19">
      <w:pPr>
        <w:keepNext w:val="0"/>
        <w:keepLines w:val="0"/>
        <w:pageBreakBefore w:val="0"/>
        <w:wordWrap/>
        <w:topLinePunct w:val="0"/>
        <w:bidi w:val="0"/>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（2）市机关事务管理局负责对项目承接主体的服务质量、履约能力进行监督考核，市档案局提供业务指导。市财政局、市国资委负责各单位服务费用结算支付的监管考核。</w:t>
      </w:r>
    </w:p>
    <w:p w14:paraId="2784946E">
      <w:pPr>
        <w:keepNext w:val="0"/>
        <w:keepLines w:val="0"/>
        <w:pageBreakBefore w:val="0"/>
        <w:wordWrap/>
        <w:topLinePunct w:val="0"/>
        <w:bidi w:val="0"/>
        <w:spacing w:line="400" w:lineRule="exact"/>
        <w:ind w:firstLine="422" w:firstLineChars="200"/>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（3）最终</w:t>
      </w:r>
      <w:r>
        <w:rPr>
          <w:rFonts w:hint="eastAsia" w:ascii="宋体" w:hAnsi="宋体" w:eastAsia="宋体" w:cs="宋体"/>
          <w:b/>
          <w:bCs/>
          <w:color w:val="auto"/>
          <w:kern w:val="2"/>
          <w:sz w:val="21"/>
          <w:szCs w:val="21"/>
          <w:highlight w:val="none"/>
          <w:lang w:val="en" w:eastAsia="zh-CN" w:bidi="ar-SA"/>
        </w:rPr>
        <w:t>结算</w:t>
      </w:r>
      <w:r>
        <w:rPr>
          <w:rFonts w:hint="eastAsia" w:ascii="宋体" w:hAnsi="宋体" w:eastAsia="宋体" w:cs="宋体"/>
          <w:b/>
          <w:bCs/>
          <w:color w:val="auto"/>
          <w:kern w:val="2"/>
          <w:sz w:val="21"/>
          <w:szCs w:val="21"/>
          <w:highlight w:val="none"/>
          <w:lang w:val="en-US" w:eastAsia="zh-CN" w:bidi="ar-SA"/>
        </w:rPr>
        <w:t>金额（</w:t>
      </w:r>
      <w:r>
        <w:rPr>
          <w:rFonts w:hint="eastAsia" w:ascii="宋体" w:hAnsi="宋体" w:eastAsia="宋体" w:cs="宋体"/>
          <w:b/>
          <w:bCs/>
          <w:color w:val="auto"/>
          <w:kern w:val="2"/>
          <w:sz w:val="21"/>
          <w:szCs w:val="21"/>
          <w:highlight w:val="none"/>
          <w:lang w:val="en" w:eastAsia="zh-CN" w:bidi="ar-SA"/>
        </w:rPr>
        <w:t>单价）=</w:t>
      </w:r>
      <w:r>
        <w:rPr>
          <w:rFonts w:hint="eastAsia" w:ascii="宋体" w:hAnsi="宋体" w:eastAsia="宋体" w:cs="宋体"/>
          <w:b/>
          <w:bCs/>
          <w:color w:val="auto"/>
          <w:kern w:val="2"/>
          <w:sz w:val="21"/>
          <w:szCs w:val="21"/>
          <w:highlight w:val="none"/>
          <w:lang w:val="en-US" w:eastAsia="zh-CN" w:bidi="ar-SA"/>
        </w:rPr>
        <w:t>各类单项实际发生</w:t>
      </w:r>
      <w:r>
        <w:rPr>
          <w:rFonts w:hint="eastAsia" w:ascii="宋体" w:hAnsi="宋体" w:eastAsia="宋体" w:cs="宋体"/>
          <w:b/>
          <w:bCs/>
          <w:color w:val="auto"/>
          <w:kern w:val="2"/>
          <w:sz w:val="21"/>
          <w:szCs w:val="21"/>
          <w:highlight w:val="none"/>
          <w:lang w:val="en" w:eastAsia="zh-CN" w:bidi="ar-SA"/>
        </w:rPr>
        <w:t>数量×采购单价限价×中标折扣率</w:t>
      </w:r>
    </w:p>
    <w:p w14:paraId="16918D19">
      <w:pPr>
        <w:keepNext w:val="0"/>
        <w:keepLines w:val="0"/>
        <w:pageBreakBefore w:val="0"/>
        <w:widowControl/>
        <w:kinsoku w:val="0"/>
        <w:wordWrap/>
        <w:topLinePunct w:val="0"/>
        <w:autoSpaceDE w:val="0"/>
        <w:autoSpaceDN w:val="0"/>
        <w:bidi w:val="0"/>
        <w:adjustRightInd w:val="0"/>
        <w:snapToGrid w:val="0"/>
        <w:spacing w:line="400" w:lineRule="exact"/>
        <w:ind w:firstLine="422" w:firstLineChars="200"/>
        <w:jc w:val="left"/>
        <w:textAlignment w:val="baseline"/>
        <w:rPr>
          <w:rFonts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val="en-US" w:eastAsia="zh-CN"/>
        </w:rPr>
        <w:t>十</w:t>
      </w:r>
      <w:r>
        <w:rPr>
          <w:rFonts w:hint="eastAsia" w:ascii="宋体" w:hAnsi="宋体" w:eastAsia="宋体" w:cs="宋体"/>
          <w:b/>
          <w:bCs/>
          <w:snapToGrid w:val="0"/>
          <w:color w:val="auto"/>
          <w:kern w:val="0"/>
          <w:sz w:val="21"/>
          <w:szCs w:val="21"/>
          <w:highlight w:val="none"/>
        </w:rPr>
        <w:t>、重要说明</w:t>
      </w:r>
    </w:p>
    <w:p w14:paraId="4020612E">
      <w:pPr>
        <w:keepNext w:val="0"/>
        <w:keepLines w:val="0"/>
        <w:pageBreakBefore w:val="0"/>
        <w:widowControl w:val="0"/>
        <w:wordWrap/>
        <w:topLinePunct w:val="0"/>
        <w:bidi w:val="0"/>
        <w:snapToGrid w:val="0"/>
        <w:spacing w:line="400" w:lineRule="exact"/>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1、各投标人须提供真实的资料，如投标人提供虚假材料谋取中标，在评标环节发现的，按无效投标处理。如中标后发现的，取消其中标资格，并送财政监管部门依法追究其法律责任。</w:t>
      </w:r>
    </w:p>
    <w:p w14:paraId="31791BA9">
      <w:pPr>
        <w:keepNext w:val="0"/>
        <w:keepLines w:val="0"/>
        <w:pageBreakBefore w:val="0"/>
        <w:widowControl w:val="0"/>
        <w:wordWrap/>
        <w:topLinePunct w:val="0"/>
        <w:bidi w:val="0"/>
        <w:snapToGrid w:val="0"/>
        <w:spacing w:line="400" w:lineRule="exact"/>
        <w:ind w:firstLine="420" w:firstLineChars="200"/>
        <w:jc w:val="left"/>
        <w:rPr>
          <w:rFonts w:ascii="宋体" w:hAnsi="宋体" w:eastAsia="宋体" w:cs="宋体"/>
          <w:color w:val="auto"/>
          <w:kern w:val="2"/>
          <w:sz w:val="18"/>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2、服务单位半年度考核低于70分（不含）的，将被取消中标资格，</w:t>
      </w:r>
      <w:r>
        <w:rPr>
          <w:rFonts w:hint="eastAsia" w:ascii="宋体" w:hAnsi="宋体" w:eastAsia="宋体" w:cs="宋体"/>
          <w:color w:val="auto"/>
          <w:kern w:val="2"/>
          <w:sz w:val="21"/>
          <w:szCs w:val="21"/>
          <w:highlight w:val="none"/>
          <w:lang w:val="zh-CN" w:eastAsia="zh-CN" w:bidi="ar-SA"/>
        </w:rPr>
        <w:t>采购人有权终止合同，</w:t>
      </w:r>
      <w:r>
        <w:rPr>
          <w:rFonts w:hint="eastAsia" w:ascii="宋体" w:hAnsi="宋体" w:eastAsia="宋体" w:cs="宋体"/>
          <w:color w:val="auto"/>
          <w:kern w:val="2"/>
          <w:sz w:val="21"/>
          <w:szCs w:val="21"/>
          <w:highlight w:val="none"/>
          <w:lang w:val="en-US" w:eastAsia="zh-CN" w:bidi="ar-SA"/>
        </w:rPr>
        <w:t>中标单位</w:t>
      </w:r>
      <w:r>
        <w:rPr>
          <w:rFonts w:hint="eastAsia" w:ascii="宋体" w:hAnsi="宋体" w:eastAsia="宋体" w:cs="宋体"/>
          <w:color w:val="auto"/>
          <w:kern w:val="2"/>
          <w:sz w:val="21"/>
          <w:szCs w:val="21"/>
          <w:highlight w:val="none"/>
          <w:lang w:val="zh-CN" w:eastAsia="zh-CN" w:bidi="ar-SA"/>
        </w:rPr>
        <w:t>承担所产生的一切后果并赔偿损失。考核扣分扣款不影响中标人违约金、赔偿金等经济责任的承担。</w:t>
      </w:r>
    </w:p>
    <w:p w14:paraId="75E8F5E3">
      <w:pPr>
        <w:keepNext w:val="0"/>
        <w:keepLines w:val="0"/>
        <w:pageBreakBefore w:val="0"/>
        <w:widowControl w:val="0"/>
        <w:wordWrap/>
        <w:topLinePunct w:val="0"/>
        <w:bidi w:val="0"/>
        <w:snapToGrid w:val="0"/>
        <w:spacing w:line="400" w:lineRule="exact"/>
        <w:jc w:val="left"/>
        <w:rPr>
          <w:rFonts w:hint="eastAsia" w:ascii="宋体" w:hAnsi="宋体" w:eastAsia="宋体" w:cs="宋体"/>
          <w:color w:val="auto"/>
          <w:kern w:val="2"/>
          <w:sz w:val="21"/>
          <w:szCs w:val="21"/>
          <w:highlight w:val="none"/>
          <w:lang w:val="en-US" w:eastAsia="zh-CN" w:bidi="ar-SA"/>
        </w:rPr>
      </w:pPr>
    </w:p>
    <w:p w14:paraId="0AFDFA66">
      <w:pPr>
        <w:keepNext w:val="0"/>
        <w:keepLines w:val="0"/>
        <w:pageBreakBefore w:val="0"/>
        <w:widowControl w:val="0"/>
        <w:wordWrap/>
        <w:topLinePunct w:val="0"/>
        <w:bidi w:val="0"/>
        <w:adjustRightInd w:val="0"/>
        <w:snapToGrid w:val="0"/>
        <w:spacing w:line="400" w:lineRule="exact"/>
        <w:jc w:val="center"/>
        <w:outlineLvl w:val="0"/>
        <w:rPr>
          <w:rFonts w:hint="eastAsia" w:ascii="宋体" w:hAnsi="宋体" w:eastAsia="宋体" w:cs="Times New Roman"/>
          <w:b/>
          <w:color w:val="auto"/>
          <w:kern w:val="0"/>
          <w:sz w:val="32"/>
          <w:szCs w:val="32"/>
          <w:highlight w:val="none"/>
          <w:lang w:val="en-US" w:eastAsia="zh-CN" w:bidi="ar-SA"/>
        </w:rPr>
      </w:pPr>
    </w:p>
    <w:p w14:paraId="0D44BD6A">
      <w:pPr>
        <w:rPr>
          <w:rFonts w:hint="eastAsia" w:ascii="宋体" w:hAnsi="宋体" w:eastAsia="宋体" w:cs="Times New Roman"/>
          <w:b/>
          <w:color w:val="auto"/>
          <w:kern w:val="0"/>
          <w:sz w:val="32"/>
          <w:szCs w:val="32"/>
          <w:highlight w:val="none"/>
          <w:lang w:val="en-US" w:eastAsia="zh-CN" w:bidi="ar-SA"/>
        </w:rPr>
      </w:pPr>
      <w:r>
        <w:rPr>
          <w:rFonts w:hint="eastAsia" w:ascii="宋体" w:hAnsi="宋体" w:eastAsia="宋体" w:cs="Times New Roman"/>
          <w:b/>
          <w:color w:val="auto"/>
          <w:kern w:val="0"/>
          <w:sz w:val="32"/>
          <w:szCs w:val="32"/>
          <w:highlight w:val="none"/>
          <w:lang w:val="en-US" w:eastAsia="zh-CN" w:bidi="ar-SA"/>
        </w:rPr>
        <w:br w:type="page"/>
      </w:r>
    </w:p>
    <w:p w14:paraId="78182FB5">
      <w:pPr>
        <w:keepNext w:val="0"/>
        <w:keepLines w:val="0"/>
        <w:pageBreakBefore w:val="0"/>
        <w:widowControl w:val="0"/>
        <w:wordWrap/>
        <w:topLinePunct w:val="0"/>
        <w:bidi w:val="0"/>
        <w:adjustRightInd w:val="0"/>
        <w:snapToGrid w:val="0"/>
        <w:spacing w:line="400" w:lineRule="exact"/>
        <w:jc w:val="center"/>
        <w:outlineLvl w:val="0"/>
        <w:rPr>
          <w:rFonts w:ascii="宋体" w:hAnsi="宋体" w:eastAsia="宋体" w:cs="Times New Roman"/>
          <w:b/>
          <w:color w:val="auto"/>
          <w:kern w:val="0"/>
          <w:sz w:val="32"/>
          <w:szCs w:val="32"/>
          <w:highlight w:val="none"/>
          <w:lang w:val="en-US" w:eastAsia="zh-CN" w:bidi="ar-SA"/>
        </w:rPr>
      </w:pPr>
      <w:r>
        <w:rPr>
          <w:rFonts w:hint="eastAsia" w:ascii="宋体" w:hAnsi="宋体" w:eastAsia="宋体" w:cs="Times New Roman"/>
          <w:b/>
          <w:color w:val="auto"/>
          <w:kern w:val="0"/>
          <w:sz w:val="32"/>
          <w:szCs w:val="32"/>
          <w:highlight w:val="none"/>
          <w:lang w:val="en-US" w:eastAsia="zh-CN" w:bidi="ar-SA"/>
        </w:rPr>
        <w:t>项目管理考评办法</w:t>
      </w:r>
    </w:p>
    <w:p w14:paraId="0CD5349C">
      <w:pPr>
        <w:keepNext w:val="0"/>
        <w:keepLines w:val="0"/>
        <w:pageBreakBefore w:val="0"/>
        <w:wordWrap/>
        <w:topLinePunct w:val="0"/>
        <w:bidi w:val="0"/>
        <w:spacing w:line="400" w:lineRule="exact"/>
        <w:ind w:firstLine="420" w:firstLineChars="200"/>
        <w:rPr>
          <w:rFonts w:ascii="宋体" w:hAnsi="宋体" w:eastAsia="宋体" w:cs="宋体"/>
          <w:color w:val="auto"/>
          <w:szCs w:val="21"/>
          <w:highlight w:val="none"/>
          <w:lang w:val="zh-CN"/>
        </w:rPr>
      </w:pPr>
      <w:r>
        <w:rPr>
          <w:rFonts w:hint="eastAsia" w:ascii="宋体" w:hAnsi="宋体" w:eastAsia="宋体" w:cs="宋体"/>
          <w:color w:val="auto"/>
          <w:szCs w:val="21"/>
          <w:highlight w:val="none"/>
        </w:rPr>
        <w:t>中标单位应当根据有关规定及</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人的要求，</w:t>
      </w:r>
      <w:r>
        <w:rPr>
          <w:rFonts w:hint="eastAsia" w:ascii="宋体" w:hAnsi="宋体" w:eastAsia="宋体" w:cs="宋体"/>
          <w:color w:val="auto"/>
          <w:szCs w:val="21"/>
          <w:highlight w:val="none"/>
          <w:lang w:val="en-US" w:eastAsia="zh-CN"/>
        </w:rPr>
        <w:t>提供科学、安全、可靠、专业、及时的</w:t>
      </w:r>
      <w:r>
        <w:rPr>
          <w:rFonts w:hint="default" w:ascii="Times New Roman" w:hAnsi="Times New Roman" w:eastAsia="宋体" w:cs="Times New Roman"/>
          <w:color w:val="auto"/>
          <w:highlight w:val="none"/>
        </w:rPr>
        <w:t>智慧档案全流程服务</w:t>
      </w:r>
      <w:r>
        <w:rPr>
          <w:rFonts w:hint="eastAsia" w:ascii="宋体" w:hAnsi="宋体" w:eastAsia="宋体" w:cs="宋体"/>
          <w:color w:val="auto"/>
          <w:szCs w:val="21"/>
          <w:highlight w:val="none"/>
        </w:rPr>
        <w:t>，由</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val="zh-CN"/>
        </w:rPr>
        <w:t>对</w:t>
      </w:r>
      <w:r>
        <w:rPr>
          <w:rFonts w:hint="eastAsia" w:ascii="宋体" w:hAnsi="宋体" w:eastAsia="宋体" w:cs="宋体"/>
          <w:color w:val="auto"/>
          <w:szCs w:val="21"/>
          <w:highlight w:val="none"/>
        </w:rPr>
        <w:t>中标单位</w:t>
      </w:r>
      <w:r>
        <w:rPr>
          <w:rFonts w:hint="eastAsia" w:ascii="宋体" w:hAnsi="宋体" w:eastAsia="宋体" w:cs="宋体"/>
          <w:color w:val="auto"/>
          <w:szCs w:val="21"/>
          <w:highlight w:val="none"/>
          <w:lang w:val="zh-CN"/>
        </w:rPr>
        <w:t>执行本项目情况进行考评。根据客观公正、科学规范、注重实效、定性与定量相结合的考核原则进行考核。考核依据是国家相关规定、行业规定以及双方约定的管理规定。采购人，成立项目管理考评领导小组，负责管理考评的具体实施。</w:t>
      </w:r>
    </w:p>
    <w:p w14:paraId="30E2CA85">
      <w:pPr>
        <w:keepNext w:val="0"/>
        <w:keepLines w:val="0"/>
        <w:pageBreakBefore w:val="0"/>
        <w:wordWrap/>
        <w:topLinePunct w:val="0"/>
        <w:bidi w:val="0"/>
        <w:spacing w:line="400" w:lineRule="exact"/>
        <w:ind w:firstLine="420" w:firstLineChars="200"/>
        <w:jc w:val="both"/>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zh-CN" w:eastAsia="zh-CN"/>
        </w:rPr>
        <w:t>评分结果</w:t>
      </w:r>
      <w:r>
        <w:rPr>
          <w:rFonts w:hint="eastAsia" w:ascii="宋体" w:hAnsi="宋体" w:eastAsia="宋体" w:cs="宋体"/>
          <w:color w:val="auto"/>
          <w:szCs w:val="21"/>
          <w:highlight w:val="none"/>
          <w:lang w:val="zh-CN"/>
        </w:rPr>
        <w:t>分数：</w:t>
      </w:r>
      <w:r>
        <w:rPr>
          <w:rFonts w:hint="default" w:ascii="宋体" w:hAnsi="宋体" w:eastAsia="宋体" w:cs="宋体"/>
          <w:color w:val="auto"/>
          <w:kern w:val="2"/>
          <w:sz w:val="21"/>
          <w:szCs w:val="21"/>
          <w:highlight w:val="none"/>
          <w:lang w:val="en-US" w:eastAsia="zh-CN" w:bidi="ar-SA"/>
        </w:rPr>
        <w:t>优秀（≥90分）：全额支付当期费用，</w:t>
      </w:r>
      <w:r>
        <w:rPr>
          <w:rFonts w:hint="eastAsia" w:ascii="宋体" w:hAnsi="宋体" w:eastAsia="宋体" w:cs="宋体"/>
          <w:color w:val="auto"/>
          <w:kern w:val="2"/>
          <w:sz w:val="21"/>
          <w:szCs w:val="21"/>
          <w:highlight w:val="none"/>
          <w:lang w:val="en-US" w:eastAsia="zh-CN" w:bidi="ar-SA"/>
        </w:rPr>
        <w:t>考虑续签</w:t>
      </w:r>
      <w:r>
        <w:rPr>
          <w:rFonts w:hint="default" w:ascii="宋体" w:hAnsi="宋体" w:eastAsia="宋体" w:cs="宋体"/>
          <w:color w:val="auto"/>
          <w:kern w:val="2"/>
          <w:sz w:val="21"/>
          <w:szCs w:val="21"/>
          <w:highlight w:val="none"/>
          <w:lang w:val="en-US" w:eastAsia="zh-CN" w:bidi="ar-SA"/>
        </w:rPr>
        <w:t>后续合作</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良好（80-89分）：正常支付费用</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合格（70-79分）：扣除当期服务费的 2%-5%，限期整改</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不合格（＜70分）：终止合同，并追究违约责任。</w:t>
      </w:r>
    </w:p>
    <w:p w14:paraId="5CD4427C">
      <w:pPr>
        <w:keepNext w:val="0"/>
        <w:keepLines w:val="0"/>
        <w:pageBreakBefore w:val="0"/>
        <w:wordWrap/>
        <w:topLinePunct w:val="0"/>
        <w:bidi w:val="0"/>
        <w:spacing w:line="4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val="zh-CN"/>
        </w:rPr>
        <w:t>、考核结果运用：</w:t>
      </w:r>
      <w:r>
        <w:rPr>
          <w:rFonts w:hint="eastAsia" w:ascii="宋体" w:hAnsi="宋体" w:eastAsia="宋体" w:cs="宋体"/>
          <w:color w:val="auto"/>
          <w:szCs w:val="21"/>
          <w:highlight w:val="none"/>
          <w:lang w:val="zh-CN" w:eastAsia="zh-CN"/>
        </w:rPr>
        <w:t>工作</w:t>
      </w:r>
      <w:r>
        <w:rPr>
          <w:rFonts w:hint="eastAsia" w:ascii="宋体" w:hAnsi="宋体" w:eastAsia="宋体" w:cs="宋体"/>
          <w:color w:val="auto"/>
          <w:szCs w:val="21"/>
          <w:highlight w:val="none"/>
          <w:lang w:val="zh-CN"/>
        </w:rPr>
        <w:t>考核</w:t>
      </w:r>
      <w:r>
        <w:rPr>
          <w:rFonts w:hint="eastAsia" w:ascii="宋体" w:hAnsi="宋体" w:eastAsia="宋体" w:cs="宋体"/>
          <w:color w:val="auto"/>
          <w:szCs w:val="21"/>
          <w:highlight w:val="none"/>
          <w:lang w:val="zh-CN" w:eastAsia="zh-CN"/>
        </w:rPr>
        <w:t>得分</w:t>
      </w:r>
      <w:r>
        <w:rPr>
          <w:rFonts w:hint="eastAsia" w:ascii="宋体" w:hAnsi="宋体" w:eastAsia="宋体" w:cs="宋体"/>
          <w:color w:val="auto"/>
          <w:szCs w:val="21"/>
          <w:highlight w:val="none"/>
          <w:lang w:val="zh-CN"/>
        </w:rPr>
        <w:t>结合满意度调查</w:t>
      </w:r>
      <w:r>
        <w:rPr>
          <w:rFonts w:hint="eastAsia" w:ascii="宋体" w:hAnsi="宋体" w:eastAsia="宋体" w:cs="宋体"/>
          <w:color w:val="auto"/>
          <w:szCs w:val="21"/>
          <w:highlight w:val="none"/>
          <w:lang w:val="zh-CN" w:eastAsia="zh-CN"/>
        </w:rPr>
        <w:t>结果计算</w:t>
      </w:r>
      <w:r>
        <w:rPr>
          <w:rFonts w:hint="eastAsia" w:ascii="宋体" w:hAnsi="宋体" w:eastAsia="宋体" w:cs="宋体"/>
          <w:color w:val="auto"/>
          <w:szCs w:val="21"/>
          <w:highlight w:val="none"/>
          <w:lang w:val="en-US" w:eastAsia="zh-CN"/>
        </w:rPr>
        <w:t>半年</w:t>
      </w:r>
      <w:r>
        <w:rPr>
          <w:rFonts w:hint="eastAsia" w:ascii="宋体" w:hAnsi="宋体" w:eastAsia="宋体" w:cs="宋体"/>
          <w:color w:val="auto"/>
          <w:szCs w:val="21"/>
          <w:highlight w:val="none"/>
          <w:lang w:val="zh-CN" w:eastAsia="zh-CN"/>
        </w:rPr>
        <w:t>度</w:t>
      </w:r>
      <w:r>
        <w:rPr>
          <w:rFonts w:hint="eastAsia" w:ascii="宋体" w:hAnsi="宋体" w:eastAsia="宋体" w:cs="宋体"/>
          <w:color w:val="auto"/>
          <w:szCs w:val="21"/>
          <w:highlight w:val="none"/>
          <w:lang w:val="zh-CN"/>
        </w:rPr>
        <w:t>考核</w:t>
      </w:r>
      <w:r>
        <w:rPr>
          <w:rFonts w:hint="eastAsia" w:ascii="宋体" w:hAnsi="宋体" w:eastAsia="宋体" w:cs="宋体"/>
          <w:color w:val="auto"/>
          <w:szCs w:val="21"/>
          <w:highlight w:val="none"/>
          <w:lang w:val="zh-CN" w:eastAsia="zh-CN"/>
        </w:rPr>
        <w:t>评分，采购人按总评分结果划分对应的考核等级，按考核等级支付</w:t>
      </w:r>
      <w:r>
        <w:rPr>
          <w:rFonts w:hint="eastAsia" w:ascii="宋体" w:hAnsi="宋体" w:eastAsia="宋体" w:cs="宋体"/>
          <w:color w:val="auto"/>
          <w:szCs w:val="21"/>
          <w:highlight w:val="none"/>
          <w:lang w:val="en-US" w:eastAsia="zh-CN"/>
        </w:rPr>
        <w:t>款项</w:t>
      </w:r>
      <w:r>
        <w:rPr>
          <w:rFonts w:hint="eastAsia" w:ascii="宋体" w:hAnsi="宋体" w:eastAsia="宋体" w:cs="宋体"/>
          <w:color w:val="auto"/>
          <w:szCs w:val="21"/>
          <w:highlight w:val="none"/>
          <w:lang w:val="zh-CN" w:eastAsia="zh-CN"/>
        </w:rPr>
        <w:t>，具体细则以双方最终签订的合同为准</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zh-CN" w:eastAsia="zh-CN"/>
        </w:rPr>
        <w:t>考核评分结果为不合格，采购人将有权终止服务合同。</w:t>
      </w:r>
    </w:p>
    <w:p w14:paraId="67A7C900">
      <w:pPr>
        <w:keepNext w:val="0"/>
        <w:keepLines w:val="0"/>
        <w:pageBreakBefore w:val="0"/>
        <w:wordWrap/>
        <w:topLinePunct w:val="0"/>
        <w:bidi w:val="0"/>
        <w:spacing w:line="4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val="zh-CN"/>
        </w:rPr>
        <w:t>服务单位对考核结果有异议的，应在 7 日内向采购人申请复核，采购人应在7日内将复核结果反馈，并作解释，未在规定期限内提出复核，视为无异议。</w:t>
      </w:r>
    </w:p>
    <w:p w14:paraId="01BC29C4">
      <w:pPr>
        <w:keepNext w:val="0"/>
        <w:keepLines w:val="0"/>
        <w:pageBreakBefore w:val="0"/>
        <w:wordWrap/>
        <w:topLinePunct w:val="0"/>
        <w:bidi w:val="0"/>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zh-CN"/>
        </w:rPr>
        <w:t>4、</w:t>
      </w:r>
      <w:r>
        <w:rPr>
          <w:rFonts w:hint="eastAsia" w:ascii="宋体" w:hAnsi="宋体" w:eastAsia="宋体" w:cs="宋体"/>
          <w:color w:val="auto"/>
          <w:szCs w:val="21"/>
          <w:highlight w:val="none"/>
          <w:lang w:val="zh-CN" w:eastAsia="zh-CN"/>
        </w:rPr>
        <w:t>考核评分结果为不合格，采购人将有权终止服务合同</w:t>
      </w:r>
      <w:r>
        <w:rPr>
          <w:rFonts w:hint="eastAsia" w:ascii="宋体" w:hAnsi="宋体" w:eastAsia="宋体" w:cs="宋体"/>
          <w:color w:val="auto"/>
          <w:szCs w:val="21"/>
          <w:highlight w:val="none"/>
          <w:lang w:val="zh-CN"/>
        </w:rPr>
        <w:t>，服务单位承担所产生的一切后果并赔偿损失。</w:t>
      </w:r>
    </w:p>
    <w:p w14:paraId="4DE6BA9E">
      <w:pPr>
        <w:keepNext w:val="0"/>
        <w:keepLines w:val="0"/>
        <w:pageBreakBefore w:val="0"/>
        <w:widowControl w:val="0"/>
        <w:wordWrap/>
        <w:topLinePunct w:val="0"/>
        <w:bidi w:val="0"/>
        <w:snapToGrid w:val="0"/>
        <w:spacing w:line="400" w:lineRule="exact"/>
        <w:jc w:val="left"/>
        <w:rPr>
          <w:rFonts w:hint="eastAsia" w:ascii="宋体" w:hAnsi="宋体" w:eastAsia="宋体" w:cs="宋体"/>
          <w:color w:val="auto"/>
          <w:kern w:val="2"/>
          <w:sz w:val="21"/>
          <w:szCs w:val="21"/>
          <w:highlight w:val="none"/>
          <w:lang w:val="en-US" w:eastAsia="zh-CN" w:bidi="ar-SA"/>
        </w:rPr>
      </w:pPr>
    </w:p>
    <w:p w14:paraId="46DA1DE3">
      <w:pPr>
        <w:keepNext w:val="0"/>
        <w:keepLines w:val="0"/>
        <w:pageBreakBefore w:val="0"/>
        <w:wordWrap/>
        <w:topLinePunct w:val="0"/>
        <w:bidi w:val="0"/>
        <w:spacing w:line="400" w:lineRule="exact"/>
        <w:ind w:firstLine="643" w:firstLineChars="200"/>
        <w:jc w:val="center"/>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履约考评表</w:t>
      </w:r>
    </w:p>
    <w:tbl>
      <w:tblPr>
        <w:tblStyle w:val="2"/>
        <w:tblW w:w="93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71"/>
        <w:gridCol w:w="2372"/>
        <w:gridCol w:w="645"/>
        <w:gridCol w:w="4549"/>
      </w:tblGrid>
      <w:tr w14:paraId="5E23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B6B9">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一级指标</w:t>
            </w:r>
          </w:p>
        </w:tc>
        <w:tc>
          <w:tcPr>
            <w:tcW w:w="2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93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二级指标</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D2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分值</w:t>
            </w:r>
          </w:p>
        </w:tc>
        <w:tc>
          <w:tcPr>
            <w:tcW w:w="4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D23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评分要点</w:t>
            </w:r>
          </w:p>
        </w:tc>
      </w:tr>
      <w:tr w14:paraId="78AB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13780">
            <w:pPr>
              <w:keepNext w:val="0"/>
              <w:keepLines w:val="0"/>
              <w:pageBreakBefore w:val="0"/>
              <w:wordWrap/>
              <w:topLinePunct w:val="0"/>
              <w:bidi w:val="0"/>
              <w:spacing w:line="400" w:lineRule="exact"/>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一、库房环境与设施（20分）​</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F3CE">
            <w:pPr>
              <w:keepNext w:val="0"/>
              <w:keepLines w:val="0"/>
              <w:pageBreakBefore w:val="0"/>
              <w:wordWrap/>
              <w:topLinePunct w:val="0"/>
              <w:bidi w:val="0"/>
              <w:spacing w:line="400" w:lineRule="exact"/>
              <w:jc w:val="both"/>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1.库房选址与建筑条件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0BA8">
            <w:pPr>
              <w:keepNext w:val="0"/>
              <w:keepLines w:val="0"/>
              <w:pageBreakBefore w:val="0"/>
              <w:wordWrap/>
              <w:topLinePunct w:val="0"/>
              <w:bidi w:val="0"/>
              <w:spacing w:line="40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1652EC5">
            <w:pPr>
              <w:keepNext w:val="0"/>
              <w:keepLines w:val="0"/>
              <w:pageBreakBefore w:val="0"/>
              <w:wordWrap/>
              <w:topLinePunct w:val="0"/>
              <w:bidi w:val="0"/>
              <w:spacing w:line="400" w:lineRule="exact"/>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1.库房选址符合国家有关规定，避开洪涝、地质灾害、高污染、高噪声等不利区域（2分）。</w:t>
            </w:r>
          </w:p>
          <w:p w14:paraId="6EAAB1DD">
            <w:pPr>
              <w:keepNext w:val="0"/>
              <w:keepLines w:val="0"/>
              <w:pageBreakBefore w:val="0"/>
              <w:wordWrap/>
              <w:topLinePunct w:val="0"/>
              <w:bidi w:val="0"/>
              <w:spacing w:line="400" w:lineRule="exact"/>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2.库房建筑结构安全，具备良好的防火、防水、防潮、防雷等基本建筑条件（2分）。</w:t>
            </w:r>
          </w:p>
          <w:p w14:paraId="2C6B49D8">
            <w:pPr>
              <w:keepNext w:val="0"/>
              <w:keepLines w:val="0"/>
              <w:pageBreakBefore w:val="0"/>
              <w:wordWrap/>
              <w:topLinePunct w:val="0"/>
              <w:bidi w:val="0"/>
              <w:spacing w:line="400" w:lineRule="exact"/>
              <w:jc w:val="both"/>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3.库房布局合理，档案存储区、管理区等功能分区明确，便于档案保管和安全管理（1分）。</w:t>
            </w:r>
          </w:p>
        </w:tc>
      </w:tr>
      <w:tr w14:paraId="42479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306F2">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9B83">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2.温湿度与防虫防霉措施</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2CC3">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E190AFB">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1.库房配备温湿度监测设备，并定期监测、记录温湿度</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20DFA22F">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zh-CN" w:eastAsia="zh-CN" w:bidi="ar-SA"/>
              </w:rPr>
              <w:t>库房采取有效的温湿度调控措施，温湿度基本符合档案保管要求</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zh-CN" w:eastAsia="zh-CN" w:bidi="ar-SA"/>
              </w:rPr>
              <w:t>。</w:t>
            </w:r>
          </w:p>
          <w:p w14:paraId="011DF77D">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zh-CN" w:eastAsia="zh-CN" w:bidi="ar-SA"/>
              </w:rPr>
              <w:t>库房采取防虫、防鼠等有害生物防治措施，定期开展检查和防治工作</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tc>
      </w:tr>
      <w:tr w14:paraId="02AEF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0CF66">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EC50">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3.消防与安防系统</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3DC6">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3AB717E">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1.库房按规定配备消防设施设备，且完好有效，符合消防安全要求</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en-US" w:eastAsia="zh-CN" w:bidi="ar-SA"/>
              </w:rPr>
              <w:t>。</w:t>
            </w:r>
          </w:p>
          <w:p w14:paraId="0BA4B624">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zh-CN" w:eastAsia="zh-CN" w:bidi="ar-SA"/>
              </w:rPr>
              <w:t>库房安装火灾自动报警、灭火等消防系统（或配备符合要求的消防设施），并定期检查维护</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p w14:paraId="025AC7F2">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库房配备门禁、视频监控、防盗报警等安防设施，并保持正常运行</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p w14:paraId="538E82CB">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zh-CN" w:eastAsia="zh-CN" w:bidi="ar-SA"/>
              </w:rPr>
              <w:t>建立消防、安防管理制度，定期开展巡查、维</w:t>
            </w:r>
            <w:r>
              <w:rPr>
                <w:rFonts w:hint="eastAsia" w:ascii="宋体" w:hAnsi="宋体" w:eastAsia="宋体" w:cs="宋体"/>
                <w:color w:val="auto"/>
                <w:kern w:val="2"/>
                <w:sz w:val="21"/>
                <w:szCs w:val="21"/>
                <w:highlight w:val="none"/>
                <w:lang w:val="en-US" w:eastAsia="zh-CN" w:bidi="ar-SA"/>
              </w:rPr>
              <w:t>护</w:t>
            </w:r>
            <w:r>
              <w:rPr>
                <w:rFonts w:hint="eastAsia" w:ascii="宋体" w:hAnsi="宋体" w:eastAsia="宋体" w:cs="宋体"/>
                <w:color w:val="auto"/>
                <w:kern w:val="2"/>
                <w:sz w:val="21"/>
                <w:szCs w:val="21"/>
                <w:highlight w:val="none"/>
                <w:lang w:val="zh-CN" w:eastAsia="zh-CN" w:bidi="ar-SA"/>
              </w:rPr>
              <w:t>和隐患排查，有相关记录</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p w14:paraId="577CE4D7">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zh-CN" w:eastAsia="zh-CN" w:bidi="ar-SA"/>
              </w:rPr>
              <w:t>制定消防和安全应急预案，定期组织演练，工作人员熟悉应急处置流程</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tc>
      </w:tr>
      <w:tr w14:paraId="2F9DF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C655B">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CD6F">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4.装具与密集架/货架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2C90">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2EE0">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1.配备满足档案保管需要的密集架、货架等装具，数量充足、布局合理</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7C6B3C97">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2.密集架、货架结构牢固，安装规范，运行安全可靠，无损坏、变形等情况</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4326CE7B">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3.档案装具采用符合档案保管要求的材料，具有防锈、防腐等性能</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en-US" w:eastAsia="zh-CN" w:bidi="ar-SA"/>
              </w:rPr>
              <w:t>。</w:t>
            </w:r>
          </w:p>
        </w:tc>
      </w:tr>
      <w:tr w14:paraId="226D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A1BAD">
            <w:pPr>
              <w:keepNext w:val="0"/>
              <w:keepLines w:val="0"/>
              <w:pageBreakBefore w:val="0"/>
              <w:wordWrap/>
              <w:topLinePunct w:val="0"/>
              <w:bidi w:val="0"/>
              <w:spacing w:line="400" w:lineRule="exact"/>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二、档案寄存管理（25分）​</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3F70">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5.出入库登记与台账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9DCE">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62F6">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1.建立档案出入库管理制度，明确审批权限和办理流程</w:t>
            </w:r>
            <w:r>
              <w:rPr>
                <w:rFonts w:hint="eastAsia" w:ascii="宋体" w:hAnsi="宋体" w:eastAsia="宋体" w:cs="宋体"/>
                <w:color w:val="auto"/>
                <w:szCs w:val="21"/>
                <w:highlight w:val="none"/>
                <w:lang w:val="en-US" w:eastAsia="zh-CN"/>
              </w:rPr>
              <w:t>（4分）</w:t>
            </w:r>
            <w:r>
              <w:rPr>
                <w:rFonts w:hint="eastAsia" w:ascii="宋体" w:hAnsi="宋体" w:eastAsia="宋体" w:cs="宋体"/>
                <w:color w:val="auto"/>
                <w:kern w:val="2"/>
                <w:sz w:val="21"/>
                <w:szCs w:val="21"/>
                <w:highlight w:val="none"/>
                <w:lang w:val="en-US" w:eastAsia="zh-CN" w:bidi="ar-SA"/>
              </w:rPr>
              <w:t>。</w:t>
            </w:r>
          </w:p>
          <w:p w14:paraId="1B47B7BA">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zh-CN" w:eastAsia="zh-CN" w:bidi="ar-SA"/>
              </w:rPr>
              <w:t>建立档案台账，账目完整，能够真实反映档案数量、存放位置及流转情况</w:t>
            </w:r>
            <w:r>
              <w:rPr>
                <w:rFonts w:hint="eastAsia" w:ascii="宋体" w:hAnsi="宋体" w:eastAsia="宋体" w:cs="宋体"/>
                <w:color w:val="auto"/>
                <w:szCs w:val="21"/>
                <w:highlight w:val="none"/>
                <w:lang w:val="en-US" w:eastAsia="zh-CN"/>
              </w:rPr>
              <w:t>（4分）</w:t>
            </w:r>
            <w:r>
              <w:rPr>
                <w:rFonts w:hint="eastAsia" w:ascii="宋体" w:hAnsi="宋体" w:eastAsia="宋体" w:cs="宋体"/>
                <w:color w:val="auto"/>
                <w:kern w:val="2"/>
                <w:sz w:val="21"/>
                <w:szCs w:val="21"/>
                <w:highlight w:val="none"/>
                <w:lang w:val="zh-CN" w:eastAsia="zh-CN" w:bidi="ar-SA"/>
              </w:rPr>
              <w:t>。</w:t>
            </w:r>
          </w:p>
          <w:p w14:paraId="712DA46D">
            <w:pPr>
              <w:keepNext w:val="0"/>
              <w:keepLines w:val="0"/>
              <w:pageBreakBefore w:val="0"/>
              <w:wordWrap/>
              <w:topLinePunct w:val="0"/>
              <w:bidi w:val="0"/>
              <w:spacing w:line="400" w:lineRule="exact"/>
              <w:jc w:val="left"/>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出入库登记、审批及台账资料保存完整，可追溯，有相关记录可查</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zh-CN" w:eastAsia="zh-CN" w:bidi="ar-SA"/>
              </w:rPr>
              <w:t>。</w:t>
            </w:r>
          </w:p>
        </w:tc>
      </w:tr>
      <w:tr w14:paraId="15B7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D446F">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F1A3">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6.实体完好率</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D4EE">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40D1C84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1.档案无明显破损、污损、霉变、虫蛀、受潮等现象</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6FAD7073">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2.定期开展档案实体检查，发现问题及时修复、保护，并有相关记录</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6778D97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档案实体完好率达到规定要求，档案保存状态良好，满足长期保管和利用需要</w:t>
            </w:r>
            <w:r>
              <w:rPr>
                <w:rFonts w:hint="eastAsia" w:ascii="宋体" w:hAnsi="宋体" w:eastAsia="宋体" w:cs="宋体"/>
                <w:color w:val="auto"/>
                <w:szCs w:val="21"/>
                <w:highlight w:val="none"/>
                <w:lang w:val="en-US" w:eastAsia="zh-CN"/>
              </w:rPr>
              <w:t>（1分）</w:t>
            </w:r>
            <w:r>
              <w:rPr>
                <w:rFonts w:hint="eastAsia" w:ascii="宋体" w:hAnsi="宋体" w:eastAsia="宋体" w:cs="宋体"/>
                <w:color w:val="auto"/>
                <w:kern w:val="2"/>
                <w:sz w:val="21"/>
                <w:szCs w:val="21"/>
                <w:highlight w:val="none"/>
                <w:lang w:val="zh-CN" w:eastAsia="zh-CN" w:bidi="ar-SA"/>
              </w:rPr>
              <w:t>。</w:t>
            </w:r>
          </w:p>
        </w:tc>
      </w:tr>
      <w:tr w14:paraId="0344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1C39A">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16E6">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7.调阅响应与配送时效</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89C7">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87FD32B">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1.建立档案调阅和配送管理制度，明确申请、审批、调取、归还等流程</w:t>
            </w:r>
            <w:r>
              <w:rPr>
                <w:rFonts w:hint="eastAsia" w:ascii="宋体" w:hAnsi="宋体" w:eastAsia="宋体" w:cs="宋体"/>
                <w:color w:val="auto"/>
                <w:szCs w:val="21"/>
                <w:highlight w:val="none"/>
                <w:lang w:val="en-US" w:eastAsia="zh-CN"/>
              </w:rPr>
              <w:t>（4分）</w:t>
            </w:r>
            <w:r>
              <w:rPr>
                <w:rFonts w:hint="eastAsia" w:ascii="宋体" w:hAnsi="宋体" w:eastAsia="宋体" w:cs="宋体"/>
                <w:color w:val="auto"/>
                <w:kern w:val="2"/>
                <w:sz w:val="21"/>
                <w:szCs w:val="21"/>
                <w:highlight w:val="none"/>
                <w:lang w:val="en-US" w:eastAsia="zh-CN" w:bidi="ar-SA"/>
              </w:rPr>
              <w:t>。</w:t>
            </w:r>
          </w:p>
          <w:p w14:paraId="2CE92E82">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2.调阅申请受理及时，能够按照规定时限完成响应</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en-US" w:eastAsia="zh-CN" w:bidi="ar-SA"/>
              </w:rPr>
              <w:t>。</w:t>
            </w:r>
          </w:p>
          <w:p w14:paraId="7D86F068">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3.档案调取、配送及时准确，满足利用需求，无错调、漏调现象</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en-US" w:eastAsia="zh-CN" w:bidi="ar-SA"/>
              </w:rPr>
              <w:t>。</w:t>
            </w:r>
          </w:p>
        </w:tc>
      </w:tr>
      <w:tr w14:paraId="789E5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BA541">
            <w:pPr>
              <w:keepNext w:val="0"/>
              <w:keepLines w:val="0"/>
              <w:pageBreakBefore w:val="0"/>
              <w:wordWrap/>
              <w:topLinePunct w:val="0"/>
              <w:bidi w:val="0"/>
              <w:spacing w:line="400" w:lineRule="exact"/>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三、整理与数字化质量（30分）​</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E57E">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8.分类、组件、编目</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FB17">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4C080072">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1.档案分类科学合理，符合分类方案和有关标准要求</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323F719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2.档案组卷（组件）规范，卷（件）内材料齐全、排列有序，符合整理规范</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3528ECAD">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档案编目规范、完整、准确，目录著录内容符合标准要求</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zh-CN" w:eastAsia="zh-CN" w:bidi="ar-SA"/>
              </w:rPr>
              <w:t>。</w:t>
            </w:r>
          </w:p>
          <w:p w14:paraId="76E42C56">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zh-CN" w:eastAsia="zh-CN" w:bidi="ar-SA"/>
              </w:rPr>
              <w:t>整理、编目和数字化成果经过质量检查验收，发现问题及时整改，并留存质检记录</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zh-CN" w:eastAsia="zh-CN" w:bidi="ar-SA"/>
              </w:rPr>
              <w:t>。</w:t>
            </w:r>
          </w:p>
          <w:p w14:paraId="5F490AC2">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5.档案整理规范，达到数字化加工要求，具备数字化加工条件</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tc>
      </w:tr>
      <w:tr w14:paraId="3610B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BEA6D">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F11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9.扫描与图像处理</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F97C">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5E8C958">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1.扫描过程规范，设备参数设置合理，扫描分辨率、色彩模式符合相关技术标准要求</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3B9C9986">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2.扫描图像清晰、完整，无缺页、漏扫、歪斜、严重阴影等影响识读的问题</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14539361">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3.图像处理规范，完成去污、纠偏、裁边、去黑边等基本处理，保持内容真实完整</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49A7D2E8">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4.图像质量一致性良好，无明显失真、模糊、色差或过度处理现象</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en-US" w:eastAsia="zh-CN" w:bidi="ar-SA"/>
              </w:rPr>
              <w:t>。</w:t>
            </w:r>
          </w:p>
          <w:p w14:paraId="725F395E">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zh-CN" w:eastAsia="zh-CN" w:bidi="ar-SA"/>
              </w:rPr>
              <w:t>扫描及图像处理过程有质量检查与校核机制，并留存相关质检记录</w:t>
            </w:r>
            <w:r>
              <w:rPr>
                <w:rFonts w:hint="eastAsia" w:ascii="宋体" w:hAnsi="宋体" w:eastAsia="宋体" w:cs="宋体"/>
                <w:color w:val="auto"/>
                <w:szCs w:val="21"/>
                <w:highlight w:val="none"/>
                <w:lang w:val="en-US" w:eastAsia="zh-CN"/>
              </w:rPr>
              <w:t>（2分）</w:t>
            </w:r>
            <w:r>
              <w:rPr>
                <w:rFonts w:hint="eastAsia" w:ascii="宋体" w:hAnsi="宋体" w:eastAsia="宋体" w:cs="宋体"/>
                <w:color w:val="auto"/>
                <w:kern w:val="2"/>
                <w:sz w:val="21"/>
                <w:szCs w:val="21"/>
                <w:highlight w:val="none"/>
                <w:lang w:val="zh-CN" w:eastAsia="zh-CN" w:bidi="ar-SA"/>
              </w:rPr>
              <w:t>。</w:t>
            </w:r>
          </w:p>
        </w:tc>
      </w:tr>
      <w:tr w14:paraId="4EA7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CB448">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93B1">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10.数据挂接与检索</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4470">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7A37EF7">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1.数字档案数据与目录数据实现准确挂接，关联关系完整、正确</w:t>
            </w:r>
            <w:r>
              <w:rPr>
                <w:rFonts w:hint="eastAsia" w:ascii="宋体" w:hAnsi="宋体" w:eastAsia="宋体" w:cs="宋体"/>
                <w:color w:val="auto"/>
                <w:szCs w:val="21"/>
                <w:highlight w:val="none"/>
                <w:lang w:val="en-US" w:eastAsia="zh-CN"/>
              </w:rPr>
              <w:t>（4分）</w:t>
            </w:r>
            <w:r>
              <w:rPr>
                <w:rFonts w:hint="eastAsia" w:ascii="宋体" w:hAnsi="宋体" w:eastAsia="宋体" w:cs="宋体"/>
                <w:color w:val="auto"/>
                <w:kern w:val="2"/>
                <w:sz w:val="21"/>
                <w:szCs w:val="21"/>
                <w:highlight w:val="none"/>
                <w:lang w:val="en-US" w:eastAsia="zh-CN" w:bidi="ar-SA"/>
              </w:rPr>
              <w:t>。</w:t>
            </w:r>
          </w:p>
          <w:p w14:paraId="15ED01EE">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2.挂接过程规范，无错挂、漏挂、重复挂接等问题</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en-US" w:eastAsia="zh-CN" w:bidi="ar-SA"/>
              </w:rPr>
              <w:t>。</w:t>
            </w:r>
          </w:p>
          <w:p w14:paraId="45EDFBD7">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检索功能正常，支持多条件查询，检索结果准确、完整、响应及时</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zh-CN" w:eastAsia="zh-CN" w:bidi="ar-SA"/>
              </w:rPr>
              <w:t>。</w:t>
            </w:r>
          </w:p>
        </w:tc>
      </w:tr>
      <w:tr w14:paraId="339E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A08A3">
            <w:pPr>
              <w:keepNext w:val="0"/>
              <w:keepLines w:val="0"/>
              <w:pageBreakBefore w:val="0"/>
              <w:wordWrap/>
              <w:topLinePunct w:val="0"/>
              <w:bidi w:val="0"/>
              <w:spacing w:line="400" w:lineRule="exact"/>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四、安全保密与合规（15分）​</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E33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11.保密制度与人员管理</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91AC">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CA0620A">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签订保密协议，无关人员禁入，数据不私拷、不外泄（5分）</w:t>
            </w:r>
          </w:p>
        </w:tc>
      </w:tr>
      <w:tr w14:paraId="1F0AB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71B5A">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F082">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12.合规性与标准执行</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0A82">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7CED">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1.档案工作符合国家及行业相关法律法规、标准规范要求</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en-US" w:eastAsia="zh-CN" w:bidi="ar-SA"/>
              </w:rPr>
              <w:t>。</w:t>
            </w:r>
          </w:p>
          <w:p w14:paraId="3351D615">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2.数字化加工、数据管理等环节符合安全保密及信息管理相关规定</w:t>
            </w:r>
            <w:r>
              <w:rPr>
                <w:rFonts w:hint="eastAsia" w:ascii="宋体" w:hAnsi="宋体" w:eastAsia="宋体" w:cs="宋体"/>
                <w:color w:val="auto"/>
                <w:szCs w:val="21"/>
                <w:highlight w:val="none"/>
                <w:lang w:val="en-US" w:eastAsia="zh-CN"/>
              </w:rPr>
              <w:t>（3分）</w:t>
            </w:r>
            <w:r>
              <w:rPr>
                <w:rFonts w:hint="eastAsia" w:ascii="宋体" w:hAnsi="宋体" w:eastAsia="宋体" w:cs="宋体"/>
                <w:color w:val="auto"/>
                <w:kern w:val="2"/>
                <w:sz w:val="21"/>
                <w:szCs w:val="21"/>
                <w:highlight w:val="none"/>
                <w:lang w:val="en-US" w:eastAsia="zh-CN" w:bidi="ar-SA"/>
              </w:rPr>
              <w:t>。</w:t>
            </w:r>
          </w:p>
          <w:p w14:paraId="73CE35E1">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3.各项业务流程（整理、保管、利用、数字化等）执行统一标准，无随意变更情况</w:t>
            </w:r>
            <w:r>
              <w:rPr>
                <w:rFonts w:hint="eastAsia" w:ascii="宋体" w:hAnsi="宋体" w:eastAsia="宋体" w:cs="宋体"/>
                <w:color w:val="auto"/>
                <w:szCs w:val="21"/>
                <w:highlight w:val="none"/>
                <w:lang w:val="en-US" w:eastAsia="zh-CN"/>
              </w:rPr>
              <w:t>（4分）</w:t>
            </w:r>
            <w:r>
              <w:rPr>
                <w:rFonts w:hint="eastAsia" w:ascii="宋体" w:hAnsi="宋体" w:eastAsia="宋体" w:cs="宋体"/>
                <w:color w:val="auto"/>
                <w:kern w:val="2"/>
                <w:sz w:val="21"/>
                <w:szCs w:val="21"/>
                <w:highlight w:val="none"/>
                <w:lang w:val="en-US" w:eastAsia="zh-CN" w:bidi="ar-SA"/>
              </w:rPr>
              <w:t>。</w:t>
            </w:r>
          </w:p>
        </w:tc>
      </w:tr>
      <w:tr w14:paraId="7B90F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2D9E8">
            <w:pPr>
              <w:keepNext w:val="0"/>
              <w:keepLines w:val="0"/>
              <w:pageBreakBefore w:val="0"/>
              <w:wordWrap/>
              <w:topLinePunct w:val="0"/>
              <w:bidi w:val="0"/>
              <w:spacing w:line="400" w:lineRule="exact"/>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五、服务与履约评价（10分）​</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3A58">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13.人员稳定性与态度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8ADE">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163AFD7">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按合同节点完工，项目负责人及技术人员稳定，沟通顺畅，整改及时（5分）。</w:t>
            </w:r>
          </w:p>
        </w:tc>
      </w:tr>
      <w:tr w14:paraId="5C78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9904A">
            <w:pPr>
              <w:jc w:val="center"/>
              <w:rPr>
                <w:rFonts w:hint="eastAsia" w:ascii="宋体" w:hAnsi="宋体" w:eastAsia="宋体" w:cs="宋体"/>
                <w:color w:val="auto"/>
                <w:kern w:val="2"/>
                <w:sz w:val="21"/>
                <w:szCs w:val="21"/>
                <w:highlight w:val="none"/>
                <w:lang w:val="zh-CN" w:eastAsia="zh-CN" w:bidi="ar-SA"/>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13E4">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14.投诉与重大问题</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E160">
            <w:pPr>
              <w:keepNext w:val="0"/>
              <w:keepLines w:val="0"/>
              <w:pageBreakBefore w:val="0"/>
              <w:wordWrap/>
              <w:topLinePunct w:val="0"/>
              <w:bidi w:val="0"/>
              <w:spacing w:line="40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4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3F2DA01">
            <w:pPr>
              <w:keepNext w:val="0"/>
              <w:keepLines w:val="0"/>
              <w:pageBreakBefore w:val="0"/>
              <w:wordWrap/>
              <w:topLinePunct w:val="0"/>
              <w:bidi w:val="0"/>
              <w:spacing w:line="400" w:lineRule="exact"/>
              <w:jc w:val="both"/>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无重大安全事故、泄密事件、严重违约；投诉次数≤3次（5分）。</w:t>
            </w:r>
          </w:p>
        </w:tc>
      </w:tr>
      <w:tr w14:paraId="00A7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5844">
            <w:pPr>
              <w:keepNext w:val="0"/>
              <w:keepLines w:val="0"/>
              <w:pageBreakBefore w:val="0"/>
              <w:wordWrap/>
              <w:topLinePunct w:val="0"/>
              <w:bidi w:val="0"/>
              <w:spacing w:line="400" w:lineRule="exact"/>
              <w:ind w:firstLine="420" w:firstLineChars="200"/>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总计​</w:t>
            </w:r>
          </w:p>
        </w:tc>
        <w:tc>
          <w:tcPr>
            <w:tcW w:w="7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B5E60">
            <w:pPr>
              <w:keepNext w:val="0"/>
              <w:keepLines w:val="0"/>
              <w:pageBreakBefore w:val="0"/>
              <w:wordWrap/>
              <w:topLinePunct w:val="0"/>
              <w:bidi w:val="0"/>
              <w:spacing w:line="400" w:lineRule="exact"/>
              <w:ind w:firstLine="420" w:firstLineChars="200"/>
              <w:jc w:val="center"/>
              <w:rPr>
                <w:rFonts w:hint="eastAsia" w:ascii="宋体" w:hAnsi="宋体" w:eastAsia="宋体" w:cs="宋体"/>
                <w:color w:val="auto"/>
                <w:kern w:val="2"/>
                <w:sz w:val="21"/>
                <w:szCs w:val="21"/>
                <w:highlight w:val="none"/>
                <w:lang w:val="zh-CN" w:eastAsia="zh-CN" w:bidi="ar-SA"/>
              </w:rPr>
            </w:pPr>
          </w:p>
        </w:tc>
      </w:tr>
      <w:tr w14:paraId="56ACF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93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5A2C">
            <w:pPr>
              <w:keepNext w:val="0"/>
              <w:keepLines w:val="0"/>
              <w:widowControl/>
              <w:suppressLineNumbers w:val="0"/>
              <w:jc w:val="both"/>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考评结果：</w:t>
            </w:r>
            <w:r>
              <w:rPr>
                <w:rFonts w:hint="eastAsia" w:ascii="宋体" w:hAnsi="宋体" w:eastAsia="宋体" w:cs="宋体"/>
                <w:color w:val="auto"/>
                <w:sz w:val="22"/>
                <w:szCs w:val="22"/>
                <w:highlight w:val="none"/>
                <w:u w:val="none"/>
                <w:lang w:val="en-US" w:eastAsia="zh-CN" w:bidi="ar"/>
              </w:rPr>
              <w:t>​</w:t>
            </w:r>
          </w:p>
        </w:tc>
      </w:tr>
      <w:tr w14:paraId="4A27A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2" w:hRule="atLeast"/>
        </w:trPr>
        <w:tc>
          <w:tcPr>
            <w:tcW w:w="93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86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优秀（≥90分）　□ 良好（80–89分）　□ 合格（70–79分）　□ 不合格（＜70分）</w:t>
            </w:r>
          </w:p>
        </w:tc>
      </w:tr>
    </w:tbl>
    <w:p w14:paraId="1A24884D">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考评结果判定：</w:t>
      </w:r>
    </w:p>
    <w:p w14:paraId="086E5189">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优秀（≥90分）：全额支付当期费用，</w:t>
      </w:r>
      <w:r>
        <w:rPr>
          <w:rFonts w:hint="eastAsia" w:ascii="宋体" w:hAnsi="宋体" w:eastAsia="宋体" w:cs="宋体"/>
          <w:color w:val="auto"/>
          <w:kern w:val="2"/>
          <w:sz w:val="21"/>
          <w:szCs w:val="21"/>
          <w:highlight w:val="none"/>
          <w:lang w:val="en-US" w:eastAsia="zh-CN" w:bidi="ar-SA"/>
        </w:rPr>
        <w:t>考虑续签</w:t>
      </w:r>
      <w:r>
        <w:rPr>
          <w:rFonts w:hint="default" w:ascii="宋体" w:hAnsi="宋体" w:eastAsia="宋体" w:cs="宋体"/>
          <w:color w:val="auto"/>
          <w:kern w:val="2"/>
          <w:sz w:val="21"/>
          <w:szCs w:val="21"/>
          <w:highlight w:val="none"/>
          <w:lang w:val="en-US" w:eastAsia="zh-CN" w:bidi="ar-SA"/>
        </w:rPr>
        <w:t>后续合作。</w:t>
      </w:r>
    </w:p>
    <w:p w14:paraId="66B6D1B3">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良好（80-89分）：正常支付费用。</w:t>
      </w:r>
    </w:p>
    <w:p w14:paraId="75CFDDD3">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合格（70-79分）：扣除当期服务费的 2%-5%，限期整改。</w:t>
      </w:r>
    </w:p>
    <w:p w14:paraId="4E83B066">
      <w:pPr>
        <w:keepNext w:val="0"/>
        <w:keepLines w:val="0"/>
        <w:pageBreakBefore w:val="0"/>
        <w:wordWrap/>
        <w:topLinePunct w:val="0"/>
        <w:bidi w:val="0"/>
        <w:spacing w:line="400" w:lineRule="exact"/>
        <w:jc w:val="both"/>
        <w:rPr>
          <w:rFonts w:hint="default" w:ascii="宋体" w:hAnsi="宋体" w:eastAsia="宋体" w:cs="宋体"/>
          <w:color w:val="auto"/>
          <w:kern w:val="2"/>
          <w:sz w:val="21"/>
          <w:szCs w:val="21"/>
          <w:highlight w:val="none"/>
          <w:lang w:val="en-US" w:eastAsia="zh-CN" w:bidi="ar-SA"/>
        </w:rPr>
        <w:sectPr>
          <w:pgSz w:w="11906" w:h="16838"/>
          <w:pgMar w:top="1474" w:right="1474" w:bottom="1474" w:left="1588" w:header="851" w:footer="992" w:gutter="0"/>
          <w:pgNumType w:fmt="decimal"/>
          <w:cols w:space="720" w:num="1"/>
          <w:docGrid w:type="lines" w:linePitch="312" w:charSpace="0"/>
        </w:sectPr>
      </w:pPr>
      <w:r>
        <w:rPr>
          <w:rFonts w:hint="default" w:ascii="宋体" w:hAnsi="宋体" w:eastAsia="宋体" w:cs="宋体"/>
          <w:color w:val="auto"/>
          <w:kern w:val="2"/>
          <w:sz w:val="21"/>
          <w:szCs w:val="21"/>
          <w:highlight w:val="none"/>
          <w:lang w:val="en-US" w:eastAsia="zh-CN" w:bidi="ar-SA"/>
        </w:rPr>
        <w:t>不合格（＜70分）：终止合同，并追究违约责任。</w:t>
      </w:r>
    </w:p>
    <w:p w14:paraId="31DB96AF"/>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JhengHei Light">
    <w:panose1 w:val="020B0304030504040204"/>
    <w:charset w:val="88"/>
    <w:family w:val="swiss"/>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C4DE">
    <w:pPr>
      <w:widowControl w:val="0"/>
      <w:tabs>
        <w:tab w:val="center" w:pos="4153"/>
        <w:tab w:val="right" w:pos="8306"/>
      </w:tabs>
      <w:snapToGrid w:val="0"/>
      <w:ind w:left="300" w:right="360" w:hanging="180" w:hangingChars="100"/>
      <w:jc w:val="left"/>
      <w:rPr>
        <w:rFonts w:ascii="Times New Roman" w:hAnsi="Times New Roman" w:eastAsia="楷体_GB2312"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C9B6CA">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92</w:t>
                          </w:r>
                          <w:r>
                            <w:rPr>
                              <w:rFonts w:ascii="Times New Roman" w:hAnsi="Times New Roman" w:eastAsia="宋体" w:cs="Times New Roman"/>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DC9B6CA">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92</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9693D">
    <w:pPr>
      <w:widowControl w:val="0"/>
      <w:tabs>
        <w:tab w:val="center" w:pos="4153"/>
        <w:tab w:val="right" w:pos="8306"/>
      </w:tabs>
      <w:snapToGrid w:val="0"/>
      <w:ind w:left="300" w:right="360" w:hanging="180" w:hangingChars="100"/>
      <w:jc w:val="left"/>
      <w:rPr>
        <w:rFonts w:ascii="Times New Roman" w:hAnsi="Times New Roman" w:eastAsia="楷体_GB2312"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FA02E">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92</w:t>
                          </w:r>
                          <w:r>
                            <w:rPr>
                              <w:rFonts w:ascii="Times New Roman" w:hAnsi="Times New Roman" w:eastAsia="宋体" w:cs="Times New Roman"/>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091FA02E">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92</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BD63">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25C2">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BA7B73"/>
    <w:multiLevelType w:val="singleLevel"/>
    <w:tmpl w:val="5CBA7B7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E059DF"/>
    <w:rsid w:val="3BE059DF"/>
    <w:rsid w:val="44877E79"/>
    <w:rsid w:val="629A3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1239</Words>
  <Characters>1433</Characters>
  <Lines>0</Lines>
  <Paragraphs>0</Paragraphs>
  <TotalTime>0</TotalTime>
  <ScaleCrop>false</ScaleCrop>
  <LinksUpToDate>false</LinksUpToDate>
  <CharactersWithSpaces>1446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2026-10-19T11:04:00Z</dcterms:created>
  <dc:creator>Administrator</dc:creator>
  <cp:lastModifiedBy>Administrator</cp:lastModifiedBy>
  <dcterms:modified xsi:type="dcterms:W3CDTF">2026-10-20T07:31:40Z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A99724F9BED24178AEB4C6AA465AF824_11</vt:lpwstr>
  </property>
  <property fmtid="{D5CDD505-2E9C-101B-9397-08002B2CF9AE}" pid="4" name="KSOTemplateDocerSaveRecord">
    <vt:lpwstr>eyJoZGlkIjoiYzcyNzhlNTNjY2QyZmIyMjVkZWJjYmYwNmUxMWIwNjMiLCJ1c2VySWQiOiIxMTQ2Nzc4NjUwIn0=</vt:lpwstr>
  </property>
</Properties>
</file>