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551CBC">
      <w:pPr>
        <w:shd w:val="clear" w:color="auto" w:fill="auto"/>
        <w:spacing w:line="440" w:lineRule="exact"/>
        <w:jc w:val="center"/>
        <w:outlineLvl w:val="0"/>
        <w:rPr>
          <w:rFonts w:hint="eastAsia" w:ascii="仿宋" w:hAnsi="仿宋" w:eastAsia="仿宋" w:cs="仿宋"/>
          <w:color w:val="auto"/>
          <w:kern w:val="0"/>
          <w:sz w:val="24"/>
          <w:szCs w:val="24"/>
          <w:highlight w:val="none"/>
          <w:lang w:val="en-US" w:eastAsia="zh-CN"/>
        </w:rPr>
      </w:pPr>
      <w:r>
        <w:rPr>
          <w:rFonts w:hint="eastAsia" w:ascii="仿宋" w:hAnsi="仿宋" w:eastAsia="仿宋" w:cs="仿宋"/>
          <w:b/>
          <w:bCs/>
          <w:color w:val="auto"/>
          <w:sz w:val="32"/>
          <w:szCs w:val="32"/>
          <w:highlight w:val="none"/>
          <w:lang w:val="en-US" w:eastAsia="zh-CN"/>
        </w:rPr>
        <w:t>湖南省龙山县吴田溪水库除险加固项目</w:t>
      </w:r>
      <w:bookmarkStart w:id="0" w:name="_GoBack"/>
      <w:bookmarkEnd w:id="0"/>
      <w:r>
        <w:rPr>
          <w:rFonts w:hint="eastAsia" w:ascii="仿宋" w:hAnsi="仿宋" w:eastAsia="仿宋" w:cs="仿宋"/>
          <w:b/>
          <w:bCs/>
          <w:color w:val="auto"/>
          <w:sz w:val="32"/>
          <w:szCs w:val="32"/>
          <w:highlight w:val="none"/>
        </w:rPr>
        <w:t>采购需求</w:t>
      </w:r>
    </w:p>
    <w:p w14:paraId="5D4316C9">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textAlignment w:val="auto"/>
        <w:rPr>
          <w:rFonts w:hint="eastAsia" w:ascii="仿宋" w:hAnsi="仿宋" w:eastAsia="仿宋" w:cs="仿宋"/>
          <w:b/>
          <w:bCs/>
          <w:color w:val="auto"/>
          <w:kern w:val="0"/>
          <w:sz w:val="24"/>
          <w:szCs w:val="24"/>
          <w:highlight w:val="none"/>
          <w:lang w:val="en-US" w:eastAsia="zh-CN"/>
        </w:rPr>
      </w:pPr>
    </w:p>
    <w:p w14:paraId="5B5B360E">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一、项目名称</w:t>
      </w:r>
      <w:r>
        <w:rPr>
          <w:rFonts w:hint="eastAsia" w:ascii="仿宋" w:hAnsi="仿宋" w:eastAsia="仿宋" w:cs="仿宋"/>
          <w:color w:val="auto"/>
          <w:kern w:val="0"/>
          <w:sz w:val="24"/>
          <w:szCs w:val="24"/>
          <w:highlight w:val="none"/>
          <w:lang w:val="en-US" w:eastAsia="zh-CN"/>
        </w:rPr>
        <w:t>：湖南省龙山县吴田溪水库除险加固项目</w:t>
      </w:r>
    </w:p>
    <w:p w14:paraId="1B4AF17E">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textAlignment w:val="auto"/>
        <w:rPr>
          <w:rFonts w:hint="eastAsia" w:ascii="仿宋" w:hAnsi="仿宋" w:eastAsia="仿宋" w:cs="仿宋"/>
          <w:b/>
          <w:bCs/>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二、采购预算/最高限价：</w:t>
      </w:r>
    </w:p>
    <w:p w14:paraId="11D10C0F">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default" w:ascii="仿宋" w:hAnsi="仿宋" w:eastAsia="仿宋" w:cs="仿宋"/>
          <w:b/>
          <w:bCs/>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1.采购预算：1298078.93元</w:t>
      </w:r>
    </w:p>
    <w:p w14:paraId="05B7978A">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b/>
          <w:bCs/>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2.最高限价：1298078.93元</w:t>
      </w:r>
    </w:p>
    <w:p w14:paraId="5E9E0A1D">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textAlignment w:val="auto"/>
        <w:rPr>
          <w:rFonts w:hint="eastAsia" w:ascii="仿宋" w:hAnsi="仿宋" w:eastAsia="仿宋" w:cs="仿宋"/>
          <w:b/>
          <w:bCs/>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三、工程概况</w:t>
      </w:r>
    </w:p>
    <w:p w14:paraId="3DBFBE91">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default"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湖南省龙山县吴田溪水库除险加固项目实施地点为龙山县苗儿滩镇东风村。主要建设内容如下：大坝坝体进行高压旋喷灌浆防渗处理，灌浆孔沿坝轴线布置，单排孔距lm，灌浆深度伸入基岩lm；对左坝基、坝肩进行帷幕防渗灌浆处理，帷幕灌浆与高喷灌浆孔同轴线布置，单排孔距2m。坝顶硬化，闭合防浪墙；上游坝坡塌陷处开挖回填，恢复混凝土预制块护坡；下游坝坡清表整形，采用草皮护坡，重建水库大字，拆除重建坝脚排水棱体及集渗沟。</w:t>
      </w:r>
    </w:p>
    <w:p w14:paraId="21038489">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textAlignment w:val="auto"/>
        <w:rPr>
          <w:rFonts w:hint="default" w:ascii="仿宋" w:hAnsi="仿宋" w:eastAsia="仿宋" w:cs="仿宋"/>
          <w:b/>
          <w:bCs/>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四、工程量清单及图纸</w:t>
      </w:r>
    </w:p>
    <w:p w14:paraId="482E48FC">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工程量清单（另册）及施工图纸（另册），请登录《湘西公共资源交易网》（http://ggzyjy.xxz.gov.cn）下载。</w:t>
      </w:r>
    </w:p>
    <w:p w14:paraId="6C4FF700">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textAlignment w:val="auto"/>
        <w:rPr>
          <w:rFonts w:hint="default" w:ascii="仿宋" w:hAnsi="仿宋" w:eastAsia="仿宋" w:cs="仿宋"/>
          <w:b/>
          <w:bCs/>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五、编制依据</w:t>
      </w:r>
    </w:p>
    <w:p w14:paraId="6903FD17">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1.本项目工程量清单及图纸；</w:t>
      </w:r>
    </w:p>
    <w:p w14:paraId="78F642AA">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default"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2</w:t>
      </w:r>
      <w:r>
        <w:rPr>
          <w:rFonts w:hint="default" w:ascii="仿宋" w:hAnsi="仿宋" w:eastAsia="仿宋" w:cs="仿宋"/>
          <w:b w:val="0"/>
          <w:bCs w:val="0"/>
          <w:color w:val="auto"/>
          <w:kern w:val="0"/>
          <w:sz w:val="24"/>
          <w:szCs w:val="24"/>
          <w:highlight w:val="none"/>
          <w:lang w:val="en-US" w:eastAsia="zh-CN"/>
        </w:rPr>
        <w:t>、湘水建管</w:t>
      </w:r>
      <w:r>
        <w:rPr>
          <w:rFonts w:hint="eastAsia" w:ascii="仿宋" w:hAnsi="仿宋" w:eastAsia="仿宋" w:cs="仿宋"/>
          <w:b w:val="0"/>
          <w:bCs w:val="0"/>
          <w:color w:val="auto"/>
          <w:kern w:val="0"/>
          <w:sz w:val="24"/>
          <w:szCs w:val="24"/>
          <w:highlight w:val="none"/>
          <w:lang w:val="en-US" w:eastAsia="zh-CN"/>
        </w:rPr>
        <w:t>〔</w:t>
      </w:r>
      <w:r>
        <w:rPr>
          <w:rFonts w:hint="default" w:ascii="仿宋" w:hAnsi="仿宋" w:eastAsia="仿宋" w:cs="仿宋"/>
          <w:b w:val="0"/>
          <w:bCs w:val="0"/>
          <w:color w:val="auto"/>
          <w:kern w:val="0"/>
          <w:sz w:val="24"/>
          <w:szCs w:val="24"/>
          <w:highlight w:val="none"/>
          <w:lang w:val="en-US" w:eastAsia="zh-CN"/>
        </w:rPr>
        <w:t>2015</w:t>
      </w:r>
      <w:r>
        <w:rPr>
          <w:rFonts w:hint="eastAsia" w:ascii="仿宋" w:hAnsi="仿宋" w:eastAsia="仿宋" w:cs="仿宋"/>
          <w:b w:val="0"/>
          <w:bCs w:val="0"/>
          <w:color w:val="auto"/>
          <w:kern w:val="0"/>
          <w:sz w:val="24"/>
          <w:szCs w:val="24"/>
          <w:highlight w:val="none"/>
          <w:lang w:val="en-US" w:eastAsia="zh-CN"/>
        </w:rPr>
        <w:t>〕</w:t>
      </w:r>
      <w:r>
        <w:rPr>
          <w:rFonts w:hint="default" w:ascii="仿宋" w:hAnsi="仿宋" w:eastAsia="仿宋" w:cs="仿宋"/>
          <w:b w:val="0"/>
          <w:bCs w:val="0"/>
          <w:color w:val="auto"/>
          <w:kern w:val="0"/>
          <w:sz w:val="24"/>
          <w:szCs w:val="24"/>
          <w:highlight w:val="none"/>
          <w:lang w:val="en-US" w:eastAsia="zh-CN"/>
        </w:rPr>
        <w:t>130号文《湖南省水利水电工程设计概(估)算编制规定》</w:t>
      </w:r>
      <w:r>
        <w:rPr>
          <w:rFonts w:hint="eastAsia" w:ascii="仿宋" w:hAnsi="仿宋" w:eastAsia="仿宋" w:cs="仿宋"/>
          <w:b w:val="0"/>
          <w:bCs w:val="0"/>
          <w:color w:val="auto"/>
          <w:kern w:val="0"/>
          <w:sz w:val="24"/>
          <w:szCs w:val="24"/>
          <w:highlight w:val="none"/>
          <w:lang w:val="en-US" w:eastAsia="zh-CN"/>
        </w:rPr>
        <w:t>；</w:t>
      </w:r>
    </w:p>
    <w:p w14:paraId="7BB87484">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default" w:ascii="仿宋" w:hAnsi="仿宋" w:eastAsia="仿宋" w:cs="仿宋"/>
          <w:b w:val="0"/>
          <w:bCs w:val="0"/>
          <w:color w:val="auto"/>
          <w:kern w:val="0"/>
          <w:sz w:val="24"/>
          <w:szCs w:val="24"/>
          <w:highlight w:val="none"/>
          <w:lang w:val="en-US" w:eastAsia="zh-CN"/>
        </w:rPr>
      </w:pPr>
      <w:r>
        <w:rPr>
          <w:rFonts w:hint="default" w:ascii="仿宋" w:hAnsi="仿宋" w:eastAsia="仿宋" w:cs="仿宋"/>
          <w:b w:val="0"/>
          <w:bCs w:val="0"/>
          <w:color w:val="auto"/>
          <w:kern w:val="0"/>
          <w:sz w:val="24"/>
          <w:szCs w:val="24"/>
          <w:highlight w:val="none"/>
          <w:lang w:val="en-US" w:eastAsia="zh-CN"/>
        </w:rPr>
        <w:t>3、《湖南省水利水电工程建筑工程概算定额》、《湖南省水利水电工程设备安装工程概算定额》、《湖南省水利水电工程机械台时费定额》</w:t>
      </w:r>
      <w:r>
        <w:rPr>
          <w:rFonts w:hint="eastAsia" w:ascii="仿宋" w:hAnsi="仿宋" w:eastAsia="仿宋" w:cs="仿宋"/>
          <w:b w:val="0"/>
          <w:bCs w:val="0"/>
          <w:color w:val="auto"/>
          <w:kern w:val="0"/>
          <w:sz w:val="24"/>
          <w:szCs w:val="24"/>
          <w:highlight w:val="none"/>
          <w:lang w:val="en-US" w:eastAsia="zh-CN"/>
        </w:rPr>
        <w:t>；</w:t>
      </w:r>
    </w:p>
    <w:p w14:paraId="26BCE5A3">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b w:val="0"/>
          <w:bCs w:val="0"/>
          <w:color w:val="auto"/>
          <w:kern w:val="0"/>
          <w:sz w:val="24"/>
          <w:szCs w:val="24"/>
          <w:highlight w:val="none"/>
          <w:lang w:val="en-US" w:eastAsia="zh-CN"/>
        </w:rPr>
      </w:pPr>
      <w:r>
        <w:rPr>
          <w:rFonts w:hint="default" w:ascii="仿宋" w:hAnsi="仿宋" w:eastAsia="仿宋" w:cs="仿宋"/>
          <w:b w:val="0"/>
          <w:bCs w:val="0"/>
          <w:color w:val="auto"/>
          <w:kern w:val="0"/>
          <w:sz w:val="24"/>
          <w:szCs w:val="24"/>
          <w:highlight w:val="none"/>
          <w:lang w:val="en-US" w:eastAsia="zh-CN"/>
        </w:rPr>
        <w:t>4、《湖南省房屋建筑与装饰工程消耗量标准(2020)》、《湖南安装工程消耗量标准2020》、《湖南市政工程消耗量标准2020》及相应的计价办法</w:t>
      </w:r>
      <w:r>
        <w:rPr>
          <w:rFonts w:hint="eastAsia" w:ascii="仿宋" w:hAnsi="仿宋" w:eastAsia="仿宋" w:cs="仿宋"/>
          <w:b w:val="0"/>
          <w:bCs w:val="0"/>
          <w:color w:val="auto"/>
          <w:kern w:val="0"/>
          <w:sz w:val="24"/>
          <w:szCs w:val="24"/>
          <w:highlight w:val="none"/>
          <w:lang w:val="en-US" w:eastAsia="zh-CN"/>
        </w:rPr>
        <w:t>；</w:t>
      </w:r>
    </w:p>
    <w:p w14:paraId="66DFD9C9">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default" w:ascii="仿宋" w:hAnsi="仿宋" w:eastAsia="仿宋" w:cs="仿宋"/>
          <w:b w:val="0"/>
          <w:bCs w:val="0"/>
          <w:color w:val="auto"/>
          <w:kern w:val="0"/>
          <w:sz w:val="24"/>
          <w:szCs w:val="24"/>
          <w:highlight w:val="none"/>
          <w:lang w:val="en-US" w:eastAsia="zh-CN"/>
        </w:rPr>
      </w:pPr>
      <w:r>
        <w:rPr>
          <w:rFonts w:hint="default" w:ascii="仿宋" w:hAnsi="仿宋" w:eastAsia="仿宋" w:cs="仿宋"/>
          <w:b w:val="0"/>
          <w:bCs w:val="0"/>
          <w:color w:val="auto"/>
          <w:kern w:val="0"/>
          <w:sz w:val="24"/>
          <w:szCs w:val="24"/>
          <w:highlight w:val="none"/>
          <w:lang w:val="en-US" w:eastAsia="zh-CN"/>
        </w:rPr>
        <w:t>5、材料价格按《湘西自治州工程造价》2026年第一期二月信息价执行，缺项材料参考当期市场价</w:t>
      </w:r>
      <w:r>
        <w:rPr>
          <w:rFonts w:hint="eastAsia" w:ascii="仿宋" w:hAnsi="仿宋" w:eastAsia="仿宋" w:cs="仿宋"/>
          <w:b w:val="0"/>
          <w:bCs w:val="0"/>
          <w:color w:val="auto"/>
          <w:kern w:val="0"/>
          <w:sz w:val="24"/>
          <w:szCs w:val="24"/>
          <w:highlight w:val="none"/>
          <w:lang w:val="en-US" w:eastAsia="zh-CN"/>
        </w:rPr>
        <w:t>；</w:t>
      </w:r>
    </w:p>
    <w:p w14:paraId="413EB8A6">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default" w:ascii="仿宋" w:hAnsi="仿宋" w:eastAsia="仿宋" w:cs="仿宋"/>
          <w:b w:val="0"/>
          <w:bCs w:val="0"/>
          <w:color w:val="auto"/>
          <w:kern w:val="0"/>
          <w:sz w:val="24"/>
          <w:szCs w:val="24"/>
          <w:highlight w:val="none"/>
          <w:lang w:val="en-US" w:eastAsia="zh-CN"/>
        </w:rPr>
      </w:pPr>
      <w:r>
        <w:rPr>
          <w:rFonts w:hint="default" w:ascii="仿宋" w:hAnsi="仿宋" w:eastAsia="仿宋" w:cs="仿宋"/>
          <w:b w:val="0"/>
          <w:bCs w:val="0"/>
          <w:color w:val="auto"/>
          <w:kern w:val="0"/>
          <w:sz w:val="24"/>
          <w:szCs w:val="24"/>
          <w:highlight w:val="none"/>
          <w:lang w:val="en-US" w:eastAsia="zh-CN"/>
        </w:rPr>
        <w:t>6、人工工资单价按湘水建管</w:t>
      </w:r>
      <w:r>
        <w:rPr>
          <w:rFonts w:hint="eastAsia" w:ascii="仿宋" w:hAnsi="仿宋" w:eastAsia="仿宋" w:cs="仿宋"/>
          <w:b w:val="0"/>
          <w:bCs w:val="0"/>
          <w:color w:val="auto"/>
          <w:kern w:val="0"/>
          <w:sz w:val="24"/>
          <w:szCs w:val="24"/>
          <w:highlight w:val="none"/>
          <w:lang w:val="en-US" w:eastAsia="zh-CN"/>
        </w:rPr>
        <w:t>〔</w:t>
      </w:r>
      <w:r>
        <w:rPr>
          <w:rFonts w:hint="default" w:ascii="仿宋" w:hAnsi="仿宋" w:eastAsia="仿宋" w:cs="仿宋"/>
          <w:b w:val="0"/>
          <w:bCs w:val="0"/>
          <w:color w:val="auto"/>
          <w:kern w:val="0"/>
          <w:sz w:val="24"/>
          <w:szCs w:val="24"/>
          <w:highlight w:val="none"/>
          <w:lang w:val="en-US" w:eastAsia="zh-CN"/>
        </w:rPr>
        <w:t>2015</w:t>
      </w:r>
      <w:r>
        <w:rPr>
          <w:rFonts w:hint="eastAsia" w:ascii="仿宋" w:hAnsi="仿宋" w:eastAsia="仿宋" w:cs="仿宋"/>
          <w:b w:val="0"/>
          <w:bCs w:val="0"/>
          <w:color w:val="auto"/>
          <w:kern w:val="0"/>
          <w:sz w:val="24"/>
          <w:szCs w:val="24"/>
          <w:highlight w:val="none"/>
          <w:lang w:val="en-US" w:eastAsia="zh-CN"/>
        </w:rPr>
        <w:t>〕</w:t>
      </w:r>
      <w:r>
        <w:rPr>
          <w:rFonts w:hint="default" w:ascii="仿宋" w:hAnsi="仿宋" w:eastAsia="仿宋" w:cs="仿宋"/>
          <w:b w:val="0"/>
          <w:bCs w:val="0"/>
          <w:color w:val="auto"/>
          <w:kern w:val="0"/>
          <w:sz w:val="24"/>
          <w:szCs w:val="24"/>
          <w:highlight w:val="none"/>
          <w:lang w:val="en-US" w:eastAsia="zh-CN"/>
        </w:rPr>
        <w:t>130号文件的人工工资单价执行，工长11.72元/工时、高级工10.76元/工时、中级工8.93元/工时、初级工6.55元/工时</w:t>
      </w:r>
      <w:r>
        <w:rPr>
          <w:rFonts w:hint="eastAsia" w:ascii="仿宋" w:hAnsi="仿宋" w:eastAsia="仿宋" w:cs="仿宋"/>
          <w:b w:val="0"/>
          <w:bCs w:val="0"/>
          <w:color w:val="auto"/>
          <w:kern w:val="0"/>
          <w:sz w:val="24"/>
          <w:szCs w:val="24"/>
          <w:highlight w:val="none"/>
          <w:lang w:val="en-US" w:eastAsia="zh-CN"/>
        </w:rPr>
        <w:t>；</w:t>
      </w:r>
    </w:p>
    <w:p w14:paraId="23767072">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default" w:ascii="仿宋" w:hAnsi="仿宋" w:eastAsia="仿宋" w:cs="仿宋"/>
          <w:b w:val="0"/>
          <w:bCs w:val="0"/>
          <w:color w:val="auto"/>
          <w:kern w:val="0"/>
          <w:sz w:val="24"/>
          <w:szCs w:val="24"/>
          <w:highlight w:val="none"/>
          <w:lang w:val="en-US" w:eastAsia="zh-CN"/>
        </w:rPr>
      </w:pPr>
      <w:r>
        <w:rPr>
          <w:rFonts w:hint="default" w:ascii="仿宋" w:hAnsi="仿宋" w:eastAsia="仿宋" w:cs="仿宋"/>
          <w:b w:val="0"/>
          <w:bCs w:val="0"/>
          <w:color w:val="auto"/>
          <w:kern w:val="0"/>
          <w:sz w:val="24"/>
          <w:szCs w:val="24"/>
          <w:highlight w:val="none"/>
          <w:lang w:val="en-US" w:eastAsia="zh-CN"/>
        </w:rPr>
        <w:t>7、湘水发</w:t>
      </w:r>
      <w:r>
        <w:rPr>
          <w:rFonts w:hint="eastAsia" w:ascii="仿宋" w:hAnsi="仿宋" w:eastAsia="仿宋" w:cs="仿宋"/>
          <w:b w:val="0"/>
          <w:bCs w:val="0"/>
          <w:color w:val="auto"/>
          <w:kern w:val="0"/>
          <w:sz w:val="24"/>
          <w:szCs w:val="24"/>
          <w:highlight w:val="none"/>
          <w:lang w:val="en-US" w:eastAsia="zh-CN"/>
        </w:rPr>
        <w:t>〔</w:t>
      </w:r>
      <w:r>
        <w:rPr>
          <w:rFonts w:hint="default" w:ascii="仿宋" w:hAnsi="仿宋" w:eastAsia="仿宋" w:cs="仿宋"/>
          <w:b w:val="0"/>
          <w:bCs w:val="0"/>
          <w:color w:val="auto"/>
          <w:kern w:val="0"/>
          <w:sz w:val="24"/>
          <w:szCs w:val="24"/>
          <w:highlight w:val="none"/>
          <w:lang w:val="en-US" w:eastAsia="zh-CN"/>
        </w:rPr>
        <w:t>2019</w:t>
      </w:r>
      <w:r>
        <w:rPr>
          <w:rFonts w:hint="eastAsia" w:ascii="仿宋" w:hAnsi="仿宋" w:eastAsia="仿宋" w:cs="仿宋"/>
          <w:b w:val="0"/>
          <w:bCs w:val="0"/>
          <w:color w:val="auto"/>
          <w:kern w:val="0"/>
          <w:sz w:val="24"/>
          <w:szCs w:val="24"/>
          <w:highlight w:val="none"/>
          <w:lang w:val="en-US" w:eastAsia="zh-CN"/>
        </w:rPr>
        <w:t>〕</w:t>
      </w:r>
      <w:r>
        <w:rPr>
          <w:rFonts w:hint="default" w:ascii="仿宋" w:hAnsi="仿宋" w:eastAsia="仿宋" w:cs="仿宋"/>
          <w:b w:val="0"/>
          <w:bCs w:val="0"/>
          <w:color w:val="auto"/>
          <w:kern w:val="0"/>
          <w:sz w:val="24"/>
          <w:szCs w:val="24"/>
          <w:highlight w:val="none"/>
          <w:lang w:val="en-US" w:eastAsia="zh-CN"/>
        </w:rPr>
        <w:t>6号文湖南省水利厅关于印发《湖南省水利水电工程调整计价依据增值税计算标准》的通知</w:t>
      </w:r>
      <w:r>
        <w:rPr>
          <w:rFonts w:hint="eastAsia" w:ascii="仿宋" w:hAnsi="仿宋" w:eastAsia="仿宋" w:cs="仿宋"/>
          <w:b w:val="0"/>
          <w:bCs w:val="0"/>
          <w:color w:val="auto"/>
          <w:kern w:val="0"/>
          <w:sz w:val="24"/>
          <w:szCs w:val="24"/>
          <w:highlight w:val="none"/>
          <w:lang w:val="en-US" w:eastAsia="zh-CN"/>
        </w:rPr>
        <w:t>；</w:t>
      </w:r>
    </w:p>
    <w:p w14:paraId="52A39551">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default" w:ascii="仿宋" w:hAnsi="仿宋" w:eastAsia="仿宋" w:cs="仿宋"/>
          <w:b w:val="0"/>
          <w:bCs w:val="0"/>
          <w:color w:val="auto"/>
          <w:kern w:val="0"/>
          <w:sz w:val="24"/>
          <w:szCs w:val="24"/>
          <w:highlight w:val="none"/>
          <w:lang w:val="en-US" w:eastAsia="zh-CN"/>
        </w:rPr>
      </w:pPr>
      <w:r>
        <w:rPr>
          <w:rFonts w:hint="default" w:ascii="仿宋" w:hAnsi="仿宋" w:eastAsia="仿宋" w:cs="仿宋"/>
          <w:b w:val="0"/>
          <w:bCs w:val="0"/>
          <w:color w:val="auto"/>
          <w:kern w:val="0"/>
          <w:sz w:val="24"/>
          <w:szCs w:val="24"/>
          <w:highlight w:val="none"/>
          <w:lang w:val="en-US" w:eastAsia="zh-CN"/>
        </w:rPr>
        <w:t>8、办水总函</w:t>
      </w:r>
      <w:r>
        <w:rPr>
          <w:rFonts w:hint="eastAsia" w:ascii="仿宋" w:hAnsi="仿宋" w:eastAsia="仿宋" w:cs="仿宋"/>
          <w:b w:val="0"/>
          <w:bCs w:val="0"/>
          <w:color w:val="auto"/>
          <w:kern w:val="0"/>
          <w:sz w:val="24"/>
          <w:szCs w:val="24"/>
          <w:highlight w:val="none"/>
          <w:lang w:val="en-US" w:eastAsia="zh-CN"/>
        </w:rPr>
        <w:t>〔</w:t>
      </w:r>
      <w:r>
        <w:rPr>
          <w:rFonts w:hint="default" w:ascii="仿宋" w:hAnsi="仿宋" w:eastAsia="仿宋" w:cs="仿宋"/>
          <w:b w:val="0"/>
          <w:bCs w:val="0"/>
          <w:color w:val="auto"/>
          <w:kern w:val="0"/>
          <w:sz w:val="24"/>
          <w:szCs w:val="24"/>
          <w:highlight w:val="none"/>
          <w:lang w:val="en-US" w:eastAsia="zh-CN"/>
        </w:rPr>
        <w:t>2023</w:t>
      </w:r>
      <w:r>
        <w:rPr>
          <w:rFonts w:hint="eastAsia" w:ascii="仿宋" w:hAnsi="仿宋" w:eastAsia="仿宋" w:cs="仿宋"/>
          <w:b w:val="0"/>
          <w:bCs w:val="0"/>
          <w:color w:val="auto"/>
          <w:kern w:val="0"/>
          <w:sz w:val="24"/>
          <w:szCs w:val="24"/>
          <w:highlight w:val="none"/>
          <w:lang w:val="en-US" w:eastAsia="zh-CN"/>
        </w:rPr>
        <w:t>〕</w:t>
      </w:r>
      <w:r>
        <w:rPr>
          <w:rFonts w:hint="default" w:ascii="仿宋" w:hAnsi="仿宋" w:eastAsia="仿宋" w:cs="仿宋"/>
          <w:b w:val="0"/>
          <w:bCs w:val="0"/>
          <w:color w:val="auto"/>
          <w:kern w:val="0"/>
          <w:sz w:val="24"/>
          <w:szCs w:val="24"/>
          <w:highlight w:val="none"/>
          <w:lang w:val="en-US" w:eastAsia="zh-CN"/>
        </w:rPr>
        <w:t>38号文《水利部办公厅关于调整水利工程计价依据安全生产措施费计算标准的通知》的通知</w:t>
      </w:r>
      <w:r>
        <w:rPr>
          <w:rFonts w:hint="eastAsia" w:ascii="仿宋" w:hAnsi="仿宋" w:eastAsia="仿宋" w:cs="仿宋"/>
          <w:b w:val="0"/>
          <w:bCs w:val="0"/>
          <w:color w:val="auto"/>
          <w:kern w:val="0"/>
          <w:sz w:val="24"/>
          <w:szCs w:val="24"/>
          <w:highlight w:val="none"/>
          <w:lang w:val="en-US" w:eastAsia="zh-CN"/>
        </w:rPr>
        <w:t>；</w:t>
      </w:r>
    </w:p>
    <w:p w14:paraId="54F79E52">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default" w:ascii="仿宋" w:hAnsi="仿宋" w:eastAsia="仿宋" w:cs="仿宋"/>
          <w:b w:val="0"/>
          <w:bCs w:val="0"/>
          <w:color w:val="auto"/>
          <w:kern w:val="0"/>
          <w:sz w:val="24"/>
          <w:szCs w:val="24"/>
          <w:highlight w:val="none"/>
          <w:lang w:val="en-US" w:eastAsia="zh-CN"/>
        </w:rPr>
      </w:pPr>
      <w:r>
        <w:rPr>
          <w:rFonts w:hint="default" w:ascii="仿宋" w:hAnsi="仿宋" w:eastAsia="仿宋" w:cs="仿宋"/>
          <w:b w:val="0"/>
          <w:bCs w:val="0"/>
          <w:color w:val="auto"/>
          <w:kern w:val="0"/>
          <w:sz w:val="24"/>
          <w:szCs w:val="24"/>
          <w:highlight w:val="none"/>
          <w:lang w:val="en-US" w:eastAsia="zh-CN"/>
        </w:rPr>
        <w:t>9、其他相关文件规定。</w:t>
      </w:r>
    </w:p>
    <w:p w14:paraId="7C3B202B">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textAlignment w:val="auto"/>
        <w:rPr>
          <w:rFonts w:hint="eastAsia" w:ascii="仿宋" w:hAnsi="仿宋" w:eastAsia="仿宋" w:cs="仿宋"/>
          <w:b/>
          <w:bCs/>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六、报价要求</w:t>
      </w:r>
    </w:p>
    <w:p w14:paraId="36F91473">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2" w:firstLineChars="200"/>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kern w:val="0"/>
          <w:sz w:val="24"/>
          <w:szCs w:val="24"/>
          <w:highlight w:val="none"/>
          <w:lang w:val="en-US" w:eastAsia="zh-CN"/>
        </w:rPr>
        <w:t>1.投标人</w:t>
      </w:r>
      <w:r>
        <w:rPr>
          <w:rFonts w:hint="eastAsia" w:ascii="仿宋" w:hAnsi="仿宋" w:eastAsia="仿宋" w:cs="仿宋"/>
          <w:b/>
          <w:bCs/>
          <w:color w:val="auto"/>
          <w:sz w:val="24"/>
          <w:szCs w:val="24"/>
          <w:highlight w:val="none"/>
        </w:rPr>
        <w:t>对本项目的总报价最高不超过采购文件中的最高限价</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rPr>
        <w:t>否则其投标将被视为无效投标而被拒接。</w:t>
      </w:r>
    </w:p>
    <w:p w14:paraId="6A5AC525">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2" w:firstLineChars="200"/>
        <w:textAlignment w:val="auto"/>
        <w:rPr>
          <w:rFonts w:hint="default"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2.为平衡报价，投标人填报的各项子目单价不得超过采购文件工程量清单中载明的对应单价，否则其投标将被视为无效投标，作否决投标处理。采购人有权在施工合同签订前，对成交供应商投标文件中的报价进行核实。如发现报价不符合采购文件要求的，采购人有权取消该供应商成交资格，并可顺延确定下一名候选成交供应商，或重新组织采购。</w:t>
      </w:r>
    </w:p>
    <w:p w14:paraId="5CA1C91A">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3.</w:t>
      </w:r>
      <w:r>
        <w:rPr>
          <w:rFonts w:hint="eastAsia" w:ascii="仿宋" w:hAnsi="仿宋" w:eastAsia="仿宋" w:cs="仿宋"/>
          <w:color w:val="auto"/>
          <w:sz w:val="24"/>
          <w:szCs w:val="24"/>
          <w:highlight w:val="none"/>
        </w:rPr>
        <w:t>响应文件只有一个报价，无选择性报价。</w:t>
      </w:r>
    </w:p>
    <w:p w14:paraId="4617BA12">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rPr>
        <w:t>4.投标人</w:t>
      </w:r>
      <w:r>
        <w:rPr>
          <w:rFonts w:hint="eastAsia" w:ascii="仿宋" w:hAnsi="仿宋" w:eastAsia="仿宋" w:cs="仿宋"/>
          <w:color w:val="auto"/>
          <w:sz w:val="24"/>
          <w:szCs w:val="24"/>
          <w:highlight w:val="none"/>
        </w:rPr>
        <w:t>编制投标报价文件时不得缺漏项，应完整响应发布的工程量清单内容；根据自身实力、图纸及本项目的特点考虑各种风险，确定最后报价（包括但不限于建设所需材料费及辅助材料费、备品备件费、人工费、机械费、运输费、二次转运费、装卸费、保险费、管理费、涨价、规费、税费、检验检测费、利润、付款方式导致的资金占用利息费、</w:t>
      </w:r>
      <w:r>
        <w:rPr>
          <w:rFonts w:hint="eastAsia" w:ascii="仿宋" w:hAnsi="仿宋" w:eastAsia="仿宋" w:cs="仿宋"/>
          <w:color w:val="auto"/>
          <w:sz w:val="24"/>
          <w:szCs w:val="24"/>
          <w:highlight w:val="none"/>
          <w:lang w:eastAsia="zh-CN"/>
        </w:rPr>
        <w:t>其他</w:t>
      </w:r>
      <w:r>
        <w:rPr>
          <w:rFonts w:hint="eastAsia" w:ascii="仿宋" w:hAnsi="仿宋" w:eastAsia="仿宋" w:cs="仿宋"/>
          <w:color w:val="auto"/>
          <w:sz w:val="24"/>
          <w:szCs w:val="24"/>
          <w:highlight w:val="none"/>
        </w:rPr>
        <w:t>相关服务及售后服务费等一切费用）。如</w:t>
      </w:r>
      <w:r>
        <w:rPr>
          <w:rFonts w:hint="eastAsia" w:ascii="仿宋" w:hAnsi="仿宋" w:eastAsia="仿宋" w:cs="仿宋"/>
          <w:color w:val="auto"/>
          <w:kern w:val="0"/>
          <w:sz w:val="24"/>
          <w:szCs w:val="24"/>
          <w:highlight w:val="none"/>
          <w:lang w:val="en-US" w:eastAsia="zh-CN"/>
        </w:rPr>
        <w:t>投标人</w:t>
      </w:r>
      <w:r>
        <w:rPr>
          <w:rFonts w:hint="eastAsia" w:ascii="仿宋" w:hAnsi="仿宋" w:eastAsia="仿宋" w:cs="仿宋"/>
          <w:color w:val="auto"/>
          <w:sz w:val="24"/>
          <w:szCs w:val="24"/>
          <w:highlight w:val="none"/>
        </w:rPr>
        <w:t>遗漏磋商文件所列工程量清单内容，后果均由成交供应商自负。</w:t>
      </w:r>
    </w:p>
    <w:p w14:paraId="1D19DBF0">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rPr>
        <w:t>5.</w:t>
      </w:r>
      <w:r>
        <w:rPr>
          <w:rFonts w:hint="eastAsia" w:ascii="仿宋" w:hAnsi="仿宋" w:eastAsia="仿宋" w:cs="仿宋"/>
          <w:color w:val="auto"/>
          <w:sz w:val="24"/>
          <w:szCs w:val="24"/>
          <w:highlight w:val="none"/>
        </w:rPr>
        <w:t>工程量清单中的“安全生产费（不可竞争费）”、“暂列金”等，报价时按磋商文件工程量清单中列明的金额计入响应总价，否则其投标将被视为</w:t>
      </w:r>
      <w:r>
        <w:rPr>
          <w:rFonts w:hint="eastAsia" w:ascii="仿宋" w:hAnsi="仿宋" w:eastAsia="仿宋" w:cs="仿宋"/>
          <w:b/>
          <w:bCs/>
          <w:color w:val="auto"/>
          <w:sz w:val="24"/>
          <w:szCs w:val="24"/>
          <w:highlight w:val="none"/>
        </w:rPr>
        <w:t>投标无效</w:t>
      </w:r>
      <w:r>
        <w:rPr>
          <w:rFonts w:hint="eastAsia" w:ascii="仿宋" w:hAnsi="仿宋" w:eastAsia="仿宋" w:cs="仿宋"/>
          <w:color w:val="auto"/>
          <w:sz w:val="24"/>
          <w:szCs w:val="24"/>
          <w:highlight w:val="none"/>
        </w:rPr>
        <w:t>而被拒绝；结算时据实结算。</w:t>
      </w:r>
    </w:p>
    <w:p w14:paraId="07577642">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6.强化政府采购异常低价审查，磋商小组应当启动异常低价投标（响应）审查程序：</w:t>
      </w:r>
    </w:p>
    <w:p w14:paraId="7CB43F83">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1）投标（响应）报价低于全部通过符合性审查供应商投标（响应）报价平均值65%的，即投标（响应）报价＜全部通过符合性审查供应商投标（响应）报价平均值×65%;</w:t>
      </w:r>
    </w:p>
    <w:p w14:paraId="3F27F7E4">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2）投标（响应）报价低于通过符合性审查的次低报价供应商投标（响应）报价65%的，即投标（响应）报价＜通过符合性审查的次低报价供应商投标（响应）报价×65%;</w:t>
      </w:r>
    </w:p>
    <w:p w14:paraId="78C2B94E">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3）投标（响应）报价低于采购项目最高限价×65%的；</w:t>
      </w:r>
    </w:p>
    <w:p w14:paraId="3CC64662">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磋商小组基于专业判断，认为投标（响应）供应商报价过低，有可能影响产品质量或者不能诚信履约的其他情形，应当要求相关供应商对投标（响应）价格作出解释，提供项目具体成本测算等与报价合理性相关的书面说明及必要的证明材料，包括但不限于原材料成本，人工成本，制造费用等，给予相关供应商的合理时间一般不少于30分钟。投标（响应）供应商不能提供书面说明，证明材料，或者提供的书面说明，证明材料不能证明其报价合理性的，磋商小组应当将其作为无效投标（响应）处理。</w:t>
      </w:r>
    </w:p>
    <w:p w14:paraId="556EF1DF">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textAlignment w:val="auto"/>
        <w:rPr>
          <w:rFonts w:hint="eastAsia" w:ascii="仿宋" w:hAnsi="仿宋" w:eastAsia="仿宋" w:cs="仿宋"/>
          <w:b/>
          <w:bCs/>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七、工期及质量要求</w:t>
      </w:r>
    </w:p>
    <w:p w14:paraId="63B63268">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1.工期：4个月（自合同签订之日起）。</w:t>
      </w:r>
    </w:p>
    <w:p w14:paraId="709C0694">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2.质量要求：符合国家、水利行业现行有关施工规范、质量检验评定标准、验收规程及本工程设计文件要求；单元、分部、单位工程施工质量验收、各阶段验收及竣工验收按《水利水电建设工程验收规程》（SL/T 223—2025）执行，竣工验收合格。</w:t>
      </w:r>
    </w:p>
    <w:p w14:paraId="6C8B41D7">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3.保修要求：</w:t>
      </w:r>
      <w:r>
        <w:rPr>
          <w:rFonts w:hint="eastAsia" w:ascii="仿宋" w:hAnsi="仿宋" w:eastAsia="仿宋" w:cs="仿宋"/>
          <w:color w:val="auto"/>
          <w:sz w:val="24"/>
          <w:szCs w:val="24"/>
          <w:highlight w:val="none"/>
        </w:rPr>
        <w:t>按照国务院《建设工程质量管理条例》，本项目保修期为一年。若工程质量出现永久性缺陷的</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承担责任的期限不受以上保修期限制。</w:t>
      </w:r>
    </w:p>
    <w:p w14:paraId="74521C71">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八、项实施要求</w:t>
      </w:r>
    </w:p>
    <w:p w14:paraId="15DDFB58">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1.建筑材料运输、保管及保险：</w:t>
      </w:r>
    </w:p>
    <w:p w14:paraId="1869CB3E">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1.1 成交供应商负责建筑材料到施工地点的全部运输，包括装卸及现场搬运等。</w:t>
      </w:r>
    </w:p>
    <w:p w14:paraId="25BE3376">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1.2 成交供应商负责建筑材料在施工地点的保管，直至项目验收合格。</w:t>
      </w:r>
    </w:p>
    <w:p w14:paraId="6660F089">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 xml:space="preserve">1.3 </w:t>
      </w:r>
      <w:r>
        <w:rPr>
          <w:rFonts w:hint="eastAsia" w:ascii="仿宋" w:hAnsi="仿宋" w:eastAsia="仿宋" w:cs="仿宋"/>
          <w:color w:val="auto"/>
          <w:sz w:val="24"/>
          <w:szCs w:val="24"/>
          <w:highlight w:val="none"/>
        </w:rPr>
        <w:t>成交</w:t>
      </w:r>
      <w:r>
        <w:rPr>
          <w:rFonts w:hint="eastAsia" w:ascii="仿宋" w:hAnsi="仿宋" w:eastAsia="仿宋" w:cs="仿宋"/>
          <w:color w:val="auto"/>
          <w:kern w:val="0"/>
          <w:sz w:val="24"/>
          <w:szCs w:val="24"/>
          <w:highlight w:val="none"/>
          <w:lang w:val="en-US" w:eastAsia="zh-CN"/>
        </w:rPr>
        <w:t>供应商</w:t>
      </w:r>
      <w:r>
        <w:rPr>
          <w:rFonts w:hint="eastAsia" w:ascii="仿宋" w:hAnsi="仿宋" w:eastAsia="仿宋" w:cs="仿宋"/>
          <w:color w:val="auto"/>
          <w:sz w:val="24"/>
          <w:szCs w:val="24"/>
          <w:highlight w:val="none"/>
        </w:rPr>
        <w:t>须按当地政府及采购人要求购买建筑施工安全生产责任保险等相关保险。</w:t>
      </w:r>
    </w:p>
    <w:p w14:paraId="71144B3E">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1.4 成交供应商负责其派出的施工人员的人身意外保险。</w:t>
      </w:r>
    </w:p>
    <w:p w14:paraId="61B997C3">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2.施工要求：</w:t>
      </w:r>
    </w:p>
    <w:p w14:paraId="0EAE0FD4">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 xml:space="preserve">2.1 </w:t>
      </w:r>
      <w:r>
        <w:rPr>
          <w:rFonts w:hint="eastAsia" w:ascii="仿宋" w:hAnsi="仿宋" w:eastAsia="仿宋" w:cs="仿宋"/>
          <w:color w:val="auto"/>
          <w:sz w:val="24"/>
          <w:szCs w:val="24"/>
          <w:highlight w:val="none"/>
        </w:rPr>
        <w:t>成交</w:t>
      </w:r>
      <w:r>
        <w:rPr>
          <w:rFonts w:hint="eastAsia" w:ascii="仿宋" w:hAnsi="仿宋" w:eastAsia="仿宋" w:cs="仿宋"/>
          <w:color w:val="auto"/>
          <w:kern w:val="0"/>
          <w:sz w:val="24"/>
          <w:szCs w:val="24"/>
          <w:highlight w:val="none"/>
          <w:lang w:val="en-US" w:eastAsia="zh-CN"/>
        </w:rPr>
        <w:t>供应商</w:t>
      </w:r>
      <w:r>
        <w:rPr>
          <w:rFonts w:hint="eastAsia" w:ascii="仿宋" w:hAnsi="仿宋" w:eastAsia="仿宋" w:cs="仿宋"/>
          <w:color w:val="auto"/>
          <w:sz w:val="24"/>
          <w:szCs w:val="24"/>
          <w:highlight w:val="none"/>
        </w:rPr>
        <w:t>须加强施工的组织管理，所有施工人员须遵守文明安全施工的有关规章制度持证上岗。施工期间，应接受采购人或采购人委托的监理工程师的监督管理，遵守有关规定。</w:t>
      </w:r>
    </w:p>
    <w:p w14:paraId="0825F0CE">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 xml:space="preserve">2.2 </w:t>
      </w:r>
      <w:r>
        <w:rPr>
          <w:rFonts w:hint="eastAsia" w:ascii="仿宋" w:hAnsi="仿宋" w:eastAsia="仿宋" w:cs="仿宋"/>
          <w:color w:val="auto"/>
          <w:sz w:val="24"/>
          <w:szCs w:val="24"/>
          <w:highlight w:val="none"/>
        </w:rPr>
        <w:t>具体施工方案及标准以工程量清单和施工图纸为准</w:t>
      </w:r>
      <w:r>
        <w:rPr>
          <w:rFonts w:hint="eastAsia" w:ascii="仿宋" w:hAnsi="仿宋" w:eastAsia="仿宋" w:cs="仿宋"/>
          <w:color w:val="auto"/>
          <w:kern w:val="0"/>
          <w:sz w:val="24"/>
          <w:szCs w:val="24"/>
          <w:highlight w:val="none"/>
          <w:lang w:val="en-US" w:eastAsia="zh-CN"/>
        </w:rPr>
        <w:t>。</w:t>
      </w:r>
    </w:p>
    <w:p w14:paraId="2B329C41">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 xml:space="preserve">2.3 </w:t>
      </w:r>
      <w:r>
        <w:rPr>
          <w:rFonts w:hint="eastAsia" w:ascii="仿宋" w:hAnsi="仿宋" w:eastAsia="仿宋" w:cs="仿宋"/>
          <w:color w:val="auto"/>
          <w:sz w:val="24"/>
          <w:szCs w:val="24"/>
          <w:highlight w:val="none"/>
        </w:rPr>
        <w:t>所有工程完工后，采购人将组织验收小组（由相关职能部门组成）根据本项目竞争性磋商文件及供应商响应文件完成项目验收事宜</w:t>
      </w:r>
      <w:r>
        <w:rPr>
          <w:rFonts w:hint="eastAsia" w:ascii="仿宋" w:hAnsi="仿宋" w:eastAsia="仿宋" w:cs="仿宋"/>
          <w:color w:val="auto"/>
          <w:kern w:val="0"/>
          <w:sz w:val="24"/>
          <w:szCs w:val="24"/>
          <w:highlight w:val="none"/>
          <w:lang w:val="en-US" w:eastAsia="zh-CN"/>
        </w:rPr>
        <w:t>。</w:t>
      </w:r>
    </w:p>
    <w:p w14:paraId="6D0C7D75">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 xml:space="preserve">2.4 </w:t>
      </w:r>
      <w:r>
        <w:rPr>
          <w:rFonts w:hint="eastAsia" w:ascii="仿宋" w:hAnsi="仿宋" w:eastAsia="仿宋" w:cs="仿宋"/>
          <w:color w:val="auto"/>
          <w:sz w:val="24"/>
          <w:szCs w:val="24"/>
          <w:highlight w:val="none"/>
        </w:rPr>
        <w:t>项目完成后，成交</w:t>
      </w:r>
      <w:r>
        <w:rPr>
          <w:rFonts w:hint="eastAsia" w:ascii="仿宋" w:hAnsi="仿宋" w:eastAsia="仿宋" w:cs="仿宋"/>
          <w:color w:val="auto"/>
          <w:kern w:val="0"/>
          <w:sz w:val="24"/>
          <w:szCs w:val="24"/>
          <w:highlight w:val="none"/>
          <w:lang w:val="en-US" w:eastAsia="zh-CN"/>
        </w:rPr>
        <w:t>供应商</w:t>
      </w:r>
      <w:r>
        <w:rPr>
          <w:rFonts w:hint="eastAsia" w:ascii="仿宋" w:hAnsi="仿宋" w:eastAsia="仿宋" w:cs="仿宋"/>
          <w:color w:val="auto"/>
          <w:sz w:val="24"/>
          <w:szCs w:val="24"/>
          <w:highlight w:val="none"/>
        </w:rPr>
        <w:t>应将项目有关的全部资料，包括技术文档、施工图纸等，移交采购人</w:t>
      </w:r>
      <w:r>
        <w:rPr>
          <w:rFonts w:hint="eastAsia" w:ascii="仿宋" w:hAnsi="仿宋" w:eastAsia="仿宋" w:cs="仿宋"/>
          <w:color w:val="auto"/>
          <w:kern w:val="0"/>
          <w:sz w:val="24"/>
          <w:szCs w:val="24"/>
          <w:highlight w:val="none"/>
          <w:lang w:val="en-US" w:eastAsia="zh-CN"/>
        </w:rPr>
        <w:t>。</w:t>
      </w:r>
    </w:p>
    <w:p w14:paraId="7DF1C04E">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textAlignment w:val="auto"/>
        <w:rPr>
          <w:rFonts w:hint="eastAsia" w:ascii="仿宋" w:hAnsi="仿宋" w:eastAsia="仿宋" w:cs="仿宋"/>
          <w:b/>
          <w:bCs/>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九、结算方式</w:t>
      </w:r>
    </w:p>
    <w:p w14:paraId="66EE7A3F">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支付方式：（1）本项目无预付款；（2）工程款按月计量，按季度向县财政部门请款后支付给承包人。当累计付款达到合同签约价80%时暂停支付，待工程竣工验收合格并办理完结算审计后付至审定金额的97%，余下结算款的3%作为质量保修金，在保修期满后支付（不计息）；（3）工程款支付时间及额度以县财政局资金</w:t>
      </w:r>
      <w:r>
        <w:rPr>
          <w:rFonts w:hint="eastAsia" w:ascii="仿宋" w:hAnsi="仿宋" w:eastAsia="仿宋" w:cs="仿宋"/>
          <w:color w:val="auto"/>
          <w:sz w:val="24"/>
          <w:szCs w:val="24"/>
          <w:highlight w:val="none"/>
          <w:lang w:eastAsia="zh-CN"/>
        </w:rPr>
        <w:t>拨付</w:t>
      </w:r>
      <w:r>
        <w:rPr>
          <w:rFonts w:hint="eastAsia" w:ascii="仿宋" w:hAnsi="仿宋" w:eastAsia="仿宋" w:cs="仿宋"/>
          <w:color w:val="auto"/>
          <w:sz w:val="24"/>
          <w:szCs w:val="24"/>
          <w:highlight w:val="none"/>
        </w:rPr>
        <w:t xml:space="preserve">为准，承包人不得因为资金拨付时间推迟和额度减少原因而索赔或停工误工，否则发包人可视承包人违约。 </w:t>
      </w:r>
    </w:p>
    <w:p w14:paraId="1573EE7E">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工程竣工结算：工程竣工后双方应及时办理工程结算，承包人应积极配合，发包人再审核认可，未办理完结算不支付工程款，并不计算利息。工程竣工验收后，承包方应在10天内提交完整齐备的工程竣工资料和验收资料装整成册交采购人存档，并必须保证所有归档资料的真实性。</w:t>
      </w:r>
    </w:p>
    <w:p w14:paraId="76629B7C">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 xml:space="preserve">工程竣工验收： </w:t>
      </w:r>
    </w:p>
    <w:p w14:paraId="1C1EFE64">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 工程竣工验收程序为采购人验收小组验收合格后方可进行申报有关部门进行竣工验收。验收小组验收之前成交</w:t>
      </w:r>
      <w:r>
        <w:rPr>
          <w:rFonts w:hint="eastAsia" w:ascii="仿宋" w:hAnsi="仿宋" w:eastAsia="仿宋" w:cs="仿宋"/>
          <w:color w:val="auto"/>
          <w:sz w:val="24"/>
          <w:szCs w:val="24"/>
          <w:highlight w:val="none"/>
          <w:lang w:val="en-US" w:eastAsia="zh-CN"/>
        </w:rPr>
        <w:t>供应商</w:t>
      </w:r>
      <w:r>
        <w:rPr>
          <w:rFonts w:hint="eastAsia" w:ascii="仿宋" w:hAnsi="仿宋" w:eastAsia="仿宋" w:cs="仿宋"/>
          <w:color w:val="auto"/>
          <w:sz w:val="24"/>
          <w:szCs w:val="24"/>
          <w:highlight w:val="none"/>
        </w:rPr>
        <w:t>应向采购人提交</w:t>
      </w:r>
      <w:r>
        <w:rPr>
          <w:rFonts w:hint="eastAsia" w:ascii="仿宋" w:hAnsi="仿宋" w:eastAsia="仿宋" w:cs="仿宋"/>
          <w:color w:val="auto"/>
          <w:sz w:val="24"/>
          <w:szCs w:val="24"/>
          <w:highlight w:val="none"/>
          <w:lang w:val="en-US" w:eastAsia="zh-CN"/>
        </w:rPr>
        <w:t>不少于</w:t>
      </w:r>
      <w:r>
        <w:rPr>
          <w:rFonts w:hint="eastAsia" w:ascii="仿宋" w:hAnsi="仿宋" w:eastAsia="仿宋" w:cs="仿宋"/>
          <w:color w:val="auto"/>
          <w:sz w:val="24"/>
          <w:szCs w:val="24"/>
          <w:highlight w:val="none"/>
        </w:rPr>
        <w:t>一套完整的竣工资料（原件且需满足同类工程行业要求），经检查竣工资料符合后方可进行下一步验收。</w:t>
      </w:r>
    </w:p>
    <w:p w14:paraId="229BBA1A">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3.2 成交</w:t>
      </w:r>
      <w:r>
        <w:rPr>
          <w:rFonts w:hint="eastAsia" w:ascii="仿宋" w:hAnsi="仿宋" w:eastAsia="仿宋" w:cs="仿宋"/>
          <w:color w:val="auto"/>
          <w:sz w:val="24"/>
          <w:szCs w:val="24"/>
          <w:highlight w:val="none"/>
          <w:lang w:val="en-US" w:eastAsia="zh-CN"/>
        </w:rPr>
        <w:t>供应商</w:t>
      </w:r>
      <w:r>
        <w:rPr>
          <w:rFonts w:hint="eastAsia" w:ascii="仿宋" w:hAnsi="仿宋" w:eastAsia="仿宋" w:cs="仿宋"/>
          <w:color w:val="auto"/>
          <w:sz w:val="24"/>
          <w:szCs w:val="24"/>
          <w:highlight w:val="none"/>
        </w:rPr>
        <w:t xml:space="preserve">的工程档案资料必须按要求及时收集、汇总、整理。由此造成的费用增加，由供应商在报价时自行考虑。 </w:t>
      </w:r>
    </w:p>
    <w:p w14:paraId="1E16E3EA">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3.3 工程竣工后，成交</w:t>
      </w:r>
      <w:r>
        <w:rPr>
          <w:rFonts w:hint="eastAsia" w:ascii="仿宋" w:hAnsi="仿宋" w:eastAsia="仿宋" w:cs="仿宋"/>
          <w:color w:val="auto"/>
          <w:kern w:val="0"/>
          <w:sz w:val="24"/>
          <w:szCs w:val="24"/>
          <w:highlight w:val="none"/>
          <w:lang w:val="en-US" w:eastAsia="zh-CN"/>
        </w:rPr>
        <w:t>供应商</w:t>
      </w:r>
      <w:r>
        <w:rPr>
          <w:rFonts w:hint="eastAsia" w:ascii="仿宋" w:hAnsi="仿宋" w:eastAsia="仿宋" w:cs="仿宋"/>
          <w:color w:val="auto"/>
          <w:sz w:val="24"/>
          <w:szCs w:val="24"/>
          <w:highlight w:val="none"/>
        </w:rPr>
        <w:t xml:space="preserve">应按要求编制并提交完整的竣工资料及竣工图纸（原件及电子文档）给采购人存档。 </w:t>
      </w:r>
    </w:p>
    <w:p w14:paraId="47F27CA1">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textAlignment w:val="auto"/>
        <w:rPr>
          <w:rFonts w:hint="eastAsia" w:ascii="仿宋" w:hAnsi="仿宋" w:eastAsia="仿宋" w:cs="仿宋"/>
          <w:b/>
          <w:bCs/>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 xml:space="preserve">十、其他要求及说明 </w:t>
      </w:r>
    </w:p>
    <w:p w14:paraId="104556E0">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工程实施过程中不得擅自变更工程建设内容、规模、标准。</w:t>
      </w:r>
      <w:r>
        <w:rPr>
          <w:rFonts w:hint="eastAsia" w:ascii="仿宋" w:hAnsi="仿宋" w:eastAsia="仿宋" w:cs="仿宋"/>
          <w:color w:val="auto"/>
          <w:sz w:val="24"/>
          <w:szCs w:val="24"/>
          <w:highlight w:val="none"/>
          <w:lang w:val="en-US" w:eastAsia="zh-CN"/>
        </w:rPr>
        <w:t>当</w:t>
      </w:r>
      <w:r>
        <w:rPr>
          <w:rFonts w:hint="eastAsia" w:ascii="仿宋" w:hAnsi="仿宋" w:eastAsia="仿宋" w:cs="仿宋"/>
          <w:color w:val="auto"/>
          <w:sz w:val="24"/>
          <w:szCs w:val="24"/>
          <w:highlight w:val="none"/>
        </w:rPr>
        <w:t>发生工程变更、工程量增减时，由采购人进行审核</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未经审批擅自实施的工程量不予计量和支付。</w:t>
      </w:r>
    </w:p>
    <w:p w14:paraId="38E70AEA">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本工程成交后不得转包，否则作违约处理，视情节追究供应商及供应商法定代表人责任，并承担相应的商务损失。驻场施工管理人员必须与成交</w:t>
      </w:r>
      <w:r>
        <w:rPr>
          <w:rFonts w:hint="eastAsia" w:ascii="仿宋" w:hAnsi="仿宋" w:eastAsia="仿宋" w:cs="仿宋"/>
          <w:color w:val="auto"/>
          <w:sz w:val="24"/>
          <w:szCs w:val="24"/>
          <w:highlight w:val="none"/>
          <w:lang w:val="en-US" w:eastAsia="zh-CN"/>
        </w:rPr>
        <w:t>供应商</w:t>
      </w:r>
      <w:r>
        <w:rPr>
          <w:rFonts w:hint="eastAsia" w:ascii="仿宋" w:hAnsi="仿宋" w:eastAsia="仿宋" w:cs="仿宋"/>
          <w:color w:val="auto"/>
          <w:sz w:val="24"/>
          <w:szCs w:val="24"/>
          <w:highlight w:val="none"/>
        </w:rPr>
        <w:t xml:space="preserve">响应文件中承诺投放的驻场施工管理人员一致，如要变更，须经采购人同意后方可变更，变更后的人员须与原人员的主要条件一致。项目负责人原则上不得变更，如要变更，须提供书面函说明理由并经采购人核实同意后方可进行变更。未经采购人同意擅自变更人员的，采购人有权取消其成交资格并上报相关主管部门。 </w:t>
      </w:r>
    </w:p>
    <w:p w14:paraId="7AC01525">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本工程的项目负责人，必须在现场实施全过程、全方位的施工管理，不得承担其他工程项目的管理工作。项目施工驻场到场项目管理人员（项目负责人）必须与成交</w:t>
      </w:r>
      <w:r>
        <w:rPr>
          <w:rFonts w:hint="eastAsia" w:ascii="仿宋" w:hAnsi="仿宋" w:eastAsia="仿宋" w:cs="仿宋"/>
          <w:color w:val="auto"/>
          <w:sz w:val="24"/>
          <w:szCs w:val="24"/>
          <w:highlight w:val="none"/>
          <w:lang w:val="en-US" w:eastAsia="zh-CN"/>
        </w:rPr>
        <w:t>供应商</w:t>
      </w:r>
      <w:r>
        <w:rPr>
          <w:rFonts w:hint="eastAsia" w:ascii="仿宋" w:hAnsi="仿宋" w:eastAsia="仿宋" w:cs="仿宋"/>
          <w:color w:val="auto"/>
          <w:sz w:val="24"/>
          <w:szCs w:val="24"/>
          <w:highlight w:val="none"/>
        </w:rPr>
        <w:t>响应文件中所承诺投放的驻场施工管理人员（项目负责人）一致，驻场时需提供身份证供采购人查验。在采购人组织的不定期检查中，若发现违反有关规定的，在采购人提出整改要求后，若没有及时改进的，情节严重的采购人有权单方解除施工合同。成交</w:t>
      </w:r>
      <w:r>
        <w:rPr>
          <w:rFonts w:hint="eastAsia" w:ascii="仿宋" w:hAnsi="仿宋" w:eastAsia="仿宋" w:cs="仿宋"/>
          <w:color w:val="auto"/>
          <w:sz w:val="24"/>
          <w:szCs w:val="24"/>
          <w:highlight w:val="none"/>
          <w:lang w:val="en-US" w:eastAsia="zh-CN"/>
        </w:rPr>
        <w:t>供应商</w:t>
      </w:r>
      <w:r>
        <w:rPr>
          <w:rFonts w:hint="eastAsia" w:ascii="仿宋" w:hAnsi="仿宋" w:eastAsia="仿宋" w:cs="仿宋"/>
          <w:color w:val="auto"/>
          <w:sz w:val="24"/>
          <w:szCs w:val="24"/>
          <w:highlight w:val="none"/>
        </w:rPr>
        <w:t>应承担相应的商务责任。</w:t>
      </w:r>
    </w:p>
    <w:p w14:paraId="61F14C76">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4.本工程为水库除险加固工程，供应商中标后须编制专项施工方案及汛期施工度汛方案，严格服从水库调度运行管理，确保工程度汛安全，汛期施工风险由承包人自行承担。</w:t>
      </w:r>
    </w:p>
    <w:p w14:paraId="32E6D428">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textAlignment w:val="auto"/>
        <w:rPr>
          <w:rFonts w:hint="eastAsia" w:ascii="仿宋" w:hAnsi="仿宋" w:eastAsia="仿宋" w:cs="仿宋"/>
          <w:b/>
          <w:bCs/>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十一、其他需要说明的事项</w:t>
      </w:r>
    </w:p>
    <w:p w14:paraId="370FA2F8">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1.现场踏勘：采购人不另行组织对本项目实施现场踏勘，供应商可以自行踏勘，费用与安全自行负责。</w:t>
      </w:r>
    </w:p>
    <w:p w14:paraId="517AEFA5">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2.对于上述项目要求，供应商应在响应文件中进行回应，作出承诺及说明。</w:t>
      </w:r>
    </w:p>
    <w:p w14:paraId="3CC1F60F">
      <w:pPr>
        <w:keepNext w:val="0"/>
        <w:keepLines w:val="0"/>
        <w:pageBreakBefore w:val="0"/>
        <w:widowControl w:val="0"/>
        <w:kinsoku/>
        <w:wordWrap/>
        <w:overflowPunct/>
        <w:topLinePunct w:val="0"/>
        <w:autoSpaceDE/>
        <w:autoSpaceDN/>
        <w:bidi w:val="0"/>
        <w:spacing w:line="460" w:lineRule="exact"/>
        <w:textAlignment w:val="auto"/>
        <w:rPr>
          <w:rFonts w:hint="eastAsia" w:ascii="仿宋" w:hAnsi="仿宋" w:eastAsia="仿宋" w:cs="仿宋"/>
          <w:b/>
          <w:bCs/>
          <w:color w:val="auto"/>
          <w:sz w:val="24"/>
          <w:szCs w:val="24"/>
          <w:highlight w:val="none"/>
          <w:lang w:bidi="ar"/>
        </w:rPr>
      </w:pPr>
    </w:p>
    <w:p w14:paraId="7862DFCE">
      <w:pPr>
        <w:keepNext w:val="0"/>
        <w:keepLines w:val="0"/>
        <w:pageBreakBefore w:val="0"/>
        <w:widowControl w:val="0"/>
        <w:kinsoku/>
        <w:wordWrap/>
        <w:overflowPunct/>
        <w:topLinePunct w:val="0"/>
        <w:autoSpaceDE/>
        <w:autoSpaceDN/>
        <w:bidi w:val="0"/>
        <w:adjustRightInd/>
        <w:snapToGrid/>
        <w:spacing w:line="460" w:lineRule="exact"/>
        <w:textAlignment w:val="auto"/>
      </w:pPr>
      <w:r>
        <w:rPr>
          <w:rFonts w:hint="eastAsia" w:ascii="仿宋" w:hAnsi="仿宋" w:eastAsia="仿宋" w:cs="仿宋"/>
          <w:b/>
          <w:bCs/>
          <w:color w:val="auto"/>
          <w:sz w:val="24"/>
          <w:szCs w:val="24"/>
          <w:highlight w:val="none"/>
          <w:lang w:bidi="ar"/>
        </w:rPr>
        <w:t>注：对本次采购涉及有关国家或省内有最新的法规或政策文件出台的，按最新的政策执行。</w:t>
      </w:r>
    </w:p>
    <w:sectPr>
      <w:pgSz w:w="11906" w:h="16838"/>
      <w:pgMar w:top="1440" w:right="1474" w:bottom="1440"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96288C"/>
    <w:rsid w:val="669628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1</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2026-09-28T06:38:00Z</dcterms:created>
  <dc:creator>批注者</dc:creator>
  <cp:lastModifiedBy>批注者</cp:lastModifiedBy>
  <dcterms:modified xsi:type="dcterms:W3CDTF">2026-09-28T06:39:56Z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EE27537133964B6BB38D1F64628B81E7_11</vt:lpwstr>
  </property>
  <property fmtid="{D5CDD505-2E9C-101B-9397-08002B2CF9AE}" pid="4" name="KSOTemplateDocerSaveRecord">
    <vt:lpwstr>eyJoZGlkIjoiZDc4NzRiMjBlZDVmMzY5NzU0MTIzYjZlYWMxOTcwN2QiLCJ1c2VySWQiOiIxNDQ1ODk3MTcwIn0=</vt:lpwstr>
  </property>
</Properties>
</file>