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B8144">
      <w:pPr>
        <w:pStyle w:val="22"/>
        <w:ind w:firstLine="0" w:firstLineChars="0"/>
        <w:jc w:val="center"/>
        <w:rPr>
          <w:rFonts w:hAnsi="宋体"/>
          <w:b/>
          <w:sz w:val="84"/>
          <w:szCs w:val="84"/>
        </w:rPr>
      </w:pPr>
    </w:p>
    <w:p w14:paraId="4DDAE3F5">
      <w:pPr>
        <w:pStyle w:val="22"/>
        <w:ind w:firstLine="0" w:firstLineChars="0"/>
        <w:jc w:val="center"/>
        <w:rPr>
          <w:rFonts w:hAnsi="宋体"/>
          <w:b/>
          <w:bCs/>
          <w:sz w:val="84"/>
          <w:szCs w:val="84"/>
        </w:rPr>
      </w:pPr>
      <w:r>
        <w:rPr>
          <w:rFonts w:hint="eastAsia" w:hAnsi="宋体"/>
          <w:b/>
          <w:sz w:val="84"/>
          <w:szCs w:val="84"/>
        </w:rPr>
        <w:t>政府采购</w:t>
      </w:r>
    </w:p>
    <w:p w14:paraId="24CEE74B">
      <w:pPr>
        <w:pStyle w:val="22"/>
        <w:adjustRightInd w:val="0"/>
        <w:snapToGrid w:val="0"/>
        <w:ind w:firstLine="0" w:firstLineChars="0"/>
        <w:jc w:val="center"/>
        <w:rPr>
          <w:rFonts w:hAnsi="宋体"/>
          <w:b/>
          <w:sz w:val="84"/>
          <w:szCs w:val="84"/>
        </w:rPr>
      </w:pPr>
      <w:r>
        <w:rPr>
          <w:rFonts w:hint="eastAsia" w:hAnsi="宋体"/>
          <w:b/>
          <w:sz w:val="84"/>
          <w:szCs w:val="84"/>
        </w:rPr>
        <w:t>竞争性磋商文件</w:t>
      </w:r>
    </w:p>
    <w:p w14:paraId="2129D6CB">
      <w:pPr>
        <w:pStyle w:val="22"/>
        <w:adjustRightInd w:val="0"/>
        <w:snapToGrid w:val="0"/>
        <w:spacing w:before="156" w:beforeLines="50"/>
        <w:ind w:left="846" w:leftChars="403" w:firstLine="157" w:firstLineChars="49"/>
        <w:rPr>
          <w:b/>
          <w:sz w:val="32"/>
          <w:szCs w:val="32"/>
        </w:rPr>
      </w:pPr>
    </w:p>
    <w:p w14:paraId="5BF71723">
      <w:pPr>
        <w:pStyle w:val="22"/>
        <w:tabs>
          <w:tab w:val="left" w:pos="3080"/>
        </w:tabs>
        <w:adjustRightInd w:val="0"/>
        <w:snapToGrid w:val="0"/>
        <w:ind w:left="2878" w:leftChars="456" w:right="-395" w:rightChars="-188" w:hanging="1920" w:hangingChars="600"/>
        <w:jc w:val="left"/>
        <w:rPr>
          <w:rFonts w:hint="eastAsia" w:hAnsi="宋体" w:eastAsia="宋体"/>
          <w:sz w:val="32"/>
          <w:szCs w:val="32"/>
          <w:lang w:eastAsia="zh-CN"/>
        </w:rPr>
      </w:pPr>
      <w:r>
        <w:rPr>
          <w:rFonts w:hint="eastAsia" w:hAnsi="宋体"/>
          <w:sz w:val="32"/>
          <w:szCs w:val="32"/>
        </w:rPr>
        <w:t>采购项目名称：</w:t>
      </w:r>
      <w:r>
        <w:rPr>
          <w:rFonts w:hint="eastAsia" w:hAnsi="宋体"/>
          <w:sz w:val="32"/>
          <w:szCs w:val="32"/>
          <w:u w:val="single"/>
          <w:lang w:eastAsia="zh-CN"/>
        </w:rPr>
        <w:t>湖南省湘阴县石英砂、卵石矿调查评价工作服务项目</w:t>
      </w:r>
    </w:p>
    <w:p w14:paraId="23D4D7CF">
      <w:pPr>
        <w:pStyle w:val="22"/>
        <w:tabs>
          <w:tab w:val="left" w:pos="3080"/>
        </w:tabs>
        <w:adjustRightInd w:val="0"/>
        <w:snapToGrid w:val="0"/>
        <w:ind w:left="2878" w:leftChars="456" w:right="-395" w:rightChars="-188" w:hanging="1920" w:hangingChars="600"/>
        <w:jc w:val="left"/>
        <w:rPr>
          <w:rFonts w:hint="eastAsia" w:hAnsi="宋体" w:eastAsia="宋体"/>
          <w:sz w:val="32"/>
          <w:szCs w:val="32"/>
          <w:lang w:eastAsia="zh-CN"/>
        </w:rPr>
      </w:pPr>
      <w:r>
        <w:rPr>
          <w:rFonts w:hint="eastAsia" w:hAnsi="宋体"/>
          <w:sz w:val="32"/>
          <w:szCs w:val="32"/>
        </w:rPr>
        <w:t>采   购   人：</w:t>
      </w:r>
      <w:r>
        <w:rPr>
          <w:rFonts w:hint="eastAsia" w:hAnsi="宋体"/>
          <w:sz w:val="32"/>
          <w:szCs w:val="32"/>
          <w:u w:val="single"/>
          <w:lang w:eastAsia="zh-CN"/>
        </w:rPr>
        <w:t>湘阴县自然资源局</w:t>
      </w:r>
    </w:p>
    <w:p w14:paraId="104999BA">
      <w:pPr>
        <w:pStyle w:val="22"/>
        <w:tabs>
          <w:tab w:val="left" w:pos="3080"/>
        </w:tabs>
        <w:adjustRightInd w:val="0"/>
        <w:snapToGrid w:val="0"/>
        <w:ind w:left="2878" w:leftChars="456" w:right="-395" w:rightChars="-188" w:hanging="1920" w:hangingChars="600"/>
        <w:jc w:val="left"/>
        <w:rPr>
          <w:rFonts w:hint="default" w:hAnsi="宋体" w:eastAsia="宋体"/>
          <w:sz w:val="32"/>
          <w:szCs w:val="32"/>
          <w:lang w:val="en-US" w:eastAsia="zh-CN"/>
        </w:rPr>
      </w:pPr>
      <w:r>
        <w:rPr>
          <w:rFonts w:hint="eastAsia" w:hAnsi="宋体"/>
          <w:sz w:val="32"/>
          <w:szCs w:val="32"/>
        </w:rPr>
        <w:t>政府采购编号：</w:t>
      </w:r>
      <w:r>
        <w:rPr>
          <w:rFonts w:hint="eastAsia" w:hAnsi="宋体"/>
          <w:sz w:val="32"/>
          <w:szCs w:val="32"/>
          <w:u w:val="single"/>
          <w:lang w:val="en-US" w:eastAsia="zh-CN"/>
        </w:rPr>
        <w:t>CGXM2026430624000005</w:t>
      </w:r>
    </w:p>
    <w:p w14:paraId="3C4A5ADF">
      <w:pPr>
        <w:pStyle w:val="22"/>
        <w:tabs>
          <w:tab w:val="left" w:pos="3080"/>
        </w:tabs>
        <w:adjustRightInd w:val="0"/>
        <w:snapToGrid w:val="0"/>
        <w:ind w:left="2878" w:leftChars="456" w:right="-395" w:rightChars="-188" w:hanging="1920" w:hangingChars="600"/>
        <w:jc w:val="left"/>
        <w:rPr>
          <w:rFonts w:hAnsi="宋体"/>
          <w:sz w:val="32"/>
          <w:szCs w:val="32"/>
        </w:rPr>
      </w:pPr>
      <w:r>
        <w:rPr>
          <w:rFonts w:hint="eastAsia" w:hAnsi="宋体"/>
          <w:sz w:val="32"/>
          <w:szCs w:val="32"/>
        </w:rPr>
        <w:t>委托代理编号：</w:t>
      </w:r>
      <w:r>
        <w:rPr>
          <w:rFonts w:hint="eastAsia" w:hAnsi="宋体"/>
          <w:sz w:val="32"/>
          <w:szCs w:val="32"/>
          <w:u w:val="single"/>
          <w:lang w:val="en-US" w:eastAsia="zh-CN"/>
        </w:rPr>
        <w:t>HNQZ-XY-2026005</w:t>
      </w:r>
      <w:r>
        <w:rPr>
          <w:rFonts w:hint="eastAsia" w:hAnsi="宋体"/>
          <w:sz w:val="32"/>
          <w:szCs w:val="32"/>
        </w:rPr>
        <w:t xml:space="preserve"> </w:t>
      </w:r>
    </w:p>
    <w:p w14:paraId="1CEE89F0">
      <w:pPr>
        <w:pStyle w:val="22"/>
        <w:tabs>
          <w:tab w:val="left" w:pos="3080"/>
        </w:tabs>
        <w:adjustRightInd w:val="0"/>
        <w:snapToGrid w:val="0"/>
        <w:ind w:left="2878" w:leftChars="456" w:right="-395" w:rightChars="-188" w:hanging="1920" w:hangingChars="600"/>
        <w:jc w:val="left"/>
        <w:rPr>
          <w:rFonts w:hAnsi="宋体"/>
          <w:sz w:val="32"/>
          <w:szCs w:val="32"/>
          <w:u w:val="single"/>
        </w:rPr>
      </w:pPr>
      <w:r>
        <w:rPr>
          <w:rFonts w:hint="eastAsia" w:hAnsi="宋体"/>
          <w:sz w:val="32"/>
          <w:szCs w:val="32"/>
        </w:rPr>
        <w:t>采购代理机构：</w:t>
      </w:r>
      <w:r>
        <w:rPr>
          <w:rFonts w:hint="eastAsia" w:hAnsi="宋体"/>
          <w:sz w:val="32"/>
          <w:szCs w:val="32"/>
          <w:u w:val="single"/>
        </w:rPr>
        <w:t>湖南全至工程咨询有限公司</w:t>
      </w:r>
    </w:p>
    <w:p w14:paraId="1FEFCB57">
      <w:pPr>
        <w:pStyle w:val="22"/>
        <w:adjustRightInd w:val="0"/>
        <w:snapToGrid w:val="0"/>
        <w:spacing w:before="156" w:beforeLines="50"/>
        <w:ind w:firstLine="948" w:firstLineChars="295"/>
        <w:rPr>
          <w:b/>
          <w:sz w:val="32"/>
          <w:szCs w:val="32"/>
        </w:rPr>
      </w:pPr>
    </w:p>
    <w:p w14:paraId="39454139">
      <w:pPr>
        <w:pStyle w:val="22"/>
        <w:adjustRightInd w:val="0"/>
        <w:snapToGrid w:val="0"/>
        <w:ind w:firstLine="643"/>
        <w:jc w:val="center"/>
        <w:rPr>
          <w:rFonts w:ascii="仿宋_GB2312" w:hAnsi="宋体" w:eastAsia="仿宋_GB2312"/>
          <w:b/>
          <w:sz w:val="32"/>
        </w:rPr>
      </w:pPr>
    </w:p>
    <w:p w14:paraId="5E9A3446">
      <w:pPr>
        <w:pStyle w:val="22"/>
        <w:adjustRightInd w:val="0"/>
        <w:snapToGrid w:val="0"/>
        <w:ind w:firstLine="643"/>
        <w:jc w:val="center"/>
        <w:rPr>
          <w:rFonts w:ascii="仿宋_GB2312" w:hAnsi="宋体" w:eastAsia="仿宋_GB2312"/>
          <w:b/>
          <w:sz w:val="32"/>
        </w:rPr>
      </w:pPr>
    </w:p>
    <w:p w14:paraId="05B5FD16">
      <w:pPr>
        <w:pStyle w:val="22"/>
        <w:adjustRightInd w:val="0"/>
        <w:snapToGrid w:val="0"/>
        <w:ind w:firstLine="562"/>
        <w:jc w:val="center"/>
        <w:rPr>
          <w:rFonts w:hAnsi="宋体"/>
          <w:b/>
          <w:sz w:val="28"/>
          <w:szCs w:val="20"/>
        </w:rPr>
      </w:pPr>
      <w:r>
        <w:rPr>
          <w:rFonts w:hint="eastAsia" w:hAnsi="宋体"/>
          <w:b/>
          <w:sz w:val="28"/>
          <w:szCs w:val="20"/>
        </w:rPr>
        <w:t>2026年0</w:t>
      </w:r>
      <w:r>
        <w:rPr>
          <w:rFonts w:hint="eastAsia" w:hAnsi="宋体"/>
          <w:b/>
          <w:sz w:val="28"/>
          <w:szCs w:val="20"/>
          <w:lang w:val="en-US" w:eastAsia="zh-CN"/>
        </w:rPr>
        <w:t>7</w:t>
      </w:r>
      <w:r>
        <w:rPr>
          <w:rFonts w:hint="eastAsia" w:hAnsi="宋体"/>
          <w:b/>
          <w:sz w:val="28"/>
          <w:szCs w:val="20"/>
        </w:rPr>
        <w:t>月</w:t>
      </w:r>
    </w:p>
    <w:p w14:paraId="2596C1E3">
      <w:pPr>
        <w:pStyle w:val="22"/>
        <w:adjustRightInd w:val="0"/>
        <w:snapToGrid w:val="0"/>
        <w:ind w:firstLine="0" w:firstLineChars="0"/>
        <w:rPr>
          <w:rFonts w:ascii="Times New Roman" w:hAnsi="Times New Roman" w:cs="Times New Roman"/>
          <w:b/>
          <w:sz w:val="32"/>
        </w:rPr>
      </w:pPr>
    </w:p>
    <w:p w14:paraId="5431D5D6">
      <w:pPr>
        <w:pStyle w:val="22"/>
        <w:adjustRightInd w:val="0"/>
        <w:snapToGrid w:val="0"/>
        <w:ind w:firstLine="643"/>
        <w:jc w:val="center"/>
        <w:rPr>
          <w:rFonts w:ascii="Times New Roman" w:hAnsi="Times New Roman" w:cs="Times New Roman"/>
          <w:b/>
          <w:sz w:val="32"/>
        </w:rPr>
      </w:pPr>
    </w:p>
    <w:p w14:paraId="6E2C17BB">
      <w:pPr>
        <w:pStyle w:val="22"/>
        <w:adjustRightInd w:val="0"/>
        <w:snapToGrid w:val="0"/>
        <w:ind w:firstLine="643"/>
        <w:jc w:val="center"/>
        <w:rPr>
          <w:rFonts w:ascii="Times New Roman" w:hAnsi="Times New Roman" w:cs="Times New Roman"/>
          <w:b/>
          <w:sz w:val="32"/>
        </w:rPr>
      </w:pPr>
    </w:p>
    <w:p w14:paraId="481B9528">
      <w:pPr>
        <w:spacing w:line="240" w:lineRule="auto"/>
        <w:ind w:firstLine="0" w:firstLineChars="0"/>
        <w:jc w:val="cente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567" w:footer="567" w:gutter="0"/>
          <w:pgNumType w:start="1"/>
          <w:cols w:space="720" w:num="1"/>
          <w:docGrid w:type="lines" w:linePitch="312" w:charSpace="0"/>
        </w:sectPr>
      </w:pPr>
    </w:p>
    <w:sdt>
      <w:sdtPr>
        <w:rPr>
          <w:rFonts w:hAnsi="Courier New" w:cs="Courier New"/>
          <w:szCs w:val="21"/>
        </w:rPr>
        <w:id w:val="147473734"/>
        <w:docPartObj>
          <w:docPartGallery w:val="Table of Contents"/>
          <w:docPartUnique/>
        </w:docPartObj>
      </w:sdtPr>
      <w:sdtEndPr>
        <w:rPr>
          <w:rFonts w:ascii="Times New Roman" w:hAnsi="Times New Roman" w:cs="Times New Roman"/>
          <w:szCs w:val="21"/>
        </w:rPr>
      </w:sdtEndPr>
      <w:sdtContent>
        <w:p w14:paraId="4B314429">
          <w:pPr>
            <w:spacing w:line="240" w:lineRule="auto"/>
            <w:ind w:firstLine="0" w:firstLineChars="0"/>
            <w:jc w:val="center"/>
            <w:rPr>
              <w:rFonts w:ascii="Times New Roman" w:hAnsi="Times New Roman" w:eastAsia="华文中宋" w:cs="Times New Roman"/>
              <w:b/>
              <w:bCs/>
              <w:sz w:val="36"/>
              <w:szCs w:val="36"/>
            </w:rPr>
          </w:pPr>
          <w:r>
            <w:rPr>
              <w:rFonts w:ascii="Times New Roman" w:hAnsi="Times New Roman" w:eastAsia="华文中宋" w:cs="Times New Roman"/>
              <w:b/>
              <w:bCs/>
              <w:sz w:val="36"/>
              <w:szCs w:val="36"/>
            </w:rPr>
            <w:t>目录</w:t>
          </w:r>
        </w:p>
        <w:p w14:paraId="23006FED">
          <w:pPr>
            <w:pStyle w:val="29"/>
            <w:tabs>
              <w:tab w:val="right" w:leader="dot" w:pos="8844"/>
            </w:tabs>
            <w:ind w:firstLine="482"/>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"1-3" \h \u </w:instrText>
          </w:r>
          <w:r>
            <w:rPr>
              <w:rFonts w:hint="eastAsia" w:ascii="黑体" w:hAnsi="黑体" w:eastAsia="黑体" w:cs="黑体"/>
              <w:sz w:val="24"/>
              <w:szCs w:val="24"/>
            </w:rPr>
            <w:fldChar w:fldCharType="separate"/>
          </w:r>
          <w:r>
            <w:fldChar w:fldCharType="begin"/>
          </w:r>
          <w:r>
            <w:instrText xml:space="preserve"> HYPERLINK \l "_Toc23701" </w:instrText>
          </w:r>
          <w:r>
            <w:fldChar w:fldCharType="separate"/>
          </w:r>
          <w:r>
            <w:rPr>
              <w:rFonts w:hint="eastAsia" w:ascii="黑体" w:hAnsi="黑体" w:eastAsia="黑体" w:cs="黑体"/>
              <w:bCs/>
              <w:szCs w:val="32"/>
            </w:rPr>
            <w:t>第一章 磋商邀请</w:t>
          </w:r>
          <w:r>
            <w:tab/>
          </w:r>
          <w:r>
            <w:fldChar w:fldCharType="begin"/>
          </w:r>
          <w:r>
            <w:instrText xml:space="preserve"> PAGEREF _Toc23701 \h </w:instrText>
          </w:r>
          <w:r>
            <w:fldChar w:fldCharType="separate"/>
          </w:r>
          <w:r>
            <w:t>4</w:t>
          </w:r>
          <w:r>
            <w:fldChar w:fldCharType="end"/>
          </w:r>
          <w:r>
            <w:fldChar w:fldCharType="end"/>
          </w:r>
        </w:p>
        <w:p w14:paraId="6DBF9D7D">
          <w:pPr>
            <w:pStyle w:val="35"/>
            <w:tabs>
              <w:tab w:val="right" w:leader="dot" w:pos="8844"/>
            </w:tabs>
          </w:pPr>
          <w:r>
            <w:fldChar w:fldCharType="begin"/>
          </w:r>
          <w:r>
            <w:instrText xml:space="preserve"> HYPERLINK \l "_Toc16360" </w:instrText>
          </w:r>
          <w:r>
            <w:fldChar w:fldCharType="separate"/>
          </w:r>
          <w:r>
            <w:rPr>
              <w:rFonts w:hint="eastAsia" w:ascii="黑体" w:hAnsi="黑体" w:eastAsia="黑体" w:cs="黑体"/>
              <w:bCs/>
              <w:szCs w:val="22"/>
            </w:rPr>
            <w:t>一、项目概况</w:t>
          </w:r>
          <w:r>
            <w:tab/>
          </w:r>
          <w:r>
            <w:fldChar w:fldCharType="begin"/>
          </w:r>
          <w:r>
            <w:instrText xml:space="preserve"> PAGEREF _Toc16360 \h </w:instrText>
          </w:r>
          <w:r>
            <w:fldChar w:fldCharType="separate"/>
          </w:r>
          <w:r>
            <w:t>4</w:t>
          </w:r>
          <w:r>
            <w:fldChar w:fldCharType="end"/>
          </w:r>
          <w:r>
            <w:fldChar w:fldCharType="end"/>
          </w:r>
        </w:p>
        <w:p w14:paraId="5733524F">
          <w:pPr>
            <w:pStyle w:val="35"/>
            <w:tabs>
              <w:tab w:val="right" w:leader="dot" w:pos="8844"/>
            </w:tabs>
          </w:pPr>
          <w:r>
            <w:fldChar w:fldCharType="begin"/>
          </w:r>
          <w:r>
            <w:instrText xml:space="preserve"> HYPERLINK \l "_Toc13500" </w:instrText>
          </w:r>
          <w:r>
            <w:fldChar w:fldCharType="separate"/>
          </w:r>
          <w:r>
            <w:rPr>
              <w:rFonts w:hint="eastAsia" w:ascii="黑体" w:hAnsi="黑体" w:eastAsia="黑体" w:cs="黑体"/>
              <w:bCs/>
              <w:szCs w:val="22"/>
            </w:rPr>
            <w:t>二、采购人的采购需求</w:t>
          </w:r>
          <w:r>
            <w:tab/>
          </w:r>
          <w:r>
            <w:fldChar w:fldCharType="begin"/>
          </w:r>
          <w:r>
            <w:instrText xml:space="preserve"> PAGEREF _Toc13500 \h </w:instrText>
          </w:r>
          <w:r>
            <w:fldChar w:fldCharType="separate"/>
          </w:r>
          <w:r>
            <w:t>4</w:t>
          </w:r>
          <w:r>
            <w:fldChar w:fldCharType="end"/>
          </w:r>
          <w:r>
            <w:fldChar w:fldCharType="end"/>
          </w:r>
        </w:p>
        <w:p w14:paraId="3F470B75">
          <w:pPr>
            <w:pStyle w:val="35"/>
            <w:tabs>
              <w:tab w:val="right" w:leader="dot" w:pos="8844"/>
            </w:tabs>
          </w:pPr>
          <w:r>
            <w:fldChar w:fldCharType="begin"/>
          </w:r>
          <w:r>
            <w:instrText xml:space="preserve"> HYPERLINK \l "_Toc2697" </w:instrText>
          </w:r>
          <w:r>
            <w:fldChar w:fldCharType="separate"/>
          </w:r>
          <w:r>
            <w:rPr>
              <w:rFonts w:hint="eastAsia" w:ascii="黑体" w:hAnsi="黑体" w:eastAsia="黑体" w:cs="黑体"/>
              <w:bCs/>
              <w:szCs w:val="22"/>
            </w:rPr>
            <w:t>三、采购项目需落实的政府采购政策</w:t>
          </w:r>
          <w:r>
            <w:tab/>
          </w:r>
          <w:r>
            <w:fldChar w:fldCharType="begin"/>
          </w:r>
          <w:r>
            <w:instrText xml:space="preserve"> PAGEREF _Toc2697 \h </w:instrText>
          </w:r>
          <w:r>
            <w:fldChar w:fldCharType="separate"/>
          </w:r>
          <w:r>
            <w:t>4</w:t>
          </w:r>
          <w:r>
            <w:fldChar w:fldCharType="end"/>
          </w:r>
          <w:r>
            <w:fldChar w:fldCharType="end"/>
          </w:r>
        </w:p>
        <w:p w14:paraId="18E41653">
          <w:pPr>
            <w:pStyle w:val="35"/>
            <w:tabs>
              <w:tab w:val="right" w:leader="dot" w:pos="8844"/>
            </w:tabs>
          </w:pPr>
          <w:r>
            <w:fldChar w:fldCharType="begin"/>
          </w:r>
          <w:r>
            <w:instrText xml:space="preserve"> HYPERLINK \l "_Toc31283" </w:instrText>
          </w:r>
          <w:r>
            <w:fldChar w:fldCharType="separate"/>
          </w:r>
          <w:r>
            <w:rPr>
              <w:rFonts w:hint="eastAsia" w:ascii="黑体" w:hAnsi="黑体" w:eastAsia="黑体" w:cs="黑体"/>
              <w:bCs/>
              <w:szCs w:val="22"/>
            </w:rPr>
            <w:t>四、供应商的资格要求</w:t>
          </w:r>
          <w:r>
            <w:tab/>
          </w:r>
          <w:r>
            <w:fldChar w:fldCharType="begin"/>
          </w:r>
          <w:r>
            <w:instrText xml:space="preserve"> PAGEREF _Toc31283 \h </w:instrText>
          </w:r>
          <w:r>
            <w:fldChar w:fldCharType="separate"/>
          </w:r>
          <w:r>
            <w:t>4</w:t>
          </w:r>
          <w:r>
            <w:fldChar w:fldCharType="end"/>
          </w:r>
          <w:r>
            <w:fldChar w:fldCharType="end"/>
          </w:r>
        </w:p>
        <w:p w14:paraId="1DADD8E0">
          <w:pPr>
            <w:pStyle w:val="35"/>
            <w:tabs>
              <w:tab w:val="right" w:leader="dot" w:pos="8844"/>
            </w:tabs>
          </w:pPr>
          <w:r>
            <w:fldChar w:fldCharType="begin"/>
          </w:r>
          <w:r>
            <w:instrText xml:space="preserve"> HYPERLINK \l "_Toc28213" </w:instrText>
          </w:r>
          <w:r>
            <w:fldChar w:fldCharType="separate"/>
          </w:r>
          <w:r>
            <w:rPr>
              <w:rFonts w:hint="eastAsia" w:ascii="黑体" w:hAnsi="黑体" w:eastAsia="黑体" w:cs="黑体"/>
              <w:bCs/>
              <w:szCs w:val="22"/>
            </w:rPr>
            <w:t>五、获取招标文件的时间、期限、地点及方式</w:t>
          </w:r>
          <w:r>
            <w:tab/>
          </w:r>
          <w:r>
            <w:fldChar w:fldCharType="begin"/>
          </w:r>
          <w:r>
            <w:instrText xml:space="preserve"> PAGEREF _Toc28213 \h </w:instrText>
          </w:r>
          <w:r>
            <w:fldChar w:fldCharType="separate"/>
          </w:r>
          <w:r>
            <w:t>5</w:t>
          </w:r>
          <w:r>
            <w:fldChar w:fldCharType="end"/>
          </w:r>
          <w:r>
            <w:fldChar w:fldCharType="end"/>
          </w:r>
        </w:p>
        <w:p w14:paraId="72BF015E">
          <w:pPr>
            <w:pStyle w:val="35"/>
            <w:tabs>
              <w:tab w:val="right" w:leader="dot" w:pos="8844"/>
            </w:tabs>
          </w:pPr>
          <w:r>
            <w:fldChar w:fldCharType="begin"/>
          </w:r>
          <w:r>
            <w:instrText xml:space="preserve"> HYPERLINK \l "_Toc18077" </w:instrText>
          </w:r>
          <w:r>
            <w:fldChar w:fldCharType="separate"/>
          </w:r>
          <w:r>
            <w:rPr>
              <w:rFonts w:hint="eastAsia" w:ascii="黑体" w:hAnsi="黑体" w:eastAsia="黑体" w:cs="黑体"/>
              <w:bCs/>
              <w:szCs w:val="22"/>
            </w:rPr>
            <w:t>六、投标截止时间、开标时间及地点</w:t>
          </w:r>
          <w:r>
            <w:tab/>
          </w:r>
          <w:r>
            <w:fldChar w:fldCharType="begin"/>
          </w:r>
          <w:r>
            <w:instrText xml:space="preserve"> PAGEREF _Toc18077 \h </w:instrText>
          </w:r>
          <w:r>
            <w:fldChar w:fldCharType="separate"/>
          </w:r>
          <w:r>
            <w:t>5</w:t>
          </w:r>
          <w:r>
            <w:fldChar w:fldCharType="end"/>
          </w:r>
          <w:r>
            <w:fldChar w:fldCharType="end"/>
          </w:r>
        </w:p>
        <w:p w14:paraId="528F8F7E">
          <w:pPr>
            <w:pStyle w:val="35"/>
            <w:tabs>
              <w:tab w:val="right" w:leader="dot" w:pos="8844"/>
            </w:tabs>
          </w:pPr>
          <w:r>
            <w:fldChar w:fldCharType="begin"/>
          </w:r>
          <w:r>
            <w:instrText xml:space="preserve"> HYPERLINK \l "_Toc26571" </w:instrText>
          </w:r>
          <w:r>
            <w:fldChar w:fldCharType="separate"/>
          </w:r>
          <w:r>
            <w:rPr>
              <w:rFonts w:hint="eastAsia" w:ascii="黑体" w:hAnsi="黑体" w:eastAsia="黑体" w:cs="黑体"/>
              <w:bCs/>
              <w:szCs w:val="22"/>
            </w:rPr>
            <w:t>七、公告期限</w:t>
          </w:r>
          <w:r>
            <w:tab/>
          </w:r>
          <w:r>
            <w:fldChar w:fldCharType="begin"/>
          </w:r>
          <w:r>
            <w:instrText xml:space="preserve"> PAGEREF _Toc26571 \h </w:instrText>
          </w:r>
          <w:r>
            <w:fldChar w:fldCharType="separate"/>
          </w:r>
          <w:r>
            <w:t>5</w:t>
          </w:r>
          <w:r>
            <w:fldChar w:fldCharType="end"/>
          </w:r>
          <w:r>
            <w:fldChar w:fldCharType="end"/>
          </w:r>
        </w:p>
        <w:p w14:paraId="07EF797F">
          <w:pPr>
            <w:pStyle w:val="35"/>
            <w:tabs>
              <w:tab w:val="right" w:leader="dot" w:pos="8844"/>
            </w:tabs>
          </w:pPr>
          <w:r>
            <w:fldChar w:fldCharType="begin"/>
          </w:r>
          <w:r>
            <w:instrText xml:space="preserve"> HYPERLINK \l "_Toc28162" </w:instrText>
          </w:r>
          <w:r>
            <w:fldChar w:fldCharType="separate"/>
          </w:r>
          <w:r>
            <w:rPr>
              <w:rFonts w:hint="eastAsia" w:ascii="黑体" w:hAnsi="黑体" w:eastAsia="黑体" w:cs="黑体"/>
              <w:bCs/>
              <w:szCs w:val="22"/>
            </w:rPr>
            <w:t>八、询问及质疑</w:t>
          </w:r>
          <w:r>
            <w:tab/>
          </w:r>
          <w:r>
            <w:fldChar w:fldCharType="begin"/>
          </w:r>
          <w:r>
            <w:instrText xml:space="preserve"> PAGEREF _Toc28162 \h </w:instrText>
          </w:r>
          <w:r>
            <w:fldChar w:fldCharType="separate"/>
          </w:r>
          <w:r>
            <w:t>6</w:t>
          </w:r>
          <w:r>
            <w:fldChar w:fldCharType="end"/>
          </w:r>
          <w:r>
            <w:fldChar w:fldCharType="end"/>
          </w:r>
        </w:p>
        <w:p w14:paraId="3C10B4F3">
          <w:pPr>
            <w:pStyle w:val="35"/>
            <w:tabs>
              <w:tab w:val="right" w:leader="dot" w:pos="8844"/>
            </w:tabs>
          </w:pPr>
          <w:r>
            <w:fldChar w:fldCharType="begin"/>
          </w:r>
          <w:r>
            <w:instrText xml:space="preserve"> HYPERLINK \l "_Toc9038" </w:instrText>
          </w:r>
          <w:r>
            <w:fldChar w:fldCharType="separate"/>
          </w:r>
          <w:r>
            <w:rPr>
              <w:rFonts w:hint="eastAsia" w:ascii="黑体" w:hAnsi="黑体" w:eastAsia="黑体" w:cs="黑体"/>
              <w:bCs/>
              <w:szCs w:val="22"/>
            </w:rPr>
            <w:t>九、投标说明</w:t>
          </w:r>
          <w:r>
            <w:tab/>
          </w:r>
          <w:r>
            <w:fldChar w:fldCharType="begin"/>
          </w:r>
          <w:r>
            <w:instrText xml:space="preserve"> PAGEREF _Toc9038 \h </w:instrText>
          </w:r>
          <w:r>
            <w:fldChar w:fldCharType="separate"/>
          </w:r>
          <w:r>
            <w:t>6</w:t>
          </w:r>
          <w:r>
            <w:fldChar w:fldCharType="end"/>
          </w:r>
          <w:r>
            <w:fldChar w:fldCharType="end"/>
          </w:r>
        </w:p>
        <w:p w14:paraId="5D12AEA4">
          <w:pPr>
            <w:pStyle w:val="35"/>
            <w:tabs>
              <w:tab w:val="right" w:leader="dot" w:pos="8844"/>
            </w:tabs>
          </w:pPr>
          <w:r>
            <w:fldChar w:fldCharType="begin"/>
          </w:r>
          <w:r>
            <w:instrText xml:space="preserve"> HYPERLINK \l "_Toc23558" </w:instrText>
          </w:r>
          <w:r>
            <w:fldChar w:fldCharType="separate"/>
          </w:r>
          <w:r>
            <w:rPr>
              <w:rFonts w:hint="eastAsia" w:ascii="黑体" w:hAnsi="黑体" w:eastAsia="黑体" w:cs="黑体"/>
              <w:bCs/>
              <w:szCs w:val="22"/>
            </w:rPr>
            <w:t>十、采购项目联系人姓名和电话</w:t>
          </w:r>
          <w:r>
            <w:tab/>
          </w:r>
          <w:r>
            <w:fldChar w:fldCharType="begin"/>
          </w:r>
          <w:r>
            <w:instrText xml:space="preserve"> PAGEREF _Toc23558 \h </w:instrText>
          </w:r>
          <w:r>
            <w:fldChar w:fldCharType="separate"/>
          </w:r>
          <w:r>
            <w:t>6</w:t>
          </w:r>
          <w:r>
            <w:fldChar w:fldCharType="end"/>
          </w:r>
          <w:r>
            <w:fldChar w:fldCharType="end"/>
          </w:r>
        </w:p>
        <w:p w14:paraId="1AAD370C">
          <w:pPr>
            <w:pStyle w:val="35"/>
            <w:tabs>
              <w:tab w:val="right" w:leader="dot" w:pos="8844"/>
            </w:tabs>
          </w:pPr>
          <w:r>
            <w:fldChar w:fldCharType="begin"/>
          </w:r>
          <w:r>
            <w:instrText xml:space="preserve"> HYPERLINK \l "_Toc22200" </w:instrText>
          </w:r>
          <w:r>
            <w:fldChar w:fldCharType="separate"/>
          </w:r>
          <w:r>
            <w:rPr>
              <w:rFonts w:hint="eastAsia" w:ascii="黑体" w:hAnsi="黑体" w:eastAsia="黑体" w:cs="黑体"/>
              <w:bCs/>
              <w:szCs w:val="22"/>
            </w:rPr>
            <w:t>十一、采购人、采购代理机构的名称、地址和联系方法</w:t>
          </w:r>
          <w:r>
            <w:tab/>
          </w:r>
          <w:r>
            <w:fldChar w:fldCharType="begin"/>
          </w:r>
          <w:r>
            <w:instrText xml:space="preserve"> PAGEREF _Toc22200 \h </w:instrText>
          </w:r>
          <w:r>
            <w:fldChar w:fldCharType="separate"/>
          </w:r>
          <w:r>
            <w:t>6</w:t>
          </w:r>
          <w:r>
            <w:fldChar w:fldCharType="end"/>
          </w:r>
          <w:r>
            <w:fldChar w:fldCharType="end"/>
          </w:r>
        </w:p>
        <w:p w14:paraId="6592014C">
          <w:pPr>
            <w:pStyle w:val="29"/>
            <w:tabs>
              <w:tab w:val="right" w:leader="dot" w:pos="8844"/>
            </w:tabs>
            <w:ind w:firstLine="561"/>
          </w:pPr>
          <w:r>
            <w:fldChar w:fldCharType="begin"/>
          </w:r>
          <w:r>
            <w:instrText xml:space="preserve"> HYPERLINK \l "_Toc11261" </w:instrText>
          </w:r>
          <w:r>
            <w:fldChar w:fldCharType="separate"/>
          </w:r>
          <w:r>
            <w:rPr>
              <w:rFonts w:ascii="黑体" w:hAnsi="黑体" w:eastAsia="黑体" w:cs="黑体"/>
              <w:bCs/>
              <w:szCs w:val="32"/>
            </w:rPr>
            <w:t>第二章 磋商须知</w:t>
          </w:r>
          <w:r>
            <w:tab/>
          </w:r>
          <w:r>
            <w:fldChar w:fldCharType="begin"/>
          </w:r>
          <w:r>
            <w:instrText xml:space="preserve"> PAGEREF _Toc11261 \h </w:instrText>
          </w:r>
          <w:r>
            <w:fldChar w:fldCharType="separate"/>
          </w:r>
          <w:r>
            <w:t>7</w:t>
          </w:r>
          <w:r>
            <w:fldChar w:fldCharType="end"/>
          </w:r>
          <w:r>
            <w:fldChar w:fldCharType="end"/>
          </w:r>
        </w:p>
        <w:p w14:paraId="2528AD21">
          <w:pPr>
            <w:pStyle w:val="35"/>
            <w:tabs>
              <w:tab w:val="right" w:leader="dot" w:pos="8844"/>
            </w:tabs>
          </w:pPr>
          <w:r>
            <w:fldChar w:fldCharType="begin"/>
          </w:r>
          <w:r>
            <w:instrText xml:space="preserve"> HYPERLINK \l "_Toc77" </w:instrText>
          </w:r>
          <w:r>
            <w:fldChar w:fldCharType="separate"/>
          </w:r>
          <w:r>
            <w:rPr>
              <w:rFonts w:hint="eastAsia" w:ascii="黑体" w:hAnsi="黑体" w:eastAsia="黑体" w:cs="黑体"/>
              <w:bCs/>
              <w:szCs w:val="28"/>
            </w:rPr>
            <w:t>第一节 磋商须知前附表</w:t>
          </w:r>
          <w:r>
            <w:tab/>
          </w:r>
          <w:r>
            <w:fldChar w:fldCharType="begin"/>
          </w:r>
          <w:r>
            <w:instrText xml:space="preserve"> PAGEREF _Toc77 \h </w:instrText>
          </w:r>
          <w:r>
            <w:fldChar w:fldCharType="separate"/>
          </w:r>
          <w:r>
            <w:t>7</w:t>
          </w:r>
          <w:r>
            <w:fldChar w:fldCharType="end"/>
          </w:r>
          <w:r>
            <w:fldChar w:fldCharType="end"/>
          </w:r>
        </w:p>
        <w:p w14:paraId="790CB918">
          <w:pPr>
            <w:pStyle w:val="21"/>
            <w:tabs>
              <w:tab w:val="right" w:leader="dot" w:pos="8844"/>
            </w:tabs>
          </w:pPr>
          <w:r>
            <w:fldChar w:fldCharType="begin"/>
          </w:r>
          <w:r>
            <w:instrText xml:space="preserve"> HYPERLINK \l "_Toc23156" </w:instrText>
          </w:r>
          <w:r>
            <w:fldChar w:fldCharType="separate"/>
          </w:r>
          <w:r>
            <w:rPr>
              <w:rFonts w:hint="eastAsia"/>
              <w:szCs w:val="21"/>
            </w:rPr>
            <w:t xml:space="preserve">附页1 </w:t>
          </w:r>
          <w:r>
            <w:rPr>
              <w:rFonts w:hint="eastAsia"/>
            </w:rPr>
            <w:t>资格审查表</w:t>
          </w:r>
          <w:r>
            <w:tab/>
          </w:r>
          <w:r>
            <w:fldChar w:fldCharType="begin"/>
          </w:r>
          <w:r>
            <w:instrText xml:space="preserve"> PAGEREF _Toc23156 \h </w:instrText>
          </w:r>
          <w:r>
            <w:fldChar w:fldCharType="separate"/>
          </w:r>
          <w:r>
            <w:t>11</w:t>
          </w:r>
          <w:r>
            <w:fldChar w:fldCharType="end"/>
          </w:r>
          <w:r>
            <w:fldChar w:fldCharType="end"/>
          </w:r>
        </w:p>
        <w:p w14:paraId="70D314E4">
          <w:pPr>
            <w:pStyle w:val="21"/>
            <w:tabs>
              <w:tab w:val="right" w:leader="dot" w:pos="8844"/>
            </w:tabs>
          </w:pPr>
          <w:r>
            <w:fldChar w:fldCharType="begin"/>
          </w:r>
          <w:r>
            <w:instrText xml:space="preserve"> HYPERLINK \l "_Toc3182" </w:instrText>
          </w:r>
          <w:r>
            <w:fldChar w:fldCharType="separate"/>
          </w:r>
          <w:r>
            <w:rPr>
              <w:rFonts w:hint="eastAsia"/>
              <w:szCs w:val="21"/>
            </w:rPr>
            <w:t xml:space="preserve">附页2 </w:t>
          </w:r>
          <w:r>
            <w:rPr>
              <w:rFonts w:hint="eastAsia"/>
            </w:rPr>
            <w:t>符合性检查表</w:t>
          </w:r>
          <w:r>
            <w:tab/>
          </w:r>
          <w:r>
            <w:fldChar w:fldCharType="begin"/>
          </w:r>
          <w:r>
            <w:instrText xml:space="preserve"> PAGEREF _Toc3182 \h </w:instrText>
          </w:r>
          <w:r>
            <w:fldChar w:fldCharType="separate"/>
          </w:r>
          <w:r>
            <w:t>12</w:t>
          </w:r>
          <w:r>
            <w:fldChar w:fldCharType="end"/>
          </w:r>
          <w:r>
            <w:fldChar w:fldCharType="end"/>
          </w:r>
        </w:p>
        <w:p w14:paraId="42CB93A6">
          <w:pPr>
            <w:pStyle w:val="21"/>
            <w:tabs>
              <w:tab w:val="right" w:leader="dot" w:pos="8844"/>
            </w:tabs>
          </w:pPr>
          <w:r>
            <w:fldChar w:fldCharType="begin"/>
          </w:r>
          <w:r>
            <w:instrText xml:space="preserve"> HYPERLINK \l "_Toc9251" </w:instrText>
          </w:r>
          <w:r>
            <w:fldChar w:fldCharType="separate"/>
          </w:r>
          <w:r>
            <w:rPr>
              <w:rFonts w:hint="eastAsia"/>
              <w:szCs w:val="21"/>
            </w:rPr>
            <w:t>附页3</w:t>
          </w:r>
          <w:r>
            <w:rPr>
              <w:rFonts w:hint="eastAsia"/>
            </w:rPr>
            <w:t>澄清、说明、补正事项纪要表</w:t>
          </w:r>
          <w:r>
            <w:tab/>
          </w:r>
          <w:r>
            <w:fldChar w:fldCharType="begin"/>
          </w:r>
          <w:r>
            <w:instrText xml:space="preserve"> PAGEREF _Toc9251 \h </w:instrText>
          </w:r>
          <w:r>
            <w:fldChar w:fldCharType="separate"/>
          </w:r>
          <w:r>
            <w:t>12</w:t>
          </w:r>
          <w:r>
            <w:fldChar w:fldCharType="end"/>
          </w:r>
          <w:r>
            <w:fldChar w:fldCharType="end"/>
          </w:r>
        </w:p>
        <w:p w14:paraId="3F94C2EE">
          <w:pPr>
            <w:pStyle w:val="21"/>
            <w:tabs>
              <w:tab w:val="right" w:leader="dot" w:pos="8844"/>
            </w:tabs>
          </w:pPr>
          <w:r>
            <w:fldChar w:fldCharType="begin"/>
          </w:r>
          <w:r>
            <w:instrText xml:space="preserve"> HYPERLINK \l "_Toc18251" </w:instrText>
          </w:r>
          <w:r>
            <w:fldChar w:fldCharType="separate"/>
          </w:r>
          <w:r>
            <w:rPr>
              <w:rFonts w:hint="eastAsia"/>
              <w:bCs/>
              <w:szCs w:val="21"/>
            </w:rPr>
            <w:t>附页4评审因素和标准</w:t>
          </w:r>
          <w:r>
            <w:tab/>
          </w:r>
          <w:r>
            <w:fldChar w:fldCharType="begin"/>
          </w:r>
          <w:r>
            <w:instrText xml:space="preserve"> PAGEREF _Toc18251 \h </w:instrText>
          </w:r>
          <w:r>
            <w:fldChar w:fldCharType="separate"/>
          </w:r>
          <w:r>
            <w:t>13</w:t>
          </w:r>
          <w:r>
            <w:fldChar w:fldCharType="end"/>
          </w:r>
          <w:r>
            <w:fldChar w:fldCharType="end"/>
          </w:r>
        </w:p>
        <w:p w14:paraId="095DC8BF">
          <w:pPr>
            <w:pStyle w:val="35"/>
            <w:tabs>
              <w:tab w:val="right" w:leader="dot" w:pos="8844"/>
            </w:tabs>
          </w:pPr>
          <w:r>
            <w:fldChar w:fldCharType="begin"/>
          </w:r>
          <w:r>
            <w:instrText xml:space="preserve"> HYPERLINK \l "_Toc1389" </w:instrText>
          </w:r>
          <w:r>
            <w:fldChar w:fldCharType="separate"/>
          </w:r>
          <w:r>
            <w:rPr>
              <w:rFonts w:hint="eastAsia" w:ascii="黑体" w:hAnsi="黑体" w:eastAsia="黑体" w:cs="黑体"/>
              <w:szCs w:val="28"/>
            </w:rPr>
            <w:t>第二节 磋商须知正文</w:t>
          </w:r>
          <w:r>
            <w:tab/>
          </w:r>
          <w:r>
            <w:fldChar w:fldCharType="begin"/>
          </w:r>
          <w:r>
            <w:instrText xml:space="preserve"> PAGEREF _Toc1389 \h </w:instrText>
          </w:r>
          <w:r>
            <w:fldChar w:fldCharType="separate"/>
          </w:r>
          <w:r>
            <w:t>15</w:t>
          </w:r>
          <w:r>
            <w:fldChar w:fldCharType="end"/>
          </w:r>
          <w:r>
            <w:fldChar w:fldCharType="end"/>
          </w:r>
        </w:p>
        <w:p w14:paraId="5CF01776">
          <w:pPr>
            <w:pStyle w:val="21"/>
            <w:tabs>
              <w:tab w:val="right" w:leader="dot" w:pos="8844"/>
            </w:tabs>
          </w:pPr>
          <w:r>
            <w:fldChar w:fldCharType="begin"/>
          </w:r>
          <w:r>
            <w:instrText xml:space="preserve"> HYPERLINK \l "_Toc24805" </w:instrText>
          </w:r>
          <w:r>
            <w:fldChar w:fldCharType="separate"/>
          </w:r>
          <w:r>
            <w:rPr>
              <w:rFonts w:ascii="Times New Roman" w:hAnsi="Times New Roman" w:eastAsia="黑体" w:cs="Times New Roman"/>
              <w:bCs/>
              <w:szCs w:val="28"/>
            </w:rPr>
            <w:t>一、说明</w:t>
          </w:r>
          <w:r>
            <w:tab/>
          </w:r>
          <w:r>
            <w:fldChar w:fldCharType="begin"/>
          </w:r>
          <w:r>
            <w:instrText xml:space="preserve"> PAGEREF _Toc24805 \h </w:instrText>
          </w:r>
          <w:r>
            <w:fldChar w:fldCharType="separate"/>
          </w:r>
          <w:r>
            <w:t>15</w:t>
          </w:r>
          <w:r>
            <w:fldChar w:fldCharType="end"/>
          </w:r>
          <w:r>
            <w:fldChar w:fldCharType="end"/>
          </w:r>
        </w:p>
        <w:p w14:paraId="201F5339">
          <w:pPr>
            <w:pStyle w:val="21"/>
            <w:tabs>
              <w:tab w:val="right" w:leader="dot" w:pos="8844"/>
            </w:tabs>
          </w:pPr>
          <w:r>
            <w:fldChar w:fldCharType="begin"/>
          </w:r>
          <w:r>
            <w:instrText xml:space="preserve"> HYPERLINK \l "_Toc9941" </w:instrText>
          </w:r>
          <w:r>
            <w:fldChar w:fldCharType="separate"/>
          </w:r>
          <w:r>
            <w:rPr>
              <w:rFonts w:ascii="Times New Roman" w:hAnsi="Times New Roman" w:eastAsia="黑体" w:cs="Times New Roman"/>
              <w:szCs w:val="28"/>
            </w:rPr>
            <w:t>二、磋商文件</w:t>
          </w:r>
          <w:r>
            <w:tab/>
          </w:r>
          <w:r>
            <w:fldChar w:fldCharType="begin"/>
          </w:r>
          <w:r>
            <w:instrText xml:space="preserve"> PAGEREF _Toc9941 \h </w:instrText>
          </w:r>
          <w:r>
            <w:fldChar w:fldCharType="separate"/>
          </w:r>
          <w:r>
            <w:t>19</w:t>
          </w:r>
          <w:r>
            <w:fldChar w:fldCharType="end"/>
          </w:r>
          <w:r>
            <w:fldChar w:fldCharType="end"/>
          </w:r>
        </w:p>
        <w:p w14:paraId="48058F52">
          <w:pPr>
            <w:pStyle w:val="21"/>
            <w:tabs>
              <w:tab w:val="right" w:leader="dot" w:pos="8844"/>
            </w:tabs>
          </w:pPr>
          <w:r>
            <w:fldChar w:fldCharType="begin"/>
          </w:r>
          <w:r>
            <w:instrText xml:space="preserve"> HYPERLINK \l "_Toc15921" </w:instrText>
          </w:r>
          <w:r>
            <w:fldChar w:fldCharType="separate"/>
          </w:r>
          <w:r>
            <w:rPr>
              <w:rFonts w:ascii="Times New Roman" w:hAnsi="Times New Roman" w:eastAsia="黑体" w:cs="Times New Roman"/>
              <w:bCs/>
              <w:szCs w:val="28"/>
            </w:rPr>
            <w:t>三、响应文件</w:t>
          </w:r>
          <w:r>
            <w:tab/>
          </w:r>
          <w:r>
            <w:fldChar w:fldCharType="begin"/>
          </w:r>
          <w:r>
            <w:instrText xml:space="preserve"> PAGEREF _Toc15921 \h </w:instrText>
          </w:r>
          <w:r>
            <w:fldChar w:fldCharType="separate"/>
          </w:r>
          <w:r>
            <w:t>20</w:t>
          </w:r>
          <w:r>
            <w:fldChar w:fldCharType="end"/>
          </w:r>
          <w:r>
            <w:fldChar w:fldCharType="end"/>
          </w:r>
        </w:p>
        <w:p w14:paraId="2276E72F">
          <w:pPr>
            <w:pStyle w:val="21"/>
            <w:tabs>
              <w:tab w:val="right" w:leader="dot" w:pos="8844"/>
            </w:tabs>
          </w:pPr>
          <w:r>
            <w:fldChar w:fldCharType="begin"/>
          </w:r>
          <w:r>
            <w:instrText xml:space="preserve"> HYPERLINK \l "_Toc9737" </w:instrText>
          </w:r>
          <w:r>
            <w:fldChar w:fldCharType="separate"/>
          </w:r>
          <w:r>
            <w:rPr>
              <w:rFonts w:ascii="Times New Roman" w:hAnsi="Times New Roman" w:eastAsia="黑体" w:cs="Times New Roman"/>
              <w:bCs/>
              <w:szCs w:val="28"/>
            </w:rPr>
            <w:t>四、响应文件的递交</w:t>
          </w:r>
          <w:r>
            <w:tab/>
          </w:r>
          <w:r>
            <w:fldChar w:fldCharType="begin"/>
          </w:r>
          <w:r>
            <w:instrText xml:space="preserve"> PAGEREF _Toc9737 \h </w:instrText>
          </w:r>
          <w:r>
            <w:fldChar w:fldCharType="separate"/>
          </w:r>
          <w:r>
            <w:t>23</w:t>
          </w:r>
          <w:r>
            <w:fldChar w:fldCharType="end"/>
          </w:r>
          <w:r>
            <w:fldChar w:fldCharType="end"/>
          </w:r>
        </w:p>
        <w:p w14:paraId="201715E2">
          <w:pPr>
            <w:pStyle w:val="21"/>
            <w:tabs>
              <w:tab w:val="right" w:leader="dot" w:pos="8844"/>
            </w:tabs>
          </w:pPr>
          <w:r>
            <w:fldChar w:fldCharType="begin"/>
          </w:r>
          <w:r>
            <w:instrText xml:space="preserve"> HYPERLINK \l "_Toc26729" </w:instrText>
          </w:r>
          <w:r>
            <w:fldChar w:fldCharType="separate"/>
          </w:r>
          <w:r>
            <w:rPr>
              <w:rFonts w:ascii="Times New Roman" w:hAnsi="Times New Roman" w:eastAsia="黑体" w:cs="Times New Roman"/>
              <w:bCs/>
              <w:szCs w:val="28"/>
            </w:rPr>
            <w:t>五、响应文件的磋商与评审</w:t>
          </w:r>
          <w:r>
            <w:tab/>
          </w:r>
          <w:r>
            <w:fldChar w:fldCharType="begin"/>
          </w:r>
          <w:r>
            <w:instrText xml:space="preserve"> PAGEREF _Toc26729 \h </w:instrText>
          </w:r>
          <w:r>
            <w:fldChar w:fldCharType="separate"/>
          </w:r>
          <w:r>
            <w:t>23</w:t>
          </w:r>
          <w:r>
            <w:fldChar w:fldCharType="end"/>
          </w:r>
          <w:r>
            <w:fldChar w:fldCharType="end"/>
          </w:r>
        </w:p>
        <w:p w14:paraId="38664716">
          <w:pPr>
            <w:pStyle w:val="21"/>
            <w:tabs>
              <w:tab w:val="right" w:leader="dot" w:pos="8844"/>
            </w:tabs>
          </w:pPr>
          <w:r>
            <w:fldChar w:fldCharType="begin"/>
          </w:r>
          <w:r>
            <w:instrText xml:space="preserve"> HYPERLINK \l "_Toc26751" </w:instrText>
          </w:r>
          <w:r>
            <w:fldChar w:fldCharType="separate"/>
          </w:r>
          <w:r>
            <w:rPr>
              <w:rFonts w:ascii="Times New Roman" w:hAnsi="Times New Roman" w:eastAsia="黑体" w:cs="Times New Roman"/>
              <w:szCs w:val="28"/>
            </w:rPr>
            <w:t>六、成交结果信息公布与授予合同</w:t>
          </w:r>
          <w:r>
            <w:tab/>
          </w:r>
          <w:r>
            <w:fldChar w:fldCharType="begin"/>
          </w:r>
          <w:r>
            <w:instrText xml:space="preserve"> PAGEREF _Toc26751 \h </w:instrText>
          </w:r>
          <w:r>
            <w:fldChar w:fldCharType="separate"/>
          </w:r>
          <w:r>
            <w:t>28</w:t>
          </w:r>
          <w:r>
            <w:fldChar w:fldCharType="end"/>
          </w:r>
          <w:r>
            <w:fldChar w:fldCharType="end"/>
          </w:r>
        </w:p>
        <w:p w14:paraId="0B185809">
          <w:pPr>
            <w:pStyle w:val="21"/>
            <w:tabs>
              <w:tab w:val="right" w:leader="dot" w:pos="8844"/>
            </w:tabs>
          </w:pPr>
          <w:r>
            <w:fldChar w:fldCharType="begin"/>
          </w:r>
          <w:r>
            <w:instrText xml:space="preserve"> HYPERLINK \l "_Toc13259" </w:instrText>
          </w:r>
          <w:r>
            <w:fldChar w:fldCharType="separate"/>
          </w:r>
          <w:r>
            <w:rPr>
              <w:rFonts w:ascii="Times New Roman" w:hAnsi="Times New Roman" w:eastAsia="黑体" w:cs="Times New Roman"/>
              <w:szCs w:val="28"/>
            </w:rPr>
            <w:t>七、其他规定</w:t>
          </w:r>
          <w:r>
            <w:tab/>
          </w:r>
          <w:r>
            <w:fldChar w:fldCharType="begin"/>
          </w:r>
          <w:r>
            <w:instrText xml:space="preserve"> PAGEREF _Toc13259 \h </w:instrText>
          </w:r>
          <w:r>
            <w:fldChar w:fldCharType="separate"/>
          </w:r>
          <w:r>
            <w:t>29</w:t>
          </w:r>
          <w:r>
            <w:fldChar w:fldCharType="end"/>
          </w:r>
          <w:r>
            <w:fldChar w:fldCharType="end"/>
          </w:r>
        </w:p>
        <w:p w14:paraId="79A1FF75">
          <w:pPr>
            <w:pStyle w:val="29"/>
            <w:tabs>
              <w:tab w:val="right" w:leader="dot" w:pos="8844"/>
            </w:tabs>
            <w:ind w:firstLine="561"/>
          </w:pPr>
          <w:r>
            <w:fldChar w:fldCharType="begin"/>
          </w:r>
          <w:r>
            <w:instrText xml:space="preserve"> HYPERLINK \l "_Toc19377" </w:instrText>
          </w:r>
          <w:r>
            <w:fldChar w:fldCharType="separate"/>
          </w:r>
          <w:r>
            <w:rPr>
              <w:rFonts w:hint="eastAsia" w:ascii="黑体" w:hAnsi="黑体" w:eastAsia="黑体" w:cs="黑体"/>
              <w:bCs/>
              <w:szCs w:val="32"/>
            </w:rPr>
            <w:t>第三章 合同草案条款</w:t>
          </w:r>
          <w:r>
            <w:tab/>
          </w:r>
          <w:r>
            <w:fldChar w:fldCharType="begin"/>
          </w:r>
          <w:r>
            <w:instrText xml:space="preserve"> PAGEREF _Toc19377 \h </w:instrText>
          </w:r>
          <w:r>
            <w:fldChar w:fldCharType="separate"/>
          </w:r>
          <w:r>
            <w:t>30</w:t>
          </w:r>
          <w:r>
            <w:fldChar w:fldCharType="end"/>
          </w:r>
          <w:r>
            <w:fldChar w:fldCharType="end"/>
          </w:r>
        </w:p>
        <w:p w14:paraId="21F095D7">
          <w:pPr>
            <w:pStyle w:val="35"/>
            <w:tabs>
              <w:tab w:val="right" w:leader="dot" w:pos="8844"/>
            </w:tabs>
          </w:pPr>
          <w:r>
            <w:fldChar w:fldCharType="begin"/>
          </w:r>
          <w:r>
            <w:instrText xml:space="preserve"> HYPERLINK \l "_Toc16718" </w:instrText>
          </w:r>
          <w:r>
            <w:fldChar w:fldCharType="separate"/>
          </w:r>
          <w:r>
            <w:rPr>
              <w:rFonts w:hint="eastAsia" w:ascii="黑体" w:hAnsi="华文中宋" w:eastAsia="黑体"/>
              <w:szCs w:val="28"/>
            </w:rPr>
            <w:t>第一节 政府采购合同协议书</w:t>
          </w:r>
          <w:r>
            <w:tab/>
          </w:r>
          <w:r>
            <w:fldChar w:fldCharType="begin"/>
          </w:r>
          <w:r>
            <w:instrText xml:space="preserve"> PAGEREF _Toc16718 \h </w:instrText>
          </w:r>
          <w:r>
            <w:fldChar w:fldCharType="separate"/>
          </w:r>
          <w:r>
            <w:t>30</w:t>
          </w:r>
          <w:r>
            <w:fldChar w:fldCharType="end"/>
          </w:r>
          <w:r>
            <w:fldChar w:fldCharType="end"/>
          </w:r>
        </w:p>
        <w:p w14:paraId="2293036E">
          <w:pPr>
            <w:pStyle w:val="35"/>
            <w:tabs>
              <w:tab w:val="right" w:leader="dot" w:pos="8844"/>
            </w:tabs>
          </w:pPr>
          <w:r>
            <w:fldChar w:fldCharType="begin"/>
          </w:r>
          <w:r>
            <w:instrText xml:space="preserve"> HYPERLINK \l "_Toc12951" </w:instrText>
          </w:r>
          <w:r>
            <w:fldChar w:fldCharType="separate"/>
          </w:r>
          <w:r>
            <w:rPr>
              <w:rFonts w:hint="eastAsia" w:ascii="黑体" w:hAnsi="黑体" w:eastAsia="黑体"/>
              <w:szCs w:val="28"/>
            </w:rPr>
            <w:t>第二节 政府采购合同通用条款</w:t>
          </w:r>
          <w:r>
            <w:rPr>
              <w:rFonts w:hint="eastAsia" w:ascii="黑体" w:hAnsi="华文中宋" w:eastAsia="黑体" w:cs="Times New Roman"/>
              <w:szCs w:val="28"/>
            </w:rPr>
            <w:t>（货物类）</w:t>
          </w:r>
          <w:r>
            <w:tab/>
          </w:r>
          <w:r>
            <w:fldChar w:fldCharType="begin"/>
          </w:r>
          <w:r>
            <w:instrText xml:space="preserve"> PAGEREF _Toc12951 \h </w:instrText>
          </w:r>
          <w:r>
            <w:fldChar w:fldCharType="separate"/>
          </w:r>
          <w:r>
            <w:t>32</w:t>
          </w:r>
          <w:r>
            <w:fldChar w:fldCharType="end"/>
          </w:r>
          <w:r>
            <w:fldChar w:fldCharType="end"/>
          </w:r>
        </w:p>
        <w:p w14:paraId="45891646">
          <w:pPr>
            <w:pStyle w:val="35"/>
            <w:tabs>
              <w:tab w:val="right" w:leader="dot" w:pos="8844"/>
            </w:tabs>
          </w:pPr>
          <w:r>
            <w:fldChar w:fldCharType="begin"/>
          </w:r>
          <w:r>
            <w:instrText xml:space="preserve"> HYPERLINK \l "_Toc28082" </w:instrText>
          </w:r>
          <w:r>
            <w:fldChar w:fldCharType="separate"/>
          </w:r>
          <w:r>
            <w:rPr>
              <w:rFonts w:ascii="黑体" w:hAnsi="华文中宋" w:eastAsia="黑体"/>
              <w:bCs/>
              <w:szCs w:val="28"/>
            </w:rPr>
            <w:t>第三节 政府采购合同专用条款</w:t>
          </w:r>
          <w:r>
            <w:tab/>
          </w:r>
          <w:r>
            <w:fldChar w:fldCharType="begin"/>
          </w:r>
          <w:r>
            <w:instrText xml:space="preserve"> PAGEREF _Toc28082 \h </w:instrText>
          </w:r>
          <w:r>
            <w:fldChar w:fldCharType="separate"/>
          </w:r>
          <w:r>
            <w:t>33</w:t>
          </w:r>
          <w:r>
            <w:fldChar w:fldCharType="end"/>
          </w:r>
          <w:r>
            <w:fldChar w:fldCharType="end"/>
          </w:r>
        </w:p>
        <w:p w14:paraId="38BDB210">
          <w:pPr>
            <w:pStyle w:val="29"/>
            <w:tabs>
              <w:tab w:val="right" w:leader="dot" w:pos="8844"/>
            </w:tabs>
            <w:ind w:firstLine="561"/>
          </w:pPr>
          <w:r>
            <w:fldChar w:fldCharType="begin"/>
          </w:r>
          <w:r>
            <w:instrText xml:space="preserve"> HYPERLINK \l "_Toc16247" </w:instrText>
          </w:r>
          <w:r>
            <w:fldChar w:fldCharType="separate"/>
          </w:r>
          <w:r>
            <w:rPr>
              <w:rFonts w:hint="eastAsia" w:ascii="黑体" w:hAnsi="黑体" w:eastAsia="黑体" w:cs="黑体"/>
              <w:bCs/>
              <w:szCs w:val="32"/>
            </w:rPr>
            <w:t>第四章 采购需求</w:t>
          </w:r>
          <w:r>
            <w:tab/>
          </w:r>
          <w:r>
            <w:fldChar w:fldCharType="begin"/>
          </w:r>
          <w:r>
            <w:instrText xml:space="preserve"> PAGEREF _Toc16247 \h </w:instrText>
          </w:r>
          <w:r>
            <w:fldChar w:fldCharType="separate"/>
          </w:r>
          <w:r>
            <w:t>34</w:t>
          </w:r>
          <w:r>
            <w:fldChar w:fldCharType="end"/>
          </w:r>
          <w:r>
            <w:fldChar w:fldCharType="end"/>
          </w:r>
        </w:p>
        <w:p w14:paraId="15811E86">
          <w:pPr>
            <w:pStyle w:val="29"/>
            <w:tabs>
              <w:tab w:val="right" w:leader="dot" w:pos="8844"/>
            </w:tabs>
            <w:ind w:firstLine="561"/>
          </w:pPr>
          <w:r>
            <w:fldChar w:fldCharType="begin"/>
          </w:r>
          <w:r>
            <w:instrText xml:space="preserve"> HYPERLINK \l "_Toc8988" </w:instrText>
          </w:r>
          <w:r>
            <w:fldChar w:fldCharType="separate"/>
          </w:r>
          <w:r>
            <w:rPr>
              <w:rFonts w:hint="eastAsia" w:ascii="黑体" w:hAnsi="黑体" w:eastAsia="黑体" w:cs="黑体"/>
              <w:bCs/>
              <w:szCs w:val="32"/>
            </w:rPr>
            <w:t>第五章 响应文件组成</w:t>
          </w:r>
          <w:r>
            <w:tab/>
          </w:r>
          <w:r>
            <w:fldChar w:fldCharType="begin"/>
          </w:r>
          <w:r>
            <w:instrText xml:space="preserve"> PAGEREF _Toc8988 \h </w:instrText>
          </w:r>
          <w:r>
            <w:fldChar w:fldCharType="separate"/>
          </w:r>
          <w:r>
            <w:t>34</w:t>
          </w:r>
          <w:r>
            <w:fldChar w:fldCharType="end"/>
          </w:r>
          <w:r>
            <w:fldChar w:fldCharType="end"/>
          </w:r>
        </w:p>
        <w:p w14:paraId="5597053F">
          <w:pPr>
            <w:pStyle w:val="21"/>
            <w:tabs>
              <w:tab w:val="right" w:leader="dot" w:pos="8844"/>
            </w:tabs>
          </w:pPr>
          <w:r>
            <w:fldChar w:fldCharType="begin"/>
          </w:r>
          <w:r>
            <w:instrText xml:space="preserve"> HYPERLINK \l "_Toc26372" </w:instrText>
          </w:r>
          <w:r>
            <w:fldChar w:fldCharType="separate"/>
          </w:r>
          <w:r>
            <w:rPr>
              <w:rFonts w:ascii="Times New Roman" w:hAnsi="Times New Roman" w:cs="Times New Roman"/>
              <w:bCs/>
            </w:rPr>
            <w:t>索引表 符合性审查索引表</w:t>
          </w:r>
          <w:r>
            <w:tab/>
          </w:r>
          <w:r>
            <w:fldChar w:fldCharType="begin"/>
          </w:r>
          <w:r>
            <w:instrText xml:space="preserve"> PAGEREF _Toc26372 \h </w:instrText>
          </w:r>
          <w:r>
            <w:fldChar w:fldCharType="separate"/>
          </w:r>
          <w:r>
            <w:t>39</w:t>
          </w:r>
          <w:r>
            <w:fldChar w:fldCharType="end"/>
          </w:r>
          <w:r>
            <w:fldChar w:fldCharType="end"/>
          </w:r>
        </w:p>
        <w:p w14:paraId="6F2BA1F1">
          <w:pPr>
            <w:pStyle w:val="35"/>
            <w:tabs>
              <w:tab w:val="right" w:leader="dot" w:pos="8844"/>
            </w:tabs>
          </w:pPr>
          <w:r>
            <w:fldChar w:fldCharType="begin"/>
          </w:r>
          <w:r>
            <w:instrText xml:space="preserve"> HYPERLINK \l "_Toc8629" </w:instrText>
          </w:r>
          <w:r>
            <w:fldChar w:fldCharType="separate"/>
          </w:r>
          <w:r>
            <w:rPr>
              <w:rFonts w:ascii="Times New Roman" w:hAnsi="Times New Roman" w:eastAsia="黑体" w:cs="Times New Roman"/>
              <w:szCs w:val="28"/>
            </w:rPr>
            <w:t>一、磋商响应声明</w:t>
          </w:r>
          <w:r>
            <w:tab/>
          </w:r>
          <w:r>
            <w:fldChar w:fldCharType="begin"/>
          </w:r>
          <w:r>
            <w:instrText xml:space="preserve"> PAGEREF _Toc8629 \h </w:instrText>
          </w:r>
          <w:r>
            <w:fldChar w:fldCharType="separate"/>
          </w:r>
          <w:r>
            <w:t>40</w:t>
          </w:r>
          <w:r>
            <w:fldChar w:fldCharType="end"/>
          </w:r>
          <w:r>
            <w:fldChar w:fldCharType="end"/>
          </w:r>
        </w:p>
        <w:p w14:paraId="7D4082A8">
          <w:pPr>
            <w:pStyle w:val="21"/>
            <w:tabs>
              <w:tab w:val="right" w:leader="dot" w:pos="8844"/>
            </w:tabs>
          </w:pPr>
          <w:r>
            <w:fldChar w:fldCharType="begin"/>
          </w:r>
          <w:r>
            <w:instrText xml:space="preserve"> HYPERLINK \l "_Toc9624" </w:instrText>
          </w:r>
          <w:r>
            <w:fldChar w:fldCharType="separate"/>
          </w:r>
          <w:r>
            <w:rPr>
              <w:rFonts w:hint="eastAsia" w:asciiTheme="majorEastAsia" w:hAnsiTheme="majorEastAsia" w:eastAsiaTheme="majorEastAsia" w:cstheme="majorEastAsia"/>
              <w:szCs w:val="21"/>
            </w:rPr>
            <w:t>附件1-1 法定代表人（单位负责人）身份证明</w:t>
          </w:r>
          <w:r>
            <w:tab/>
          </w:r>
          <w:r>
            <w:fldChar w:fldCharType="begin"/>
          </w:r>
          <w:r>
            <w:instrText xml:space="preserve"> PAGEREF _Toc9624 \h </w:instrText>
          </w:r>
          <w:r>
            <w:fldChar w:fldCharType="separate"/>
          </w:r>
          <w:r>
            <w:t>41</w:t>
          </w:r>
          <w:r>
            <w:fldChar w:fldCharType="end"/>
          </w:r>
          <w:r>
            <w:fldChar w:fldCharType="end"/>
          </w:r>
        </w:p>
        <w:p w14:paraId="31B19E74">
          <w:pPr>
            <w:pStyle w:val="21"/>
            <w:tabs>
              <w:tab w:val="right" w:leader="dot" w:pos="8844"/>
            </w:tabs>
          </w:pPr>
          <w:r>
            <w:fldChar w:fldCharType="begin"/>
          </w:r>
          <w:r>
            <w:instrText xml:space="preserve"> HYPERLINK \l "_Toc26743" </w:instrText>
          </w:r>
          <w:r>
            <w:fldChar w:fldCharType="separate"/>
          </w:r>
          <w:r>
            <w:rPr>
              <w:rFonts w:hint="eastAsia" w:asciiTheme="minorEastAsia" w:hAnsiTheme="minorEastAsia" w:eastAsiaTheme="minorEastAsia" w:cstheme="minorEastAsia"/>
              <w:szCs w:val="21"/>
            </w:rPr>
            <w:t>附件</w:t>
          </w:r>
          <w:r>
            <w:rPr>
              <w:rFonts w:hint="eastAsia" w:asciiTheme="majorEastAsia" w:hAnsiTheme="majorEastAsia" w:eastAsiaTheme="majorEastAsia" w:cstheme="majorEastAsia"/>
              <w:szCs w:val="21"/>
            </w:rPr>
            <w:t>1-2 法定代表人</w:t>
          </w:r>
          <w:r>
            <w:rPr>
              <w:rFonts w:ascii="Times New Roman" w:hAnsi="Times New Roman" w:cs="Times New Roman"/>
              <w:kern w:val="0"/>
              <w:szCs w:val="21"/>
            </w:rPr>
            <w:t>（</w:t>
          </w:r>
          <w:r>
            <w:rPr>
              <w:rFonts w:ascii="Times New Roman" w:hAnsi="Times New Roman" w:cs="Times New Roman"/>
              <w:spacing w:val="-2"/>
              <w:kern w:val="0"/>
              <w:szCs w:val="21"/>
            </w:rPr>
            <w:t>单</w:t>
          </w:r>
          <w:r>
            <w:rPr>
              <w:rFonts w:ascii="Times New Roman" w:hAnsi="Times New Roman" w:cs="Times New Roman"/>
              <w:kern w:val="0"/>
              <w:szCs w:val="21"/>
            </w:rPr>
            <w:t>位</w:t>
          </w:r>
          <w:r>
            <w:rPr>
              <w:rFonts w:ascii="Times New Roman" w:hAnsi="Times New Roman" w:cs="Times New Roman"/>
              <w:spacing w:val="-2"/>
              <w:kern w:val="0"/>
              <w:szCs w:val="21"/>
            </w:rPr>
            <w:t>负</w:t>
          </w:r>
          <w:r>
            <w:rPr>
              <w:rFonts w:ascii="Times New Roman" w:hAnsi="Times New Roman" w:cs="Times New Roman"/>
              <w:kern w:val="0"/>
              <w:szCs w:val="21"/>
            </w:rPr>
            <w:t>责人</w:t>
          </w:r>
          <w:r>
            <w:rPr>
              <w:rFonts w:ascii="Times New Roman" w:hAnsi="Times New Roman" w:cs="Times New Roman"/>
              <w:spacing w:val="-2"/>
              <w:kern w:val="0"/>
              <w:szCs w:val="21"/>
            </w:rPr>
            <w:t>）</w:t>
          </w:r>
          <w:r>
            <w:rPr>
              <w:rFonts w:hint="eastAsia" w:asciiTheme="majorEastAsia" w:hAnsiTheme="majorEastAsia" w:eastAsiaTheme="majorEastAsia" w:cstheme="majorEastAsia"/>
              <w:szCs w:val="21"/>
            </w:rPr>
            <w:t>授权委托书</w:t>
          </w:r>
          <w:r>
            <w:tab/>
          </w:r>
          <w:r>
            <w:fldChar w:fldCharType="begin"/>
          </w:r>
          <w:r>
            <w:instrText xml:space="preserve"> PAGEREF _Toc26743 \h </w:instrText>
          </w:r>
          <w:r>
            <w:fldChar w:fldCharType="separate"/>
          </w:r>
          <w:r>
            <w:t>42</w:t>
          </w:r>
          <w:r>
            <w:fldChar w:fldCharType="end"/>
          </w:r>
          <w:r>
            <w:fldChar w:fldCharType="end"/>
          </w:r>
        </w:p>
        <w:p w14:paraId="47AE88F2">
          <w:pPr>
            <w:pStyle w:val="35"/>
            <w:tabs>
              <w:tab w:val="right" w:leader="dot" w:pos="8844"/>
            </w:tabs>
          </w:pPr>
          <w:r>
            <w:fldChar w:fldCharType="begin"/>
          </w:r>
          <w:r>
            <w:instrText xml:space="preserve"> HYPERLINK \l "_Toc13554" </w:instrText>
          </w:r>
          <w:r>
            <w:fldChar w:fldCharType="separate"/>
          </w:r>
          <w:r>
            <w:rPr>
              <w:rFonts w:ascii="Times New Roman" w:hAnsi="Times New Roman" w:eastAsia="黑体" w:cs="Times New Roman"/>
              <w:szCs w:val="28"/>
            </w:rPr>
            <w:t>二、磋商保证金缴纳证明材料</w:t>
          </w:r>
          <w:r>
            <w:tab/>
          </w:r>
          <w:r>
            <w:fldChar w:fldCharType="begin"/>
          </w:r>
          <w:r>
            <w:instrText xml:space="preserve"> PAGEREF _Toc13554 \h </w:instrText>
          </w:r>
          <w:r>
            <w:fldChar w:fldCharType="separate"/>
          </w:r>
          <w:r>
            <w:t>43</w:t>
          </w:r>
          <w:r>
            <w:fldChar w:fldCharType="end"/>
          </w:r>
          <w:r>
            <w:fldChar w:fldCharType="end"/>
          </w:r>
        </w:p>
        <w:p w14:paraId="497ADE39">
          <w:pPr>
            <w:pStyle w:val="35"/>
            <w:tabs>
              <w:tab w:val="right" w:leader="dot" w:pos="8844"/>
            </w:tabs>
          </w:pPr>
          <w:r>
            <w:fldChar w:fldCharType="begin"/>
          </w:r>
          <w:r>
            <w:instrText xml:space="preserve"> HYPERLINK \l "_Toc20012" </w:instrText>
          </w:r>
          <w:r>
            <w:fldChar w:fldCharType="separate"/>
          </w:r>
          <w:r>
            <w:rPr>
              <w:rFonts w:ascii="Times New Roman" w:hAnsi="Times New Roman" w:eastAsia="黑体" w:cs="Times New Roman"/>
              <w:szCs w:val="28"/>
            </w:rPr>
            <w:t>三、供应商的资格证明资料</w:t>
          </w:r>
          <w:r>
            <w:tab/>
          </w:r>
          <w:r>
            <w:fldChar w:fldCharType="begin"/>
          </w:r>
          <w:r>
            <w:instrText xml:space="preserve"> PAGEREF _Toc20012 \h </w:instrText>
          </w:r>
          <w:r>
            <w:fldChar w:fldCharType="separate"/>
          </w:r>
          <w:r>
            <w:t>44</w:t>
          </w:r>
          <w:r>
            <w:fldChar w:fldCharType="end"/>
          </w:r>
          <w:r>
            <w:fldChar w:fldCharType="end"/>
          </w:r>
        </w:p>
        <w:p w14:paraId="2289AB6A">
          <w:pPr>
            <w:pStyle w:val="21"/>
            <w:tabs>
              <w:tab w:val="right" w:leader="dot" w:pos="8844"/>
            </w:tabs>
          </w:pPr>
          <w:r>
            <w:fldChar w:fldCharType="begin"/>
          </w:r>
          <w:r>
            <w:instrText xml:space="preserve"> HYPERLINK \l "_Toc3243" </w:instrText>
          </w:r>
          <w:r>
            <w:fldChar w:fldCharType="separate"/>
          </w:r>
          <w:r>
            <w:rPr>
              <w:rFonts w:hint="eastAsia" w:asciiTheme="majorEastAsia" w:hAnsiTheme="majorEastAsia" w:eastAsiaTheme="majorEastAsia" w:cstheme="majorEastAsia"/>
              <w:bCs/>
              <w:szCs w:val="21"/>
            </w:rPr>
            <w:t>附件2-1 供应商基本情况表</w:t>
          </w:r>
          <w:r>
            <w:tab/>
          </w:r>
          <w:r>
            <w:fldChar w:fldCharType="begin"/>
          </w:r>
          <w:r>
            <w:instrText xml:space="preserve"> PAGEREF _Toc3243 \h </w:instrText>
          </w:r>
          <w:r>
            <w:fldChar w:fldCharType="separate"/>
          </w:r>
          <w:r>
            <w:t>44</w:t>
          </w:r>
          <w:r>
            <w:fldChar w:fldCharType="end"/>
          </w:r>
          <w:r>
            <w:fldChar w:fldCharType="end"/>
          </w:r>
        </w:p>
        <w:p w14:paraId="40271685">
          <w:pPr>
            <w:pStyle w:val="21"/>
            <w:tabs>
              <w:tab w:val="right" w:leader="dot" w:pos="8844"/>
            </w:tabs>
          </w:pPr>
          <w:r>
            <w:fldChar w:fldCharType="begin"/>
          </w:r>
          <w:r>
            <w:instrText xml:space="preserve"> HYPERLINK \l "_Toc24601" </w:instrText>
          </w:r>
          <w:r>
            <w:fldChar w:fldCharType="separate"/>
          </w:r>
          <w:r>
            <w:rPr>
              <w:rFonts w:hint="eastAsia" w:asciiTheme="majorEastAsia" w:hAnsiTheme="majorEastAsia" w:eastAsiaTheme="majorEastAsia" w:cstheme="majorEastAsia"/>
              <w:bCs/>
              <w:szCs w:val="21"/>
            </w:rPr>
            <w:t>附件2-2 磋商文件规定的基本资格条件证明资料</w:t>
          </w:r>
          <w:r>
            <w:tab/>
          </w:r>
          <w:r>
            <w:fldChar w:fldCharType="begin"/>
          </w:r>
          <w:r>
            <w:instrText xml:space="preserve"> PAGEREF _Toc24601 \h </w:instrText>
          </w:r>
          <w:r>
            <w:fldChar w:fldCharType="separate"/>
          </w:r>
          <w:r>
            <w:t>45</w:t>
          </w:r>
          <w:r>
            <w:fldChar w:fldCharType="end"/>
          </w:r>
          <w:r>
            <w:fldChar w:fldCharType="end"/>
          </w:r>
        </w:p>
        <w:p w14:paraId="008BF6D9">
          <w:pPr>
            <w:pStyle w:val="21"/>
            <w:tabs>
              <w:tab w:val="right" w:leader="dot" w:pos="8844"/>
            </w:tabs>
          </w:pPr>
          <w:r>
            <w:fldChar w:fldCharType="begin"/>
          </w:r>
          <w:r>
            <w:instrText xml:space="preserve"> HYPERLINK \l "_Toc28863" </w:instrText>
          </w:r>
          <w:r>
            <w:fldChar w:fldCharType="separate"/>
          </w:r>
          <w:r>
            <w:rPr>
              <w:rFonts w:asciiTheme="majorEastAsia" w:hAnsiTheme="majorEastAsia" w:eastAsiaTheme="majorEastAsia" w:cstheme="majorEastAsia"/>
              <w:bCs/>
              <w:szCs w:val="21"/>
            </w:rPr>
            <w:t>附件</w:t>
          </w:r>
          <w:r>
            <w:rPr>
              <w:rFonts w:hint="eastAsia" w:asciiTheme="majorEastAsia" w:hAnsiTheme="majorEastAsia" w:eastAsiaTheme="majorEastAsia" w:cstheme="majorEastAsia"/>
              <w:bCs/>
              <w:szCs w:val="21"/>
            </w:rPr>
            <w:t>2-3 湖南省政府采购供应商资格承诺函</w:t>
          </w:r>
          <w:r>
            <w:tab/>
          </w:r>
          <w:r>
            <w:fldChar w:fldCharType="begin"/>
          </w:r>
          <w:r>
            <w:instrText xml:space="preserve"> PAGEREF _Toc28863 \h </w:instrText>
          </w:r>
          <w:r>
            <w:fldChar w:fldCharType="separate"/>
          </w:r>
          <w:r>
            <w:t>46</w:t>
          </w:r>
          <w:r>
            <w:fldChar w:fldCharType="end"/>
          </w:r>
          <w:r>
            <w:fldChar w:fldCharType="end"/>
          </w:r>
        </w:p>
        <w:p w14:paraId="2E8A14F5">
          <w:pPr>
            <w:pStyle w:val="21"/>
            <w:tabs>
              <w:tab w:val="right" w:leader="dot" w:pos="8844"/>
            </w:tabs>
          </w:pPr>
          <w:r>
            <w:fldChar w:fldCharType="begin"/>
          </w:r>
          <w:r>
            <w:instrText xml:space="preserve"> HYPERLINK \l "_Toc14058" </w:instrText>
          </w:r>
          <w:r>
            <w:fldChar w:fldCharType="separate"/>
          </w:r>
          <w:r>
            <w:rPr>
              <w:rFonts w:hint="eastAsia" w:asciiTheme="majorEastAsia" w:hAnsiTheme="majorEastAsia" w:eastAsiaTheme="majorEastAsia" w:cstheme="majorEastAsia"/>
              <w:bCs/>
              <w:szCs w:val="21"/>
            </w:rPr>
            <w:t>附件2-4 磋商文件规定的特定资格条件证明资料</w:t>
          </w:r>
          <w:r>
            <w:tab/>
          </w:r>
          <w:r>
            <w:fldChar w:fldCharType="begin"/>
          </w:r>
          <w:r>
            <w:instrText xml:space="preserve"> PAGEREF _Toc14058 \h </w:instrText>
          </w:r>
          <w:r>
            <w:fldChar w:fldCharType="separate"/>
          </w:r>
          <w:r>
            <w:t>47</w:t>
          </w:r>
          <w:r>
            <w:fldChar w:fldCharType="end"/>
          </w:r>
          <w:r>
            <w:fldChar w:fldCharType="end"/>
          </w:r>
        </w:p>
        <w:p w14:paraId="01D41A56">
          <w:pPr>
            <w:pStyle w:val="21"/>
            <w:tabs>
              <w:tab w:val="right" w:leader="dot" w:pos="8844"/>
            </w:tabs>
          </w:pPr>
          <w:r>
            <w:fldChar w:fldCharType="begin"/>
          </w:r>
          <w:r>
            <w:instrText xml:space="preserve"> HYPERLINK \l "_Toc28997" </w:instrText>
          </w:r>
          <w:r>
            <w:fldChar w:fldCharType="separate"/>
          </w:r>
          <w:r>
            <w:rPr>
              <w:rFonts w:asciiTheme="majorEastAsia" w:hAnsiTheme="majorEastAsia" w:eastAsiaTheme="majorEastAsia" w:cstheme="majorEastAsia"/>
              <w:bCs/>
              <w:szCs w:val="21"/>
            </w:rPr>
            <w:t>附件</w:t>
          </w:r>
          <w:r>
            <w:rPr>
              <w:rFonts w:hint="eastAsia" w:asciiTheme="majorEastAsia" w:hAnsiTheme="majorEastAsia" w:eastAsiaTheme="majorEastAsia" w:cstheme="majorEastAsia"/>
              <w:bCs/>
              <w:szCs w:val="21"/>
            </w:rPr>
            <w:t>2-5</w:t>
          </w:r>
          <w:r>
            <w:rPr>
              <w:rFonts w:asciiTheme="majorEastAsia" w:hAnsiTheme="majorEastAsia" w:eastAsiaTheme="majorEastAsia" w:cstheme="majorEastAsia"/>
              <w:bCs/>
              <w:szCs w:val="21"/>
            </w:rPr>
            <w:t xml:space="preserve"> 其他证明资料或说明</w:t>
          </w:r>
          <w:r>
            <w:tab/>
          </w:r>
          <w:r>
            <w:fldChar w:fldCharType="begin"/>
          </w:r>
          <w:r>
            <w:instrText xml:space="preserve"> PAGEREF _Toc28997 \h </w:instrText>
          </w:r>
          <w:r>
            <w:fldChar w:fldCharType="separate"/>
          </w:r>
          <w:r>
            <w:t>47</w:t>
          </w:r>
          <w:r>
            <w:fldChar w:fldCharType="end"/>
          </w:r>
          <w:r>
            <w:fldChar w:fldCharType="end"/>
          </w:r>
        </w:p>
        <w:p w14:paraId="18CBE100">
          <w:pPr>
            <w:pStyle w:val="35"/>
            <w:tabs>
              <w:tab w:val="right" w:leader="dot" w:pos="8844"/>
            </w:tabs>
          </w:pPr>
          <w:r>
            <w:fldChar w:fldCharType="begin"/>
          </w:r>
          <w:r>
            <w:instrText xml:space="preserve"> HYPERLINK \l "_Toc31756" </w:instrText>
          </w:r>
          <w:r>
            <w:fldChar w:fldCharType="separate"/>
          </w:r>
          <w:r>
            <w:rPr>
              <w:rFonts w:hint="eastAsia" w:ascii="黑体" w:hAnsi="黑体" w:eastAsia="黑体" w:cs="黑体"/>
              <w:szCs w:val="32"/>
            </w:rPr>
            <w:t>四、施工方案</w:t>
          </w:r>
          <w:r>
            <w:tab/>
          </w:r>
          <w:r>
            <w:fldChar w:fldCharType="begin"/>
          </w:r>
          <w:r>
            <w:instrText xml:space="preserve"> PAGEREF _Toc31756 \h </w:instrText>
          </w:r>
          <w:r>
            <w:fldChar w:fldCharType="separate"/>
          </w:r>
          <w:r>
            <w:t>48</w:t>
          </w:r>
          <w:r>
            <w:fldChar w:fldCharType="end"/>
          </w:r>
          <w:r>
            <w:fldChar w:fldCharType="end"/>
          </w:r>
        </w:p>
        <w:p w14:paraId="7692EE9D">
          <w:pPr>
            <w:pStyle w:val="21"/>
            <w:tabs>
              <w:tab w:val="right" w:leader="dot" w:pos="8844"/>
            </w:tabs>
          </w:pPr>
          <w:r>
            <w:fldChar w:fldCharType="begin"/>
          </w:r>
          <w:r>
            <w:instrText xml:space="preserve"> HYPERLINK \l "_Toc19679" </w:instrText>
          </w:r>
          <w:r>
            <w:fldChar w:fldCharType="separate"/>
          </w:r>
          <w:r>
            <w:rPr>
              <w:rFonts w:hint="eastAsia" w:asciiTheme="minorEastAsia" w:hAnsiTheme="minorEastAsia" w:eastAsiaTheme="minorEastAsia" w:cstheme="minorEastAsia"/>
              <w:bCs/>
              <w:szCs w:val="21"/>
            </w:rPr>
            <w:t>附件3 主要人员简历表</w:t>
          </w:r>
          <w:r>
            <w:tab/>
          </w:r>
          <w:r>
            <w:fldChar w:fldCharType="begin"/>
          </w:r>
          <w:r>
            <w:instrText xml:space="preserve"> PAGEREF _Toc19679 \h </w:instrText>
          </w:r>
          <w:r>
            <w:fldChar w:fldCharType="separate"/>
          </w:r>
          <w:r>
            <w:t>49</w:t>
          </w:r>
          <w:r>
            <w:fldChar w:fldCharType="end"/>
          </w:r>
          <w:r>
            <w:fldChar w:fldCharType="end"/>
          </w:r>
        </w:p>
        <w:p w14:paraId="1A7842E5">
          <w:pPr>
            <w:pStyle w:val="35"/>
            <w:tabs>
              <w:tab w:val="right" w:leader="dot" w:pos="8844"/>
            </w:tabs>
          </w:pPr>
          <w:r>
            <w:fldChar w:fldCharType="begin"/>
          </w:r>
          <w:r>
            <w:instrText xml:space="preserve"> HYPERLINK \l "_Toc27359" </w:instrText>
          </w:r>
          <w:r>
            <w:fldChar w:fldCharType="separate"/>
          </w:r>
          <w:r>
            <w:rPr>
              <w:rFonts w:ascii="Times New Roman" w:hAnsi="Times New Roman" w:eastAsia="黑体" w:cs="Times New Roman"/>
              <w:szCs w:val="32"/>
            </w:rPr>
            <w:t>五、技术/商务响应与偏离表</w:t>
          </w:r>
          <w:r>
            <w:tab/>
          </w:r>
          <w:r>
            <w:fldChar w:fldCharType="begin"/>
          </w:r>
          <w:r>
            <w:instrText xml:space="preserve"> PAGEREF _Toc27359 \h </w:instrText>
          </w:r>
          <w:r>
            <w:fldChar w:fldCharType="separate"/>
          </w:r>
          <w:r>
            <w:t>51</w:t>
          </w:r>
          <w:r>
            <w:fldChar w:fldCharType="end"/>
          </w:r>
          <w:r>
            <w:fldChar w:fldCharType="end"/>
          </w:r>
        </w:p>
        <w:p w14:paraId="30A3F3E1">
          <w:pPr>
            <w:pStyle w:val="35"/>
            <w:tabs>
              <w:tab w:val="right" w:leader="dot" w:pos="8844"/>
            </w:tabs>
          </w:pPr>
          <w:r>
            <w:fldChar w:fldCharType="begin"/>
          </w:r>
          <w:r>
            <w:instrText xml:space="preserve"> HYPERLINK \l "_Toc29608" </w:instrText>
          </w:r>
          <w:r>
            <w:fldChar w:fldCharType="separate"/>
          </w:r>
          <w:r>
            <w:rPr>
              <w:rFonts w:ascii="Times New Roman" w:hAnsi="Times New Roman" w:eastAsia="黑体" w:cs="Times New Roman"/>
              <w:szCs w:val="28"/>
            </w:rPr>
            <w:t>六、享受政府采购政策优惠的证明资料</w:t>
          </w:r>
          <w:r>
            <w:tab/>
          </w:r>
          <w:r>
            <w:fldChar w:fldCharType="begin"/>
          </w:r>
          <w:r>
            <w:instrText xml:space="preserve"> PAGEREF _Toc29608 \h </w:instrText>
          </w:r>
          <w:r>
            <w:fldChar w:fldCharType="separate"/>
          </w:r>
          <w:r>
            <w:t>52</w:t>
          </w:r>
          <w:r>
            <w:fldChar w:fldCharType="end"/>
          </w:r>
          <w:r>
            <w:fldChar w:fldCharType="end"/>
          </w:r>
        </w:p>
        <w:p w14:paraId="550E8626">
          <w:pPr>
            <w:pStyle w:val="21"/>
            <w:tabs>
              <w:tab w:val="right" w:leader="dot" w:pos="8844"/>
            </w:tabs>
          </w:pPr>
          <w:r>
            <w:fldChar w:fldCharType="begin"/>
          </w:r>
          <w:r>
            <w:instrText xml:space="preserve"> HYPERLINK \l "_Toc13408" </w:instrText>
          </w:r>
          <w:r>
            <w:fldChar w:fldCharType="separate"/>
          </w:r>
          <w:r>
            <w:rPr>
              <w:rFonts w:hint="eastAsia" w:asciiTheme="majorEastAsia" w:hAnsiTheme="majorEastAsia" w:eastAsiaTheme="majorEastAsia" w:cstheme="majorEastAsia"/>
              <w:bCs/>
              <w:szCs w:val="21"/>
            </w:rPr>
            <w:t xml:space="preserve">附件4-1 </w:t>
          </w:r>
          <w:r>
            <w:rPr>
              <w:rFonts w:hint="eastAsia" w:asciiTheme="majorEastAsia" w:hAnsiTheme="majorEastAsia" w:eastAsiaTheme="majorEastAsia" w:cstheme="majorEastAsia"/>
              <w:bCs/>
              <w:spacing w:val="6"/>
              <w:kern w:val="0"/>
              <w:szCs w:val="21"/>
            </w:rPr>
            <w:t>中小企业声明函</w:t>
          </w:r>
          <w:r>
            <w:tab/>
          </w:r>
          <w:r>
            <w:fldChar w:fldCharType="begin"/>
          </w:r>
          <w:r>
            <w:instrText xml:space="preserve"> PAGEREF _Toc13408 \h </w:instrText>
          </w:r>
          <w:r>
            <w:fldChar w:fldCharType="separate"/>
          </w:r>
          <w:r>
            <w:t>52</w:t>
          </w:r>
          <w:r>
            <w:fldChar w:fldCharType="end"/>
          </w:r>
          <w:r>
            <w:fldChar w:fldCharType="end"/>
          </w:r>
        </w:p>
        <w:p w14:paraId="445FC30B">
          <w:pPr>
            <w:pStyle w:val="21"/>
            <w:tabs>
              <w:tab w:val="right" w:leader="dot" w:pos="8844"/>
            </w:tabs>
          </w:pPr>
          <w:r>
            <w:fldChar w:fldCharType="begin"/>
          </w:r>
          <w:r>
            <w:instrText xml:space="preserve"> HYPERLINK \l "_Toc5810" </w:instrText>
          </w:r>
          <w:r>
            <w:fldChar w:fldCharType="separate"/>
          </w:r>
          <w:r>
            <w:rPr>
              <w:rFonts w:asciiTheme="majorEastAsia" w:hAnsiTheme="majorEastAsia" w:eastAsiaTheme="majorEastAsia" w:cstheme="majorEastAsia"/>
              <w:bCs/>
              <w:szCs w:val="21"/>
            </w:rPr>
            <w:t>附件</w:t>
          </w:r>
          <w:r>
            <w:rPr>
              <w:rFonts w:hint="eastAsia" w:asciiTheme="majorEastAsia" w:hAnsiTheme="majorEastAsia" w:eastAsiaTheme="majorEastAsia" w:cstheme="majorEastAsia"/>
              <w:bCs/>
              <w:szCs w:val="21"/>
            </w:rPr>
            <w:t xml:space="preserve">4-2 </w:t>
          </w:r>
          <w:r>
            <w:rPr>
              <w:rFonts w:asciiTheme="majorEastAsia" w:hAnsiTheme="majorEastAsia" w:eastAsiaTheme="majorEastAsia" w:cstheme="majorEastAsia"/>
              <w:bCs/>
              <w:szCs w:val="21"/>
            </w:rPr>
            <w:t>残疾人福利性单位声明函</w:t>
          </w:r>
          <w:r>
            <w:tab/>
          </w:r>
          <w:r>
            <w:fldChar w:fldCharType="begin"/>
          </w:r>
          <w:r>
            <w:instrText xml:space="preserve"> PAGEREF _Toc5810 \h </w:instrText>
          </w:r>
          <w:r>
            <w:fldChar w:fldCharType="separate"/>
          </w:r>
          <w:r>
            <w:t>53</w:t>
          </w:r>
          <w:r>
            <w:fldChar w:fldCharType="end"/>
          </w:r>
          <w:r>
            <w:fldChar w:fldCharType="end"/>
          </w:r>
        </w:p>
        <w:p w14:paraId="2ABE4026">
          <w:pPr>
            <w:pStyle w:val="21"/>
            <w:tabs>
              <w:tab w:val="right" w:leader="dot" w:pos="8844"/>
            </w:tabs>
          </w:pPr>
          <w:r>
            <w:fldChar w:fldCharType="begin"/>
          </w:r>
          <w:r>
            <w:instrText xml:space="preserve"> HYPERLINK \l "_Toc8508" </w:instrText>
          </w:r>
          <w:r>
            <w:fldChar w:fldCharType="separate"/>
          </w:r>
          <w:r>
            <w:rPr>
              <w:rFonts w:asciiTheme="majorEastAsia" w:hAnsiTheme="majorEastAsia" w:eastAsiaTheme="majorEastAsia" w:cstheme="majorEastAsia"/>
              <w:bCs/>
              <w:szCs w:val="21"/>
            </w:rPr>
            <w:t>附件</w:t>
          </w:r>
          <w:r>
            <w:rPr>
              <w:rFonts w:hint="eastAsia" w:asciiTheme="majorEastAsia" w:hAnsiTheme="majorEastAsia" w:eastAsiaTheme="majorEastAsia" w:cstheme="majorEastAsia"/>
              <w:bCs/>
              <w:szCs w:val="21"/>
            </w:rPr>
            <w:t>4</w:t>
          </w:r>
          <w:r>
            <w:rPr>
              <w:rFonts w:asciiTheme="majorEastAsia" w:hAnsiTheme="majorEastAsia" w:eastAsiaTheme="majorEastAsia" w:cstheme="majorEastAsia"/>
              <w:bCs/>
              <w:szCs w:val="21"/>
            </w:rPr>
            <w:t>-</w:t>
          </w:r>
          <w:r>
            <w:rPr>
              <w:rFonts w:hint="eastAsia" w:asciiTheme="majorEastAsia" w:hAnsiTheme="majorEastAsia" w:eastAsiaTheme="majorEastAsia" w:cstheme="majorEastAsia"/>
              <w:bCs/>
              <w:szCs w:val="21"/>
            </w:rPr>
            <w:t xml:space="preserve">3 </w:t>
          </w:r>
          <w:r>
            <w:rPr>
              <w:rFonts w:asciiTheme="majorEastAsia" w:hAnsiTheme="majorEastAsia" w:eastAsiaTheme="majorEastAsia" w:cstheme="majorEastAsia"/>
              <w:bCs/>
              <w:szCs w:val="21"/>
            </w:rPr>
            <w:t>监狱企业证明资料</w:t>
          </w:r>
          <w:r>
            <w:tab/>
          </w:r>
          <w:r>
            <w:fldChar w:fldCharType="begin"/>
          </w:r>
          <w:r>
            <w:instrText xml:space="preserve"> PAGEREF _Toc8508 \h </w:instrText>
          </w:r>
          <w:r>
            <w:fldChar w:fldCharType="separate"/>
          </w:r>
          <w:r>
            <w:t>53</w:t>
          </w:r>
          <w:r>
            <w:fldChar w:fldCharType="end"/>
          </w:r>
          <w:r>
            <w:fldChar w:fldCharType="end"/>
          </w:r>
        </w:p>
        <w:p w14:paraId="50BD4C1D">
          <w:pPr>
            <w:pStyle w:val="21"/>
            <w:tabs>
              <w:tab w:val="right" w:leader="dot" w:pos="8844"/>
            </w:tabs>
          </w:pPr>
          <w:r>
            <w:fldChar w:fldCharType="begin"/>
          </w:r>
          <w:r>
            <w:instrText xml:space="preserve"> HYPERLINK \l "_Toc20558" </w:instrText>
          </w:r>
          <w:r>
            <w:fldChar w:fldCharType="separate"/>
          </w:r>
          <w:r>
            <w:rPr>
              <w:rFonts w:asciiTheme="majorEastAsia" w:hAnsiTheme="majorEastAsia" w:eastAsiaTheme="majorEastAsia" w:cstheme="majorEastAsia"/>
              <w:bCs/>
              <w:szCs w:val="21"/>
            </w:rPr>
            <w:t>附件</w:t>
          </w:r>
          <w:r>
            <w:rPr>
              <w:rFonts w:hint="eastAsia" w:asciiTheme="majorEastAsia" w:hAnsiTheme="majorEastAsia" w:eastAsiaTheme="majorEastAsia" w:cstheme="majorEastAsia"/>
              <w:bCs/>
              <w:szCs w:val="21"/>
            </w:rPr>
            <w:t xml:space="preserve">5-1 </w:t>
          </w:r>
          <w:r>
            <w:rPr>
              <w:rFonts w:asciiTheme="majorEastAsia" w:hAnsiTheme="majorEastAsia" w:eastAsiaTheme="majorEastAsia" w:cstheme="majorEastAsia"/>
              <w:bCs/>
              <w:szCs w:val="21"/>
            </w:rPr>
            <w:t>报价一览表</w:t>
          </w:r>
          <w:r>
            <w:tab/>
          </w:r>
          <w:r>
            <w:fldChar w:fldCharType="begin"/>
          </w:r>
          <w:r>
            <w:instrText xml:space="preserve"> PAGEREF _Toc20558 \h </w:instrText>
          </w:r>
          <w:r>
            <w:fldChar w:fldCharType="separate"/>
          </w:r>
          <w:r>
            <w:t>54</w:t>
          </w:r>
          <w:r>
            <w:fldChar w:fldCharType="end"/>
          </w:r>
          <w:r>
            <w:fldChar w:fldCharType="end"/>
          </w:r>
        </w:p>
        <w:p w14:paraId="0B683FF0">
          <w:pPr>
            <w:pStyle w:val="21"/>
            <w:tabs>
              <w:tab w:val="right" w:leader="dot" w:pos="8844"/>
            </w:tabs>
          </w:pPr>
          <w:r>
            <w:fldChar w:fldCharType="begin"/>
          </w:r>
          <w:r>
            <w:instrText xml:space="preserve"> HYPERLINK \l "_Toc28016" </w:instrText>
          </w:r>
          <w:r>
            <w:fldChar w:fldCharType="separate"/>
          </w:r>
          <w:r>
            <w:rPr>
              <w:rFonts w:hint="eastAsia"/>
              <w:bCs/>
            </w:rPr>
            <w:t>附件5-2 分项价格表</w:t>
          </w:r>
          <w:r>
            <w:tab/>
          </w:r>
          <w:r>
            <w:fldChar w:fldCharType="begin"/>
          </w:r>
          <w:r>
            <w:instrText xml:space="preserve"> PAGEREF _Toc28016 \h </w:instrText>
          </w:r>
          <w:r>
            <w:fldChar w:fldCharType="separate"/>
          </w:r>
          <w:r>
            <w:t>55</w:t>
          </w:r>
          <w:r>
            <w:fldChar w:fldCharType="end"/>
          </w:r>
          <w:r>
            <w:fldChar w:fldCharType="end"/>
          </w:r>
        </w:p>
        <w:p w14:paraId="760EE3C0">
          <w:pPr>
            <w:pStyle w:val="35"/>
            <w:tabs>
              <w:tab w:val="right" w:leader="dot" w:pos="8844"/>
            </w:tabs>
          </w:pPr>
          <w:r>
            <w:fldChar w:fldCharType="begin"/>
          </w:r>
          <w:r>
            <w:instrText xml:space="preserve"> HYPERLINK \l "_Toc5045" </w:instrText>
          </w:r>
          <w:r>
            <w:fldChar w:fldCharType="separate"/>
          </w:r>
          <w:r>
            <w:rPr>
              <w:rFonts w:ascii="Times New Roman" w:hAnsi="Times New Roman" w:eastAsia="黑体" w:cs="Times New Roman"/>
              <w:szCs w:val="28"/>
            </w:rPr>
            <w:t>八、供应商认为需要提供的其它资料</w:t>
          </w:r>
          <w:r>
            <w:tab/>
          </w:r>
          <w:r>
            <w:fldChar w:fldCharType="begin"/>
          </w:r>
          <w:r>
            <w:instrText xml:space="preserve"> PAGEREF _Toc5045 \h </w:instrText>
          </w:r>
          <w:r>
            <w:fldChar w:fldCharType="separate"/>
          </w:r>
          <w:r>
            <w:t>56</w:t>
          </w:r>
          <w:r>
            <w:fldChar w:fldCharType="end"/>
          </w:r>
          <w:r>
            <w:fldChar w:fldCharType="end"/>
          </w:r>
        </w:p>
        <w:p w14:paraId="2873CF94">
          <w:pPr>
            <w:pStyle w:val="35"/>
            <w:tabs>
              <w:tab w:val="right" w:leader="dot" w:pos="8844"/>
            </w:tabs>
          </w:pPr>
          <w:r>
            <w:fldChar w:fldCharType="begin"/>
          </w:r>
          <w:r>
            <w:instrText xml:space="preserve"> HYPERLINK \l "_Toc29144" </w:instrText>
          </w:r>
          <w:r>
            <w:fldChar w:fldCharType="separate"/>
          </w:r>
          <w:r>
            <w:rPr>
              <w:rFonts w:ascii="Times New Roman" w:hAnsi="Times New Roman" w:eastAsia="黑体" w:cs="Times New Roman"/>
              <w:spacing w:val="6"/>
              <w:kern w:val="0"/>
              <w:szCs w:val="28"/>
            </w:rPr>
            <w:t>九、最后报价</w:t>
          </w:r>
          <w:r>
            <w:tab/>
          </w:r>
          <w:r>
            <w:fldChar w:fldCharType="begin"/>
          </w:r>
          <w:r>
            <w:instrText xml:space="preserve"> PAGEREF _Toc29144 \h </w:instrText>
          </w:r>
          <w:r>
            <w:fldChar w:fldCharType="separate"/>
          </w:r>
          <w:r>
            <w:t>57</w:t>
          </w:r>
          <w:r>
            <w:fldChar w:fldCharType="end"/>
          </w:r>
          <w:r>
            <w:fldChar w:fldCharType="end"/>
          </w:r>
        </w:p>
        <w:p w14:paraId="78A9C1AB">
          <w:pPr>
            <w:pStyle w:val="22"/>
            <w:adjustRightInd w:val="0"/>
            <w:snapToGrid w:val="0"/>
            <w:ind w:firstLine="0" w:firstLineChars="0"/>
            <w:jc w:val="left"/>
            <w:rPr>
              <w:rFonts w:ascii="Times New Roman" w:hAnsi="Times New Roman" w:cs="Times New Roman"/>
              <w:b/>
              <w:sz w:val="32"/>
            </w:rPr>
          </w:pPr>
          <w:r>
            <w:rPr>
              <w:rFonts w:hint="eastAsia" w:ascii="黑体" w:hAnsi="黑体" w:eastAsia="黑体" w:cs="黑体"/>
              <w:szCs w:val="24"/>
            </w:rPr>
            <w:fldChar w:fldCharType="end"/>
          </w:r>
        </w:p>
      </w:sdtContent>
    </w:sdt>
    <w:p w14:paraId="2E16AD3E">
      <w:pPr>
        <w:ind w:firstLine="0" w:firstLineChars="0"/>
        <w:rPr>
          <w:rFonts w:ascii="Times New Roman" w:hAnsi="Times New Roman" w:cs="Times New Roman"/>
          <w:b/>
          <w:sz w:val="32"/>
        </w:rPr>
      </w:pPr>
      <w:r>
        <w:rPr>
          <w:rFonts w:ascii="Times New Roman" w:hAnsi="Times New Roman" w:cs="Times New Roman"/>
          <w:b/>
          <w:sz w:val="32"/>
        </w:rPr>
        <w:br w:type="page"/>
      </w:r>
    </w:p>
    <w:p w14:paraId="0898181D">
      <w:pPr>
        <w:keepNext/>
        <w:adjustRightInd w:val="0"/>
        <w:snapToGrid w:val="0"/>
        <w:spacing w:before="120" w:beforeLines="50"/>
        <w:ind w:firstLine="643"/>
        <w:jc w:val="center"/>
        <w:outlineLvl w:val="0"/>
        <w:rPr>
          <w:rFonts w:ascii="黑体" w:hAnsi="黑体" w:eastAsia="黑体" w:cs="黑体"/>
          <w:b/>
          <w:bCs/>
          <w:sz w:val="32"/>
          <w:szCs w:val="32"/>
        </w:rPr>
      </w:pPr>
      <w:bookmarkStart w:id="0" w:name="_Toc16674"/>
      <w:bookmarkStart w:id="1" w:name="_Toc17543"/>
      <w:bookmarkStart w:id="2" w:name="_Toc23701"/>
      <w:bookmarkStart w:id="3" w:name="_Toc3970"/>
      <w:bookmarkStart w:id="4" w:name="_Toc17038_WPSOffice_Level1"/>
      <w:bookmarkStart w:id="5" w:name="_Toc6127"/>
      <w:r>
        <w:rPr>
          <w:rFonts w:hint="eastAsia" w:ascii="黑体" w:hAnsi="黑体" w:eastAsia="黑体" w:cs="黑体"/>
          <w:b/>
          <w:bCs/>
          <w:sz w:val="32"/>
          <w:szCs w:val="32"/>
        </w:rPr>
        <w:t>第一章 磋商邀请</w:t>
      </w:r>
      <w:bookmarkEnd w:id="0"/>
      <w:bookmarkEnd w:id="1"/>
      <w:bookmarkEnd w:id="2"/>
      <w:bookmarkEnd w:id="3"/>
      <w:bookmarkEnd w:id="4"/>
      <w:bookmarkEnd w:id="5"/>
    </w:p>
    <w:p w14:paraId="621E286B">
      <w:r>
        <w:rPr>
          <w:rFonts w:hint="eastAsia"/>
          <w:lang w:eastAsia="zh-CN"/>
        </w:rPr>
        <w:t>湘阴县自然资源局</w:t>
      </w:r>
      <w:r>
        <w:rPr>
          <w:rFonts w:hint="eastAsia"/>
        </w:rPr>
        <w:t>的</w:t>
      </w:r>
      <w:r>
        <w:rPr>
          <w:rFonts w:hint="eastAsia"/>
          <w:lang w:eastAsia="zh-CN"/>
        </w:rPr>
        <w:t>湖南省湘阴县石英砂、卵石矿调查评价工作服务项目</w:t>
      </w:r>
      <w:r>
        <w:rPr>
          <w:rFonts w:hint="eastAsia"/>
        </w:rPr>
        <w:t>进行竞争性磋商采购，现采用发布公告方式，邀请符合资格条件的供应商参与竞争性磋商采购活动。</w:t>
      </w:r>
    </w:p>
    <w:p w14:paraId="454F1081">
      <w:pPr>
        <w:ind w:firstLine="442"/>
        <w:outlineLvl w:val="1"/>
        <w:rPr>
          <w:rFonts w:ascii="黑体" w:hAnsi="黑体" w:eastAsia="黑体" w:cs="黑体"/>
          <w:b/>
          <w:bCs/>
          <w:sz w:val="22"/>
          <w:szCs w:val="22"/>
        </w:rPr>
      </w:pPr>
      <w:bookmarkStart w:id="6" w:name="_Toc16360"/>
      <w:bookmarkStart w:id="7" w:name="_Toc13342"/>
      <w:bookmarkStart w:id="8" w:name="_Toc22593"/>
      <w:bookmarkStart w:id="9" w:name="_Toc6418"/>
      <w:bookmarkStart w:id="10" w:name="_Toc16103"/>
      <w:r>
        <w:rPr>
          <w:rFonts w:hint="eastAsia" w:ascii="黑体" w:hAnsi="黑体" w:eastAsia="黑体" w:cs="黑体"/>
          <w:b/>
          <w:bCs/>
          <w:sz w:val="22"/>
          <w:szCs w:val="22"/>
        </w:rPr>
        <w:t>一、项目概况</w:t>
      </w:r>
      <w:bookmarkEnd w:id="6"/>
    </w:p>
    <w:p w14:paraId="02094F99">
      <w:pPr>
        <w:widowControl/>
        <w:jc w:val="left"/>
        <w:rPr>
          <w:rFonts w:hint="eastAsia" w:eastAsia="宋体"/>
          <w:lang w:eastAsia="zh-CN"/>
        </w:rPr>
      </w:pPr>
      <w:r>
        <w:rPr>
          <w:rFonts w:hint="eastAsia"/>
          <w:color w:val="000000"/>
          <w:kern w:val="0"/>
          <w:szCs w:val="21"/>
        </w:rPr>
        <w:t>1、采购项目名称：</w:t>
      </w:r>
      <w:r>
        <w:rPr>
          <w:rFonts w:hint="eastAsia"/>
          <w:lang w:eastAsia="zh-CN"/>
        </w:rPr>
        <w:t>湖南省湘阴县石英砂、卵石矿调查评价工作服务项目</w:t>
      </w:r>
    </w:p>
    <w:p w14:paraId="28B5C224">
      <w:pPr>
        <w:widowControl/>
        <w:jc w:val="left"/>
        <w:rPr>
          <w:color w:val="000000"/>
          <w:kern w:val="0"/>
          <w:szCs w:val="21"/>
        </w:rPr>
      </w:pPr>
      <w:r>
        <w:rPr>
          <w:rFonts w:hint="eastAsia"/>
          <w:color w:val="000000"/>
          <w:kern w:val="0"/>
          <w:szCs w:val="21"/>
        </w:rPr>
        <w:t xml:space="preserve">2、政府采购计划编号：CGXM2026430624000005 </w:t>
      </w:r>
    </w:p>
    <w:p w14:paraId="1E6F8983">
      <w:pPr>
        <w:widowControl/>
        <w:jc w:val="left"/>
        <w:rPr>
          <w:color w:val="000000"/>
          <w:kern w:val="0"/>
          <w:szCs w:val="21"/>
        </w:rPr>
      </w:pPr>
      <w:r>
        <w:rPr>
          <w:rFonts w:hint="eastAsia"/>
          <w:color w:val="000000"/>
          <w:kern w:val="0"/>
          <w:szCs w:val="21"/>
        </w:rPr>
        <w:t>3、委托代理编号：HNQZ-XY-2026005</w:t>
      </w:r>
    </w:p>
    <w:p w14:paraId="7C21B76A">
      <w:pPr>
        <w:widowControl/>
        <w:jc w:val="left"/>
        <w:rPr>
          <w:color w:val="000000"/>
          <w:szCs w:val="21"/>
        </w:rPr>
      </w:pPr>
      <w:r>
        <w:rPr>
          <w:rFonts w:hint="eastAsia"/>
          <w:color w:val="000000"/>
          <w:kern w:val="0"/>
          <w:szCs w:val="21"/>
        </w:rPr>
        <w:t>4、采购项目预算：</w:t>
      </w:r>
      <w:r>
        <w:rPr>
          <w:rFonts w:hint="eastAsia"/>
          <w:color w:val="000000"/>
          <w:kern w:val="0"/>
          <w:szCs w:val="21"/>
          <w:lang w:eastAsia="zh-CN"/>
        </w:rPr>
        <w:t>538297.52</w:t>
      </w:r>
      <w:r>
        <w:rPr>
          <w:rFonts w:hint="eastAsia"/>
          <w:color w:val="000000"/>
          <w:kern w:val="0"/>
          <w:szCs w:val="21"/>
        </w:rPr>
        <w:t>元</w:t>
      </w:r>
    </w:p>
    <w:p w14:paraId="3D03E292">
      <w:pPr>
        <w:widowControl/>
        <w:jc w:val="left"/>
        <w:rPr>
          <w:color w:val="000000"/>
          <w:szCs w:val="21"/>
        </w:rPr>
      </w:pPr>
      <w:r>
        <w:rPr>
          <w:rFonts w:hint="eastAsia"/>
          <w:color w:val="000000"/>
          <w:kern w:val="0"/>
          <w:szCs w:val="21"/>
        </w:rPr>
        <w:sym w:font="Wingdings 2" w:char="0052"/>
      </w:r>
      <w:r>
        <w:rPr>
          <w:rFonts w:hint="eastAsia"/>
          <w:color w:val="000000"/>
          <w:kern w:val="0"/>
          <w:szCs w:val="21"/>
        </w:rPr>
        <w:t>支持预付款，预付比例：</w:t>
      </w:r>
      <w:r>
        <w:rPr>
          <w:rFonts w:hint="eastAsia"/>
          <w:color w:val="000000"/>
          <w:kern w:val="0"/>
          <w:szCs w:val="21"/>
          <w:lang w:val="en-US" w:eastAsia="zh-CN"/>
        </w:rPr>
        <w:t>1</w:t>
      </w:r>
      <w:r>
        <w:rPr>
          <w:rFonts w:hint="eastAsia"/>
          <w:color w:val="000000"/>
          <w:kern w:val="0"/>
          <w:szCs w:val="21"/>
        </w:rPr>
        <w:t>0%</w:t>
      </w:r>
    </w:p>
    <w:p w14:paraId="45C75D3B">
      <w:pPr>
        <w:widowControl/>
        <w:numPr>
          <w:ilvl w:val="0"/>
          <w:numId w:val="1"/>
        </w:numPr>
        <w:jc w:val="left"/>
        <w:rPr>
          <w:color w:val="000000"/>
          <w:szCs w:val="21"/>
        </w:rPr>
      </w:pPr>
      <w:r>
        <w:rPr>
          <w:rFonts w:hint="eastAsia"/>
          <w:color w:val="000000"/>
          <w:kern w:val="0"/>
          <w:szCs w:val="21"/>
        </w:rPr>
        <w:t>本项目对应的中小企业划分标准所属行业：</w:t>
      </w:r>
      <w:r>
        <w:rPr>
          <w:rFonts w:hint="eastAsia"/>
          <w:szCs w:val="21"/>
        </w:rPr>
        <w:t>其他未列明行业</w:t>
      </w:r>
    </w:p>
    <w:p w14:paraId="039C95CC">
      <w:pPr>
        <w:widowControl/>
        <w:ind w:left="420" w:leftChars="200" w:firstLine="0" w:firstLineChars="0"/>
        <w:jc w:val="left"/>
        <w:rPr>
          <w:color w:val="000000"/>
          <w:szCs w:val="21"/>
        </w:rPr>
      </w:pPr>
      <w:r>
        <w:rPr>
          <w:rFonts w:hint="eastAsia"/>
          <w:color w:val="000000"/>
          <w:kern w:val="0"/>
          <w:szCs w:val="21"/>
        </w:rPr>
        <w:t>6、评标方法：</w:t>
      </w:r>
      <w:r>
        <w:rPr>
          <w:rFonts w:hint="eastAsia"/>
          <w:color w:val="000000"/>
          <w:kern w:val="0"/>
          <w:szCs w:val="21"/>
        </w:rPr>
        <w:sym w:font="Wingdings 2" w:char="00A3"/>
      </w:r>
      <w:r>
        <w:rPr>
          <w:rFonts w:hint="eastAsia"/>
          <w:color w:val="000000"/>
          <w:kern w:val="0"/>
          <w:szCs w:val="21"/>
        </w:rPr>
        <w:t>最低价法</w:t>
      </w:r>
      <w:r>
        <w:rPr>
          <w:rFonts w:hint="eastAsia"/>
          <w:color w:val="000000"/>
          <w:kern w:val="0"/>
          <w:szCs w:val="21"/>
        </w:rPr>
        <w:sym w:font="Wingdings 2" w:char="0052"/>
      </w:r>
      <w:r>
        <w:rPr>
          <w:rFonts w:hint="eastAsia"/>
          <w:color w:val="000000"/>
          <w:kern w:val="0"/>
          <w:szCs w:val="21"/>
        </w:rPr>
        <w:t>综合评分法</w:t>
      </w:r>
    </w:p>
    <w:p w14:paraId="5E819A28">
      <w:pPr>
        <w:widowControl/>
        <w:jc w:val="left"/>
        <w:rPr>
          <w:color w:val="000000"/>
          <w:szCs w:val="21"/>
        </w:rPr>
      </w:pPr>
      <w:r>
        <w:rPr>
          <w:rFonts w:hint="eastAsia"/>
          <w:color w:val="000000"/>
          <w:kern w:val="0"/>
          <w:szCs w:val="21"/>
        </w:rPr>
        <w:t>7、合同定价方式：</w:t>
      </w:r>
      <w:r>
        <w:rPr>
          <w:rFonts w:hint="eastAsia"/>
          <w:color w:val="000000"/>
          <w:kern w:val="0"/>
          <w:szCs w:val="21"/>
        </w:rPr>
        <w:sym w:font="Wingdings 2" w:char="0052"/>
      </w:r>
      <w:r>
        <w:rPr>
          <w:rFonts w:hint="eastAsia"/>
          <w:color w:val="000000"/>
          <w:kern w:val="0"/>
          <w:szCs w:val="21"/>
        </w:rPr>
        <w:t>固定总价</w:t>
      </w:r>
      <w:r>
        <w:rPr>
          <w:rFonts w:hint="eastAsia"/>
          <w:color w:val="000000"/>
          <w:kern w:val="0"/>
          <w:szCs w:val="21"/>
        </w:rPr>
        <w:sym w:font="Wingdings 2" w:char="00A3"/>
      </w:r>
      <w:r>
        <w:rPr>
          <w:rFonts w:hint="eastAsia"/>
          <w:color w:val="000000"/>
          <w:kern w:val="0"/>
          <w:szCs w:val="21"/>
        </w:rPr>
        <w:t>固定单价</w:t>
      </w:r>
      <w:r>
        <w:rPr>
          <w:rFonts w:hint="eastAsia"/>
          <w:color w:val="000000"/>
          <w:kern w:val="0"/>
          <w:szCs w:val="21"/>
        </w:rPr>
        <w:sym w:font="Wingdings 2" w:char="00A3"/>
      </w:r>
      <w:r>
        <w:rPr>
          <w:rFonts w:hint="eastAsia"/>
          <w:color w:val="000000"/>
          <w:kern w:val="0"/>
          <w:szCs w:val="21"/>
        </w:rPr>
        <w:t>成本补偿</w:t>
      </w:r>
      <w:r>
        <w:rPr>
          <w:rFonts w:hint="eastAsia"/>
          <w:color w:val="000000"/>
          <w:kern w:val="0"/>
          <w:szCs w:val="21"/>
        </w:rPr>
        <w:sym w:font="Wingdings 2" w:char="00A3"/>
      </w:r>
      <w:r>
        <w:rPr>
          <w:rFonts w:hint="eastAsia"/>
          <w:color w:val="000000"/>
          <w:kern w:val="0"/>
          <w:szCs w:val="21"/>
        </w:rPr>
        <w:t>绩效激励</w:t>
      </w:r>
    </w:p>
    <w:p w14:paraId="40A838FD">
      <w:pPr>
        <w:widowControl/>
        <w:jc w:val="left"/>
        <w:rPr>
          <w:color w:val="000000"/>
          <w:szCs w:val="21"/>
        </w:rPr>
      </w:pPr>
      <w:r>
        <w:rPr>
          <w:rFonts w:hint="eastAsia"/>
          <w:color w:val="000000"/>
          <w:kern w:val="0"/>
          <w:szCs w:val="21"/>
        </w:rPr>
        <w:t>8、合同履行期限：</w:t>
      </w:r>
      <w:r>
        <w:rPr>
          <w:rFonts w:hint="eastAsia"/>
          <w:kern w:val="0"/>
          <w:szCs w:val="21"/>
          <w:lang w:val="en-US" w:eastAsia="zh-CN"/>
        </w:rPr>
        <w:t>详见采购需求</w:t>
      </w:r>
      <w:r>
        <w:rPr>
          <w:rFonts w:hint="eastAsia"/>
          <w:kern w:val="0"/>
          <w:szCs w:val="21"/>
        </w:rPr>
        <w:t>。</w:t>
      </w:r>
    </w:p>
    <w:p w14:paraId="0502EAC5">
      <w:pPr>
        <w:widowControl/>
        <w:jc w:val="left"/>
        <w:rPr>
          <w:color w:val="000000"/>
          <w:szCs w:val="21"/>
        </w:rPr>
      </w:pPr>
      <w:r>
        <w:rPr>
          <w:rFonts w:hint="eastAsia"/>
          <w:color w:val="000000"/>
          <w:kern w:val="0"/>
          <w:szCs w:val="21"/>
        </w:rPr>
        <w:t>9、本项目分阶段要求供应商提供以下保证：</w:t>
      </w:r>
    </w:p>
    <w:p w14:paraId="72CDEEAF">
      <w:pPr>
        <w:widowControl/>
        <w:jc w:val="left"/>
        <w:rPr>
          <w:color w:val="000000"/>
          <w:szCs w:val="21"/>
        </w:rPr>
      </w:pPr>
      <w:r>
        <w:rPr>
          <w:rFonts w:hint="eastAsia"/>
          <w:color w:val="000000"/>
          <w:kern w:val="0"/>
          <w:szCs w:val="21"/>
        </w:rPr>
        <w:sym w:font="Wingdings 2" w:char="00A3"/>
      </w:r>
      <w:r>
        <w:rPr>
          <w:rFonts w:hint="eastAsia"/>
          <w:color w:val="000000"/>
          <w:kern w:val="0"/>
          <w:szCs w:val="21"/>
        </w:rPr>
        <w:t>投标保证金：采购项目预算的%；</w:t>
      </w:r>
    </w:p>
    <w:p w14:paraId="25C8AEAE">
      <w:pPr>
        <w:widowControl/>
        <w:jc w:val="left"/>
        <w:rPr>
          <w:color w:val="000000"/>
          <w:szCs w:val="21"/>
        </w:rPr>
      </w:pPr>
      <w:r>
        <w:rPr>
          <w:rFonts w:hint="eastAsia"/>
          <w:color w:val="000000"/>
          <w:kern w:val="0"/>
          <w:szCs w:val="21"/>
        </w:rPr>
        <w:sym w:font="Wingdings 2" w:char="00A3"/>
      </w:r>
      <w:r>
        <w:rPr>
          <w:rFonts w:hint="eastAsia"/>
          <w:color w:val="000000"/>
          <w:kern w:val="0"/>
          <w:szCs w:val="21"/>
        </w:rPr>
        <w:t>履约保证金：中标金额的%；</w:t>
      </w:r>
    </w:p>
    <w:p w14:paraId="08906293">
      <w:pPr>
        <w:widowControl/>
        <w:jc w:val="left"/>
        <w:rPr>
          <w:color w:val="000000"/>
          <w:szCs w:val="21"/>
        </w:rPr>
      </w:pPr>
      <w:r>
        <w:rPr>
          <w:rFonts w:hint="eastAsia"/>
          <w:color w:val="000000"/>
          <w:kern w:val="0"/>
          <w:szCs w:val="21"/>
        </w:rPr>
        <w:sym w:font="Wingdings 2" w:char="00A3"/>
      </w:r>
      <w:r>
        <w:rPr>
          <w:rFonts w:hint="eastAsia"/>
          <w:color w:val="000000"/>
          <w:kern w:val="0"/>
          <w:szCs w:val="21"/>
        </w:rPr>
        <w:t>预付款保证金：预付款的%；</w:t>
      </w:r>
    </w:p>
    <w:p w14:paraId="3FE2B235">
      <w:pPr>
        <w:widowControl/>
        <w:jc w:val="left"/>
        <w:rPr>
          <w:color w:val="000000"/>
          <w:szCs w:val="21"/>
        </w:rPr>
      </w:pPr>
      <w:r>
        <w:rPr>
          <w:rFonts w:hint="eastAsia"/>
          <w:color w:val="000000"/>
          <w:kern w:val="0"/>
          <w:szCs w:val="21"/>
        </w:rPr>
        <w:sym w:font="Wingdings 2" w:char="00A3"/>
      </w:r>
      <w:r>
        <w:rPr>
          <w:rFonts w:hint="eastAsia"/>
          <w:color w:val="000000"/>
          <w:kern w:val="0"/>
          <w:szCs w:val="21"/>
        </w:rPr>
        <w:t>质量保证金：合同金额的%；</w:t>
      </w:r>
    </w:p>
    <w:p w14:paraId="1529A3CD">
      <w:pPr>
        <w:ind w:firstLine="442"/>
        <w:outlineLvl w:val="1"/>
        <w:rPr>
          <w:rFonts w:ascii="黑体" w:hAnsi="黑体" w:eastAsia="黑体" w:cs="黑体"/>
          <w:b/>
          <w:bCs/>
          <w:sz w:val="22"/>
          <w:szCs w:val="22"/>
        </w:rPr>
      </w:pPr>
      <w:bookmarkStart w:id="11" w:name="_Toc13500"/>
      <w:r>
        <w:rPr>
          <w:rFonts w:hint="eastAsia" w:ascii="黑体" w:hAnsi="黑体" w:eastAsia="黑体" w:cs="黑体"/>
          <w:b/>
          <w:bCs/>
          <w:sz w:val="22"/>
          <w:szCs w:val="22"/>
        </w:rPr>
        <w:t>二、采购人的采购需求</w:t>
      </w:r>
      <w:bookmarkEnd w:id="7"/>
      <w:bookmarkEnd w:id="8"/>
      <w:bookmarkEnd w:id="9"/>
      <w:bookmarkEnd w:id="10"/>
      <w:bookmarkEnd w:id="11"/>
    </w:p>
    <w:tbl>
      <w:tblPr>
        <w:tblStyle w:val="46"/>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126"/>
        <w:gridCol w:w="1430"/>
        <w:gridCol w:w="2968"/>
        <w:gridCol w:w="903"/>
        <w:gridCol w:w="865"/>
        <w:gridCol w:w="655"/>
        <w:gridCol w:w="693"/>
      </w:tblGrid>
      <w:tr w14:paraId="083D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496" w:type="dxa"/>
            <w:vAlign w:val="center"/>
          </w:tcPr>
          <w:p w14:paraId="7C59313E">
            <w:pPr>
              <w:spacing w:line="240" w:lineRule="auto"/>
              <w:ind w:firstLine="0" w:firstLineChars="0"/>
              <w:jc w:val="center"/>
            </w:pPr>
            <w:r>
              <w:rPr>
                <w:rFonts w:hint="eastAsia"/>
              </w:rPr>
              <w:t>包名称</w:t>
            </w:r>
          </w:p>
        </w:tc>
        <w:tc>
          <w:tcPr>
            <w:tcW w:w="1126" w:type="dxa"/>
            <w:vAlign w:val="center"/>
          </w:tcPr>
          <w:p w14:paraId="29B055D9">
            <w:pPr>
              <w:spacing w:line="240" w:lineRule="auto"/>
              <w:ind w:firstLine="0" w:firstLineChars="0"/>
              <w:jc w:val="center"/>
            </w:pPr>
            <w:r>
              <w:rPr>
                <w:rFonts w:hint="eastAsia"/>
              </w:rPr>
              <w:t>最高限价（元）</w:t>
            </w:r>
          </w:p>
        </w:tc>
        <w:tc>
          <w:tcPr>
            <w:tcW w:w="1430" w:type="dxa"/>
            <w:vAlign w:val="center"/>
          </w:tcPr>
          <w:p w14:paraId="3DC9DEEC">
            <w:pPr>
              <w:spacing w:line="240" w:lineRule="auto"/>
              <w:ind w:firstLine="0" w:firstLineChars="0"/>
              <w:jc w:val="center"/>
            </w:pPr>
            <w:r>
              <w:rPr>
                <w:rFonts w:hint="eastAsia"/>
              </w:rPr>
              <w:t>标的名称</w:t>
            </w:r>
          </w:p>
        </w:tc>
        <w:tc>
          <w:tcPr>
            <w:tcW w:w="2968" w:type="dxa"/>
            <w:vAlign w:val="center"/>
          </w:tcPr>
          <w:p w14:paraId="55FD74E2">
            <w:pPr>
              <w:spacing w:line="240" w:lineRule="auto"/>
              <w:ind w:firstLine="0" w:firstLineChars="0"/>
              <w:jc w:val="center"/>
            </w:pPr>
            <w:r>
              <w:rPr>
                <w:rFonts w:hint="eastAsia"/>
              </w:rPr>
              <w:t>简要技术要求</w:t>
            </w:r>
          </w:p>
        </w:tc>
        <w:tc>
          <w:tcPr>
            <w:tcW w:w="903" w:type="dxa"/>
            <w:vAlign w:val="center"/>
          </w:tcPr>
          <w:p w14:paraId="0269B4D4">
            <w:pPr>
              <w:spacing w:line="240" w:lineRule="auto"/>
              <w:ind w:firstLine="0" w:firstLineChars="0"/>
              <w:jc w:val="center"/>
            </w:pPr>
            <w:r>
              <w:rPr>
                <w:rFonts w:hint="eastAsia"/>
              </w:rPr>
              <w:t>数量（项）</w:t>
            </w:r>
          </w:p>
        </w:tc>
        <w:tc>
          <w:tcPr>
            <w:tcW w:w="865" w:type="dxa"/>
            <w:vAlign w:val="center"/>
          </w:tcPr>
          <w:p w14:paraId="14D077E5">
            <w:pPr>
              <w:spacing w:line="240" w:lineRule="auto"/>
              <w:ind w:firstLine="0" w:firstLineChars="0"/>
              <w:jc w:val="center"/>
            </w:pPr>
            <w:r>
              <w:rPr>
                <w:rFonts w:hint="eastAsia"/>
              </w:rPr>
              <w:t>标的预算（元）</w:t>
            </w:r>
          </w:p>
        </w:tc>
        <w:tc>
          <w:tcPr>
            <w:tcW w:w="655" w:type="dxa"/>
            <w:vAlign w:val="center"/>
          </w:tcPr>
          <w:p w14:paraId="28E8EBF7">
            <w:pPr>
              <w:spacing w:line="240" w:lineRule="auto"/>
              <w:ind w:firstLine="0" w:firstLineChars="0"/>
              <w:jc w:val="center"/>
            </w:pPr>
            <w:r>
              <w:rPr>
                <w:rFonts w:hint="eastAsia"/>
              </w:rPr>
              <w:t>节能产品</w:t>
            </w:r>
          </w:p>
        </w:tc>
        <w:tc>
          <w:tcPr>
            <w:tcW w:w="693" w:type="dxa"/>
            <w:vAlign w:val="center"/>
          </w:tcPr>
          <w:p w14:paraId="4800E869">
            <w:pPr>
              <w:spacing w:line="240" w:lineRule="auto"/>
              <w:ind w:firstLine="0" w:firstLineChars="0"/>
              <w:jc w:val="center"/>
            </w:pPr>
            <w:r>
              <w:rPr>
                <w:rFonts w:hint="eastAsia"/>
              </w:rPr>
              <w:t>进口产品</w:t>
            </w:r>
          </w:p>
        </w:tc>
      </w:tr>
      <w:tr w14:paraId="11D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96" w:type="dxa"/>
            <w:vAlign w:val="center"/>
          </w:tcPr>
          <w:p w14:paraId="3EFCC87B">
            <w:pPr>
              <w:spacing w:line="240" w:lineRule="auto"/>
              <w:ind w:firstLine="0" w:firstLineChars="0"/>
              <w:jc w:val="center"/>
            </w:pPr>
            <w:r>
              <w:rPr>
                <w:rFonts w:hint="eastAsia"/>
              </w:rPr>
              <w:t>包1</w:t>
            </w:r>
          </w:p>
        </w:tc>
        <w:tc>
          <w:tcPr>
            <w:tcW w:w="1126" w:type="dxa"/>
            <w:vAlign w:val="center"/>
          </w:tcPr>
          <w:p w14:paraId="309907CB">
            <w:pPr>
              <w:spacing w:line="240" w:lineRule="auto"/>
              <w:ind w:firstLine="0" w:firstLineChars="0"/>
              <w:jc w:val="center"/>
              <w:rPr>
                <w:rFonts w:hint="eastAsia" w:eastAsia="宋体"/>
                <w:lang w:eastAsia="zh-CN"/>
              </w:rPr>
            </w:pPr>
            <w:r>
              <w:rPr>
                <w:rFonts w:hint="eastAsia"/>
                <w:color w:val="000000"/>
                <w:kern w:val="0"/>
                <w:szCs w:val="21"/>
                <w:lang w:eastAsia="zh-CN"/>
              </w:rPr>
              <w:t>538297.52</w:t>
            </w:r>
          </w:p>
        </w:tc>
        <w:tc>
          <w:tcPr>
            <w:tcW w:w="1430" w:type="dxa"/>
            <w:vAlign w:val="center"/>
          </w:tcPr>
          <w:p w14:paraId="745862F3">
            <w:pPr>
              <w:spacing w:line="240" w:lineRule="auto"/>
              <w:ind w:firstLine="0" w:firstLineChars="0"/>
              <w:jc w:val="center"/>
              <w:rPr>
                <w:rFonts w:hint="eastAsia" w:eastAsia="宋体"/>
                <w:lang w:eastAsia="zh-CN"/>
              </w:rPr>
            </w:pPr>
            <w:r>
              <w:rPr>
                <w:rFonts w:hint="eastAsia"/>
                <w:lang w:eastAsia="zh-CN"/>
              </w:rPr>
              <w:t>湖南省湘阴县石英砂、卵石矿调查评价工作服务项目</w:t>
            </w:r>
          </w:p>
        </w:tc>
        <w:tc>
          <w:tcPr>
            <w:tcW w:w="2968" w:type="dxa"/>
            <w:vAlign w:val="center"/>
          </w:tcPr>
          <w:p w14:paraId="4E24BD7D">
            <w:pPr>
              <w:wordWrap w:val="0"/>
              <w:spacing w:line="240" w:lineRule="auto"/>
              <w:ind w:firstLine="0" w:firstLineChars="0"/>
              <w:jc w:val="center"/>
            </w:pPr>
            <w:r>
              <w:rPr>
                <w:rFonts w:hint="eastAsia"/>
              </w:rPr>
              <w:t>详见采购需求</w:t>
            </w:r>
          </w:p>
        </w:tc>
        <w:tc>
          <w:tcPr>
            <w:tcW w:w="903" w:type="dxa"/>
            <w:vAlign w:val="center"/>
          </w:tcPr>
          <w:p w14:paraId="2EB92636">
            <w:pPr>
              <w:spacing w:line="240" w:lineRule="auto"/>
              <w:ind w:firstLine="0" w:firstLineChars="0"/>
              <w:jc w:val="center"/>
            </w:pPr>
            <w:r>
              <w:rPr>
                <w:rFonts w:hint="eastAsia"/>
              </w:rPr>
              <w:t>1</w:t>
            </w:r>
          </w:p>
        </w:tc>
        <w:tc>
          <w:tcPr>
            <w:tcW w:w="865" w:type="dxa"/>
            <w:vAlign w:val="center"/>
          </w:tcPr>
          <w:p w14:paraId="12AE169C">
            <w:pPr>
              <w:spacing w:line="240" w:lineRule="auto"/>
              <w:ind w:firstLine="0" w:firstLineChars="0"/>
              <w:jc w:val="center"/>
              <w:rPr>
                <w:rFonts w:hint="eastAsia" w:eastAsia="宋体"/>
                <w:lang w:eastAsia="zh-CN"/>
              </w:rPr>
            </w:pPr>
            <w:r>
              <w:rPr>
                <w:rFonts w:hint="eastAsia"/>
                <w:lang w:eastAsia="zh-CN"/>
              </w:rPr>
              <w:t>538297.52</w:t>
            </w:r>
          </w:p>
        </w:tc>
        <w:tc>
          <w:tcPr>
            <w:tcW w:w="655" w:type="dxa"/>
            <w:vAlign w:val="center"/>
          </w:tcPr>
          <w:p w14:paraId="35A7D051">
            <w:pPr>
              <w:spacing w:line="240" w:lineRule="auto"/>
              <w:ind w:firstLine="0" w:firstLineChars="0"/>
              <w:jc w:val="center"/>
            </w:pPr>
            <w:r>
              <w:rPr>
                <w:rFonts w:hint="eastAsia"/>
                <w:color w:val="000000"/>
                <w:kern w:val="0"/>
                <w:szCs w:val="21"/>
              </w:rPr>
              <w:sym w:font="Wingdings 2" w:char="00A3"/>
            </w:r>
          </w:p>
        </w:tc>
        <w:tc>
          <w:tcPr>
            <w:tcW w:w="693" w:type="dxa"/>
            <w:vAlign w:val="center"/>
          </w:tcPr>
          <w:p w14:paraId="473E509D">
            <w:pPr>
              <w:spacing w:line="240" w:lineRule="auto"/>
              <w:ind w:firstLine="0" w:firstLineChars="0"/>
              <w:jc w:val="center"/>
            </w:pPr>
            <w:r>
              <w:rPr>
                <w:rFonts w:hint="eastAsia"/>
                <w:color w:val="000000"/>
                <w:kern w:val="0"/>
                <w:szCs w:val="21"/>
              </w:rPr>
              <w:sym w:font="Wingdings 2" w:char="00A3"/>
            </w:r>
          </w:p>
        </w:tc>
      </w:tr>
    </w:tbl>
    <w:p w14:paraId="074C7156">
      <w:pPr>
        <w:rPr>
          <w:szCs w:val="21"/>
        </w:rPr>
      </w:pPr>
      <w:bookmarkStart w:id="12" w:name="_Toc333"/>
      <w:bookmarkStart w:id="13" w:name="_Toc24182"/>
      <w:bookmarkStart w:id="14" w:name="_Toc12169"/>
      <w:r>
        <w:rPr>
          <w:rFonts w:hint="eastAsia"/>
          <w:szCs w:val="21"/>
        </w:rPr>
        <w:t>说明：</w:t>
      </w:r>
    </w:p>
    <w:p w14:paraId="08DA0049">
      <w:pPr>
        <w:rPr>
          <w:szCs w:val="21"/>
        </w:rPr>
      </w:pPr>
      <w:r>
        <w:rPr>
          <w:rFonts w:hint="eastAsia"/>
          <w:szCs w:val="21"/>
        </w:rPr>
        <w:t>1.节能产品实行强制采购的，需提供国家认证机构出具的、处于有效期内的节能产品证书。</w:t>
      </w:r>
    </w:p>
    <w:p w14:paraId="0D54E94F">
      <w:pPr>
        <w:rPr>
          <w:rFonts w:ascii="黑体" w:hAnsi="黑体" w:eastAsia="黑体" w:cs="黑体"/>
          <w:b/>
          <w:bCs/>
          <w:sz w:val="22"/>
          <w:szCs w:val="22"/>
        </w:rPr>
      </w:pPr>
      <w:r>
        <w:rPr>
          <w:rFonts w:hint="eastAsia"/>
          <w:szCs w:val="21"/>
        </w:rPr>
        <w:t>2.同意购买进口产品的，不限制满足采购需求的国内产品参与投标。</w:t>
      </w:r>
    </w:p>
    <w:p w14:paraId="65ED1DE7">
      <w:pPr>
        <w:ind w:firstLine="442"/>
        <w:outlineLvl w:val="1"/>
        <w:rPr>
          <w:rFonts w:ascii="黑体" w:hAnsi="黑体" w:eastAsia="黑体" w:cs="黑体"/>
          <w:b/>
          <w:bCs/>
          <w:sz w:val="22"/>
          <w:szCs w:val="22"/>
        </w:rPr>
      </w:pPr>
      <w:bookmarkStart w:id="15" w:name="_Toc2697"/>
      <w:r>
        <w:rPr>
          <w:rFonts w:hint="eastAsia" w:ascii="黑体" w:hAnsi="黑体" w:eastAsia="黑体" w:cs="黑体"/>
          <w:b/>
          <w:bCs/>
          <w:sz w:val="22"/>
          <w:szCs w:val="22"/>
        </w:rPr>
        <w:t>三、采购项目需落实的政府采购政策</w:t>
      </w:r>
      <w:bookmarkEnd w:id="15"/>
      <w:r>
        <w:rPr>
          <w:rFonts w:hint="eastAsia" w:ascii="黑体" w:hAnsi="黑体" w:eastAsia="黑体" w:cs="黑体"/>
          <w:b/>
          <w:bCs/>
          <w:sz w:val="22"/>
          <w:szCs w:val="22"/>
        </w:rPr>
        <w:tab/>
      </w:r>
    </w:p>
    <w:p w14:paraId="2ED2B276">
      <w:pPr>
        <w:rPr>
          <w:szCs w:val="21"/>
        </w:rPr>
      </w:pPr>
      <w:r>
        <w:rPr>
          <w:rFonts w:hint="eastAsia"/>
          <w:szCs w:val="21"/>
        </w:rPr>
        <w:t>1、优先采购：节能产品、环境标志产品享受加分或价格折扣。</w:t>
      </w:r>
    </w:p>
    <w:p w14:paraId="341CE898">
      <w:pPr>
        <w:rPr>
          <w:szCs w:val="21"/>
        </w:rPr>
      </w:pPr>
      <w:r>
        <w:rPr>
          <w:rFonts w:hint="eastAsia"/>
          <w:szCs w:val="21"/>
        </w:rPr>
        <w:t>2、支持中小企业：中小企业享受预留采购份额或价格折扣。</w:t>
      </w:r>
    </w:p>
    <w:p w14:paraId="49FF8C99">
      <w:pPr>
        <w:ind w:firstLine="442"/>
        <w:outlineLvl w:val="1"/>
        <w:rPr>
          <w:rFonts w:ascii="黑体" w:hAnsi="黑体" w:eastAsia="黑体" w:cs="黑体"/>
          <w:b/>
          <w:bCs/>
          <w:sz w:val="22"/>
          <w:szCs w:val="22"/>
        </w:rPr>
      </w:pPr>
      <w:bookmarkStart w:id="16" w:name="_Toc31283"/>
      <w:r>
        <w:rPr>
          <w:rFonts w:hint="eastAsia" w:ascii="黑体" w:hAnsi="黑体" w:eastAsia="黑体" w:cs="黑体"/>
          <w:b/>
          <w:bCs/>
          <w:sz w:val="22"/>
          <w:szCs w:val="22"/>
        </w:rPr>
        <w:t>四、供应商的资格要求</w:t>
      </w:r>
      <w:bookmarkEnd w:id="12"/>
      <w:bookmarkEnd w:id="13"/>
      <w:bookmarkEnd w:id="14"/>
      <w:bookmarkEnd w:id="16"/>
    </w:p>
    <w:p w14:paraId="5CB919B1">
      <w:r>
        <w:rPr>
          <w:rFonts w:hint="eastAsia"/>
        </w:rPr>
        <w:t>1、供应商的基本资格条件：供应商必须是在中华人民共和国境内注册登记的法人、其他组织或者自然人，且应当符合《政府采购法》第二十二条第一款的规定。</w:t>
      </w:r>
    </w:p>
    <w:p w14:paraId="5E8D86AB">
      <w:bookmarkStart w:id="17" w:name="_Toc20185"/>
      <w:bookmarkStart w:id="18" w:name="_Toc32075"/>
      <w:bookmarkStart w:id="19" w:name="_Toc3193"/>
      <w:bookmarkStart w:id="20" w:name="_Toc24515"/>
      <w:r>
        <w:rPr>
          <w:rFonts w:hint="eastAsia"/>
        </w:rPr>
        <w:t>2、落实政府采购政策需满足的资格要求：</w:t>
      </w:r>
      <w:bookmarkEnd w:id="17"/>
      <w:bookmarkEnd w:id="18"/>
      <w:bookmarkEnd w:id="19"/>
      <w:bookmarkEnd w:id="20"/>
    </w:p>
    <w:p w14:paraId="6ED13D19">
      <w:r>
        <w:rPr>
          <w:rFonts w:hint="eastAsia"/>
        </w:rPr>
        <w:sym w:font="Wingdings 2" w:char="0052"/>
      </w:r>
      <w:r>
        <w:rPr>
          <w:rFonts w:hint="eastAsia"/>
        </w:rPr>
        <w:t>专门面向：</w:t>
      </w:r>
      <w:r>
        <w:rPr>
          <w:rFonts w:hint="eastAsia"/>
        </w:rPr>
        <w:sym w:font="Wingdings 2" w:char="0052"/>
      </w:r>
      <w:r>
        <w:rPr>
          <w:rFonts w:hint="eastAsia"/>
        </w:rPr>
        <w:t xml:space="preserve">中小企业 </w:t>
      </w:r>
      <w:r>
        <w:rPr>
          <w:rFonts w:hint="eastAsia"/>
        </w:rPr>
        <w:sym w:font="Wingdings 2" w:char="00A3"/>
      </w:r>
      <w:r>
        <w:rPr>
          <w:rFonts w:hint="eastAsia"/>
        </w:rPr>
        <w:t xml:space="preserve">小微企业 </w:t>
      </w:r>
      <w:r>
        <w:rPr>
          <w:rFonts w:hint="eastAsia"/>
        </w:rPr>
        <w:sym w:font="Wingdings 2" w:char="00A3"/>
      </w:r>
      <w:r>
        <w:rPr>
          <w:rFonts w:hint="eastAsia"/>
        </w:rPr>
        <w:t xml:space="preserve">监狱企业 </w:t>
      </w:r>
      <w:r>
        <w:rPr>
          <w:rFonts w:hint="eastAsia"/>
        </w:rPr>
        <w:sym w:font="Wingdings 2" w:char="00A3"/>
      </w:r>
      <w:r>
        <w:rPr>
          <w:rFonts w:hint="eastAsia"/>
        </w:rPr>
        <w:t>福利性单位</w:t>
      </w:r>
    </w:p>
    <w:p w14:paraId="0A9E4787">
      <w:r>
        <w:rPr>
          <w:rFonts w:hint="eastAsia"/>
        </w:rPr>
        <w:sym w:font="Wingdings 2" w:char="00A3"/>
      </w:r>
      <w:r>
        <w:rPr>
          <w:rFonts w:hint="eastAsia"/>
        </w:rPr>
        <w:t>强制分包：大型企业应将采购份额的</w:t>
      </w:r>
      <w:r>
        <w:rPr>
          <w:rFonts w:hint="eastAsia"/>
          <w:color w:val="000000"/>
          <w:kern w:val="0"/>
          <w:szCs w:val="21"/>
        </w:rPr>
        <w:t>%</w:t>
      </w:r>
      <w:r>
        <w:rPr>
          <w:rFonts w:hint="eastAsia"/>
        </w:rPr>
        <w:t>分包给中小企业。</w:t>
      </w:r>
    </w:p>
    <w:p w14:paraId="2FBD6E8D">
      <w:bookmarkStart w:id="21" w:name="_Toc24741"/>
      <w:bookmarkStart w:id="22" w:name="_Toc16901"/>
      <w:bookmarkStart w:id="23" w:name="_Toc10630"/>
      <w:bookmarkStart w:id="24" w:name="_Toc12379"/>
      <w:bookmarkStart w:id="25" w:name="_Toc24117"/>
      <w:bookmarkStart w:id="26" w:name="_Toc22201058"/>
      <w:bookmarkStart w:id="27" w:name="_Toc9014"/>
      <w:bookmarkStart w:id="28" w:name="_Toc22190"/>
      <w:r>
        <w:rPr>
          <w:rFonts w:hint="eastAsia"/>
        </w:rPr>
        <w:t>3、供应商特定资格条件：</w:t>
      </w:r>
      <w:bookmarkEnd w:id="21"/>
      <w:bookmarkEnd w:id="22"/>
      <w:bookmarkEnd w:id="23"/>
      <w:bookmarkEnd w:id="24"/>
    </w:p>
    <w:p w14:paraId="291FF0FA">
      <w:r>
        <w:rPr>
          <w:rFonts w:hint="eastAsia"/>
        </w:rPr>
        <w:t>（1）</w:t>
      </w:r>
      <w:r>
        <w:rPr>
          <w:rFonts w:hint="eastAsia"/>
          <w:lang w:val="en-US" w:eastAsia="zh-CN"/>
        </w:rPr>
        <w:t>供应商</w:t>
      </w:r>
      <w:r>
        <w:rPr>
          <w:rFonts w:hint="eastAsia"/>
        </w:rPr>
        <w:t>须具有有效期内的乙级及以上测绘资质，且不在地质勘查单位异常名录和严重失信主体名单内，提供证书复印件并加盖供应商公章；</w:t>
      </w:r>
    </w:p>
    <w:p w14:paraId="4FC3E51E">
      <w:r>
        <w:rPr>
          <w:rFonts w:hint="eastAsia"/>
        </w:rPr>
        <w:t>（2）</w:t>
      </w:r>
      <w:r>
        <w:rPr>
          <w:rFonts w:hint="eastAsia"/>
          <w:color w:val="000000" w:themeColor="text1"/>
          <w14:textFill>
            <w14:solidFill>
              <w14:schemeClr w14:val="tx1"/>
            </w14:solidFill>
          </w14:textFill>
        </w:rPr>
        <w:t>拟任项目负责人具有</w:t>
      </w:r>
      <w:r>
        <w:rPr>
          <w:color w:val="000000" w:themeColor="text1"/>
          <w14:textFill>
            <w14:solidFill>
              <w14:schemeClr w14:val="tx1"/>
            </w14:solidFill>
          </w14:textFill>
        </w:rPr>
        <w:t>地质调查和矿产勘查</w:t>
      </w:r>
      <w:r>
        <w:rPr>
          <w:rFonts w:hint="eastAsia"/>
          <w:color w:val="000000" w:themeColor="text1"/>
          <w14:textFill>
            <w14:solidFill>
              <w14:schemeClr w14:val="tx1"/>
            </w14:solidFill>
          </w14:textFill>
        </w:rPr>
        <w:t>相关专业中级及以上技术职称，提供证书复印件；</w:t>
      </w:r>
    </w:p>
    <w:p w14:paraId="75D38282">
      <w:r>
        <w:rPr>
          <w:rFonts w:hint="eastAsia"/>
        </w:rPr>
        <w:t>（3）本项目专门面向中小企业采购，须提供中小企业声明函，本项目对应的中小企业划分标准所属行业：其他未列明行业。（监狱企业、福利单位视为小微企业，符合政策要求。）</w:t>
      </w:r>
    </w:p>
    <w:p w14:paraId="5D4ADC6D">
      <w:r>
        <w:rPr>
          <w:rFonts w:hint="eastAsia"/>
        </w:rPr>
        <w:t>4、单位负责人为同一人或者存在直接控股、管理关系的不同供应商，不得参加同一合同项下的政府采购活动。</w:t>
      </w:r>
    </w:p>
    <w:p w14:paraId="38EC03D1">
      <w:r>
        <w:rPr>
          <w:rFonts w:hint="eastAsia"/>
        </w:rPr>
        <w:t>5、为本采购项目提供整体设计、规范编制或者项目管理、监理、检测等服务的，不得再参加此项目的其他采购活动。</w:t>
      </w:r>
    </w:p>
    <w:p w14:paraId="775390B1">
      <w:r>
        <w:rPr>
          <w:rFonts w:hint="eastAsia"/>
        </w:rPr>
        <w:t>6、列入失信被执行人、重大税收违法失信主体名单、政府采购严重违法失信行为记录名单的，拒绝其参与政府采购活动。</w:t>
      </w:r>
    </w:p>
    <w:p w14:paraId="47D946C8">
      <w:bookmarkStart w:id="29" w:name="_Toc25348"/>
      <w:bookmarkStart w:id="30" w:name="_Toc26247"/>
      <w:bookmarkStart w:id="31" w:name="_Toc7285"/>
      <w:bookmarkStart w:id="32" w:name="_Toc22683"/>
      <w:r>
        <w:rPr>
          <w:rFonts w:hint="eastAsia"/>
        </w:rPr>
        <w:t>7、联合体投标。本次招标不接受联合体投标。</w:t>
      </w:r>
      <w:bookmarkEnd w:id="29"/>
      <w:bookmarkEnd w:id="30"/>
      <w:bookmarkEnd w:id="31"/>
      <w:bookmarkEnd w:id="32"/>
    </w:p>
    <w:p w14:paraId="224CD103">
      <w:pPr>
        <w:ind w:firstLine="442"/>
        <w:outlineLvl w:val="1"/>
        <w:rPr>
          <w:rFonts w:ascii="黑体" w:hAnsi="黑体" w:eastAsia="黑体" w:cs="黑体"/>
          <w:b/>
          <w:bCs/>
          <w:sz w:val="22"/>
          <w:szCs w:val="22"/>
        </w:rPr>
      </w:pPr>
      <w:bookmarkStart w:id="33" w:name="_Toc14311"/>
      <w:bookmarkStart w:id="34" w:name="_Toc28213"/>
      <w:bookmarkStart w:id="35" w:name="_Toc29779"/>
      <w:bookmarkStart w:id="36" w:name="_Toc25406"/>
      <w:r>
        <w:rPr>
          <w:rFonts w:hint="eastAsia" w:ascii="黑体" w:hAnsi="黑体" w:eastAsia="黑体" w:cs="黑体"/>
          <w:b/>
          <w:bCs/>
          <w:sz w:val="22"/>
          <w:szCs w:val="22"/>
        </w:rPr>
        <w:t>五、获取招标文件的时间、期限、地点及方式</w:t>
      </w:r>
      <w:bookmarkEnd w:id="33"/>
      <w:bookmarkEnd w:id="34"/>
      <w:bookmarkEnd w:id="35"/>
      <w:bookmarkEnd w:id="36"/>
    </w:p>
    <w:p w14:paraId="652F6060">
      <w:bookmarkStart w:id="37" w:name="_Toc18993"/>
      <w:bookmarkStart w:id="38" w:name="_Toc9238"/>
      <w:r>
        <w:rPr>
          <w:rFonts w:hint="eastAsia"/>
        </w:rPr>
        <w:t>有意参加投标者，于</w:t>
      </w:r>
      <w:r>
        <w:rPr>
          <w:rFonts w:hint="eastAsia"/>
          <w:lang w:val="en-US" w:eastAsia="zh-CN"/>
        </w:rPr>
        <w:t>2026年07月16日-2026年07月22日</w:t>
      </w:r>
      <w:r>
        <w:rPr>
          <w:rFonts w:hint="eastAsia"/>
        </w:rPr>
        <w:t>工作日上午9:00-12:00；下午14:30-17:30，)携带营业执照复印件、本人身份证原件、法定代表人身份证明(或授权委托书)原件在湖南全至工程咨询有限公司(湘阴县芙蓉北路兴湘市场大门北侧三十九栋)获取磋商文件</w:t>
      </w:r>
      <w:bookmarkEnd w:id="37"/>
      <w:bookmarkEnd w:id="38"/>
      <w:r>
        <w:rPr>
          <w:rFonts w:hint="eastAsia"/>
        </w:rPr>
        <w:t>。</w:t>
      </w:r>
    </w:p>
    <w:p w14:paraId="4ED04795">
      <w:r>
        <w:rPr>
          <w:rFonts w:hint="eastAsia"/>
        </w:rPr>
        <w:sym w:font="Wingdings 2" w:char="00A3"/>
      </w:r>
      <w:r>
        <w:rPr>
          <w:rFonts w:hint="eastAsia"/>
        </w:rPr>
        <w:t>本项目实行电子交易，有意参加投标者，在湖南全至工程咨询有限公司(湘阴县芙蓉北路兴湘市场大门北侧三十九栋)携带营业执照复印件、本人身份证原件、法定代表人身份证明(或授权委托书)原件获取电子版招标文件。</w:t>
      </w:r>
    </w:p>
    <w:p w14:paraId="53033176">
      <w:r>
        <w:rPr>
          <w:rFonts w:hint="eastAsia"/>
        </w:rPr>
        <w:sym w:font="Wingdings 2" w:char="00A3"/>
      </w:r>
      <w:r>
        <w:rPr>
          <w:rFonts w:hint="eastAsia"/>
        </w:rPr>
        <w:t>本项目进行资格预审，招标文件将向所有通过资格预审的供应商提供。</w:t>
      </w:r>
    </w:p>
    <w:p w14:paraId="74C739BB">
      <w:pPr>
        <w:ind w:firstLine="442"/>
        <w:outlineLvl w:val="1"/>
        <w:rPr>
          <w:rFonts w:ascii="黑体" w:hAnsi="黑体" w:eastAsia="黑体" w:cs="黑体"/>
          <w:b/>
          <w:bCs/>
          <w:sz w:val="22"/>
          <w:szCs w:val="22"/>
        </w:rPr>
      </w:pPr>
      <w:bookmarkStart w:id="39" w:name="_Toc10105"/>
      <w:bookmarkStart w:id="40" w:name="_Toc18077"/>
      <w:bookmarkStart w:id="41" w:name="_Toc28137"/>
      <w:bookmarkStart w:id="42" w:name="_Toc19123"/>
      <w:r>
        <w:rPr>
          <w:rFonts w:hint="eastAsia" w:ascii="黑体" w:hAnsi="黑体" w:eastAsia="黑体" w:cs="黑体"/>
          <w:b/>
          <w:bCs/>
          <w:sz w:val="22"/>
          <w:szCs w:val="22"/>
        </w:rPr>
        <w:t>六、投标截止时间、开标时间及地点</w:t>
      </w:r>
      <w:bookmarkEnd w:id="39"/>
      <w:bookmarkEnd w:id="40"/>
      <w:bookmarkEnd w:id="41"/>
      <w:bookmarkEnd w:id="42"/>
    </w:p>
    <w:p w14:paraId="4C2C5C34">
      <w:bookmarkStart w:id="43" w:name="_Toc21071"/>
      <w:r>
        <w:rPr>
          <w:rFonts w:hint="eastAsia"/>
        </w:rPr>
        <w:t>1、提交投标文件的截止时间：2026年0</w:t>
      </w:r>
      <w:r>
        <w:rPr>
          <w:rFonts w:hint="eastAsia"/>
          <w:lang w:val="en-US" w:eastAsia="zh-CN"/>
        </w:rPr>
        <w:t>7</w:t>
      </w:r>
      <w:r>
        <w:rPr>
          <w:rFonts w:hint="eastAsia"/>
        </w:rPr>
        <w:t>月</w:t>
      </w:r>
      <w:r>
        <w:rPr>
          <w:rFonts w:hint="eastAsia"/>
          <w:lang w:val="en-US" w:eastAsia="zh-CN"/>
        </w:rPr>
        <w:t>27</w:t>
      </w:r>
      <w:r>
        <w:rPr>
          <w:rFonts w:hint="eastAsia"/>
        </w:rPr>
        <w:t>日14时30分（北京时间）</w:t>
      </w:r>
      <w:bookmarkEnd w:id="43"/>
    </w:p>
    <w:p w14:paraId="73650221">
      <w:r>
        <w:rPr>
          <w:rFonts w:hint="eastAsia"/>
        </w:rPr>
        <w:t>2、提交投标文件地点：湖南全至工程咨询有限公司(湘阴县芙蓉北路兴湘市场大门北侧三十九栋)</w:t>
      </w:r>
    </w:p>
    <w:p w14:paraId="7393B426">
      <w:bookmarkStart w:id="44" w:name="_Toc1033"/>
      <w:bookmarkStart w:id="45" w:name="_Toc21081"/>
      <w:r>
        <w:rPr>
          <w:rFonts w:hint="eastAsia"/>
        </w:rPr>
        <w:t>3、开标时间：</w:t>
      </w:r>
      <w:bookmarkEnd w:id="44"/>
      <w:bookmarkEnd w:id="45"/>
      <w:r>
        <w:rPr>
          <w:rFonts w:hint="eastAsia"/>
        </w:rPr>
        <w:t>2026年0</w:t>
      </w:r>
      <w:r>
        <w:rPr>
          <w:rFonts w:hint="eastAsia"/>
          <w:lang w:val="en-US" w:eastAsia="zh-CN"/>
        </w:rPr>
        <w:t>7</w:t>
      </w:r>
      <w:r>
        <w:rPr>
          <w:rFonts w:hint="eastAsia"/>
        </w:rPr>
        <w:t>月</w:t>
      </w:r>
      <w:r>
        <w:rPr>
          <w:rFonts w:hint="eastAsia"/>
          <w:lang w:val="en-US" w:eastAsia="zh-CN"/>
        </w:rPr>
        <w:t>27</w:t>
      </w:r>
      <w:r>
        <w:rPr>
          <w:rFonts w:hint="eastAsia"/>
        </w:rPr>
        <w:t>日14时30分（北京时间）</w:t>
      </w:r>
    </w:p>
    <w:p w14:paraId="2C0818AB">
      <w:r>
        <w:rPr>
          <w:rFonts w:hint="eastAsia"/>
        </w:rPr>
        <w:t>4、开标地点：湖南全至工程咨询有限公司(湘阴县芙蓉北路兴湘市场大门北侧三十九栋)</w:t>
      </w:r>
    </w:p>
    <w:p w14:paraId="477B7DEF">
      <w:pPr>
        <w:ind w:firstLine="442"/>
        <w:outlineLvl w:val="1"/>
        <w:rPr>
          <w:rFonts w:ascii="黑体" w:hAnsi="黑体" w:eastAsia="黑体" w:cs="黑体"/>
          <w:b/>
          <w:bCs/>
          <w:sz w:val="22"/>
          <w:szCs w:val="22"/>
        </w:rPr>
      </w:pPr>
      <w:bookmarkStart w:id="46" w:name="_Toc26571"/>
      <w:bookmarkStart w:id="47" w:name="_Toc26032"/>
      <w:bookmarkStart w:id="48" w:name="_Toc12815"/>
      <w:bookmarkStart w:id="49" w:name="_Toc15190"/>
      <w:r>
        <w:rPr>
          <w:rFonts w:hint="eastAsia" w:ascii="黑体" w:hAnsi="黑体" w:eastAsia="黑体" w:cs="黑体"/>
          <w:b/>
          <w:bCs/>
          <w:sz w:val="22"/>
          <w:szCs w:val="22"/>
        </w:rPr>
        <w:t>七、公告期限</w:t>
      </w:r>
      <w:bookmarkEnd w:id="46"/>
      <w:bookmarkEnd w:id="47"/>
      <w:bookmarkEnd w:id="48"/>
      <w:bookmarkEnd w:id="49"/>
    </w:p>
    <w:p w14:paraId="57231D48">
      <w:bookmarkStart w:id="50" w:name="_Toc17950"/>
      <w:r>
        <w:rPr>
          <w:rFonts w:hint="eastAsia"/>
        </w:rPr>
        <w:t>1、本招标公告在中国湖南政府采购网（www.ccgp-hunan.gov.cn）发布。公告期限从本招标公告发布之日起5个工作日。</w:t>
      </w:r>
      <w:bookmarkEnd w:id="50"/>
    </w:p>
    <w:p w14:paraId="2B321C35">
      <w:r>
        <w:rPr>
          <w:rFonts w:hint="eastAsia"/>
        </w:rPr>
        <w:t>2、在其他媒体发布的招标公告，公告内容以本招标公告指定媒体发布的公告为准；公告期限自本招标公告指定媒体最先发布公告之日起算。</w:t>
      </w:r>
    </w:p>
    <w:p w14:paraId="7A2BB9C2">
      <w:pPr>
        <w:ind w:firstLine="442"/>
        <w:outlineLvl w:val="1"/>
        <w:rPr>
          <w:rFonts w:ascii="黑体" w:hAnsi="黑体" w:eastAsia="黑体" w:cs="黑体"/>
          <w:b/>
          <w:bCs/>
          <w:sz w:val="22"/>
          <w:szCs w:val="22"/>
        </w:rPr>
      </w:pPr>
      <w:bookmarkStart w:id="51" w:name="_Toc28162"/>
      <w:bookmarkStart w:id="52" w:name="_Toc28417"/>
      <w:bookmarkStart w:id="53" w:name="_Toc14414"/>
      <w:bookmarkStart w:id="54" w:name="_Toc3737"/>
      <w:bookmarkStart w:id="55" w:name="_Toc4972"/>
      <w:bookmarkStart w:id="56" w:name="_Toc16087"/>
      <w:bookmarkStart w:id="57" w:name="_Toc15475"/>
      <w:r>
        <w:rPr>
          <w:rFonts w:hint="eastAsia" w:ascii="黑体" w:hAnsi="黑体" w:eastAsia="黑体" w:cs="黑体"/>
          <w:b/>
          <w:bCs/>
          <w:sz w:val="22"/>
          <w:szCs w:val="22"/>
        </w:rPr>
        <w:t>八、询问及质疑</w:t>
      </w:r>
      <w:bookmarkEnd w:id="51"/>
      <w:bookmarkEnd w:id="52"/>
      <w:bookmarkEnd w:id="53"/>
      <w:bookmarkEnd w:id="54"/>
    </w:p>
    <w:p w14:paraId="77F6577F">
      <w:r>
        <w:rPr>
          <w:rFonts w:hint="eastAsia"/>
        </w:rPr>
        <w:t>1、供应商对政府采购活动事项如有疑问的，可以向采购人、采购代理机构提出询问。采购人、采购代理机构将在3个工作日内作出答复。</w:t>
      </w:r>
    </w:p>
    <w:p w14:paraId="466BAD6B">
      <w:r>
        <w:rPr>
          <w:rFonts w:hint="eastAsia"/>
        </w:rPr>
        <w:t>2、供应商对电子交易平台办理CA证书、操作等如有疑问，请咨询电子交易平台服务机构。</w:t>
      </w:r>
    </w:p>
    <w:p w14:paraId="705B2A90">
      <w:r>
        <w:rPr>
          <w:rFonts w:hint="eastAsia"/>
        </w:rPr>
        <w:t>3、潜在供应商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48739211">
      <w:pPr>
        <w:ind w:firstLine="442"/>
        <w:outlineLvl w:val="1"/>
        <w:rPr>
          <w:rFonts w:ascii="黑体" w:hAnsi="黑体" w:eastAsia="黑体" w:cs="黑体"/>
          <w:b/>
          <w:bCs/>
          <w:sz w:val="22"/>
          <w:szCs w:val="22"/>
        </w:rPr>
      </w:pPr>
      <w:bookmarkStart w:id="58" w:name="_Toc9038"/>
      <w:r>
        <w:rPr>
          <w:rFonts w:hint="eastAsia" w:ascii="黑体" w:hAnsi="黑体" w:eastAsia="黑体" w:cs="黑体"/>
          <w:b/>
          <w:bCs/>
          <w:sz w:val="22"/>
          <w:szCs w:val="22"/>
        </w:rPr>
        <w:t>九、投标说明</w:t>
      </w:r>
      <w:bookmarkEnd w:id="55"/>
      <w:bookmarkEnd w:id="56"/>
      <w:bookmarkEnd w:id="57"/>
      <w:bookmarkEnd w:id="58"/>
    </w:p>
    <w:p w14:paraId="7BAB06D1">
      <w:bookmarkStart w:id="59" w:name="_Toc7005"/>
      <w:bookmarkStart w:id="60" w:name="_Toc17049"/>
      <w:r>
        <w:rPr>
          <w:rFonts w:hint="eastAsia"/>
        </w:rPr>
        <w:t>1、本公告选项：</w:t>
      </w:r>
      <w:r>
        <w:rPr>
          <w:rFonts w:hint="eastAsia"/>
        </w:rPr>
        <w:sym w:font="Wingdings 2" w:char="0052"/>
      </w:r>
      <w:r>
        <w:rPr>
          <w:rFonts w:hint="eastAsia"/>
        </w:rPr>
        <w:t xml:space="preserve">表示选择， </w:t>
      </w:r>
      <w:r>
        <w:rPr>
          <w:rFonts w:hint="eastAsia"/>
        </w:rPr>
        <w:sym w:font="Wingdings 2" w:char="00A3"/>
      </w:r>
      <w:r>
        <w:rPr>
          <w:rFonts w:hint="eastAsia"/>
        </w:rPr>
        <w:t>表示未选择。</w:t>
      </w:r>
      <w:bookmarkEnd w:id="59"/>
      <w:bookmarkEnd w:id="60"/>
    </w:p>
    <w:p w14:paraId="3667F506">
      <w:r>
        <w:rPr>
          <w:rFonts w:hint="eastAsia"/>
        </w:rPr>
        <w:t>2、供应商参与政府采购活动，无需向采购人、代理机构、交易平台缴纳任何费用。</w:t>
      </w:r>
    </w:p>
    <w:p w14:paraId="537CA605">
      <w:pPr>
        <w:ind w:firstLine="442"/>
        <w:outlineLvl w:val="1"/>
        <w:rPr>
          <w:rFonts w:ascii="黑体" w:hAnsi="黑体" w:eastAsia="黑体" w:cs="黑体"/>
          <w:b/>
          <w:bCs/>
          <w:sz w:val="22"/>
          <w:szCs w:val="22"/>
        </w:rPr>
      </w:pPr>
      <w:bookmarkStart w:id="61" w:name="_Toc89"/>
      <w:bookmarkStart w:id="62" w:name="_Toc9398"/>
      <w:bookmarkStart w:id="63" w:name="_Toc24351"/>
      <w:bookmarkStart w:id="64" w:name="_Toc23558"/>
      <w:r>
        <w:rPr>
          <w:rFonts w:hint="eastAsia" w:ascii="黑体" w:hAnsi="黑体" w:eastAsia="黑体" w:cs="黑体"/>
          <w:b/>
          <w:bCs/>
          <w:sz w:val="22"/>
          <w:szCs w:val="22"/>
        </w:rPr>
        <w:t>十、采购项目联系人姓名和电话</w:t>
      </w:r>
      <w:bookmarkEnd w:id="61"/>
      <w:bookmarkEnd w:id="62"/>
      <w:bookmarkEnd w:id="63"/>
      <w:bookmarkEnd w:id="64"/>
    </w:p>
    <w:p w14:paraId="1FC489B4">
      <w:r>
        <w:rPr>
          <w:rFonts w:hint="eastAsia"/>
        </w:rPr>
        <w:t>1、联系人姓名：张浩</w:t>
      </w:r>
    </w:p>
    <w:p w14:paraId="5A49F93C">
      <w:r>
        <w:rPr>
          <w:rFonts w:hint="eastAsia"/>
        </w:rPr>
        <w:t>2、电话：</w:t>
      </w:r>
      <w:r>
        <w:rPr>
          <w:rFonts w:hint="eastAsia"/>
          <w:szCs w:val="21"/>
        </w:rPr>
        <w:t>15200263425</w:t>
      </w:r>
    </w:p>
    <w:p w14:paraId="61A3EAA3">
      <w:pPr>
        <w:ind w:firstLine="442"/>
        <w:outlineLvl w:val="1"/>
        <w:rPr>
          <w:rFonts w:ascii="黑体" w:hAnsi="黑体" w:eastAsia="黑体" w:cs="黑体"/>
          <w:b/>
          <w:bCs/>
          <w:sz w:val="22"/>
          <w:szCs w:val="22"/>
        </w:rPr>
      </w:pPr>
      <w:bookmarkStart w:id="65" w:name="_Toc30110"/>
      <w:bookmarkStart w:id="66" w:name="_Toc19148"/>
      <w:bookmarkStart w:id="67" w:name="_Toc22200"/>
      <w:bookmarkStart w:id="68" w:name="_Toc8632"/>
      <w:r>
        <w:rPr>
          <w:rFonts w:hint="eastAsia" w:ascii="黑体" w:hAnsi="黑体" w:eastAsia="黑体" w:cs="黑体"/>
          <w:b/>
          <w:bCs/>
          <w:sz w:val="22"/>
          <w:szCs w:val="22"/>
        </w:rPr>
        <w:t>十一、采购人、采购代理机构的名称、地址和联系方法</w:t>
      </w:r>
      <w:bookmarkEnd w:id="65"/>
      <w:bookmarkEnd w:id="66"/>
      <w:bookmarkEnd w:id="67"/>
      <w:bookmarkEnd w:id="68"/>
    </w:p>
    <w:p w14:paraId="46AAFBB3">
      <w:pPr>
        <w:ind w:firstLine="422"/>
        <w:rPr>
          <w:b/>
          <w:bCs/>
        </w:rPr>
      </w:pPr>
      <w:bookmarkStart w:id="69" w:name="_Toc24154"/>
      <w:bookmarkStart w:id="70" w:name="_Toc23064"/>
      <w:r>
        <w:rPr>
          <w:rFonts w:hint="eastAsia"/>
          <w:b/>
          <w:bCs/>
        </w:rPr>
        <w:t>1、采购人信息</w:t>
      </w:r>
      <w:bookmarkEnd w:id="69"/>
      <w:bookmarkEnd w:id="70"/>
    </w:p>
    <w:p w14:paraId="5D79AB4D">
      <w:pPr>
        <w:rPr>
          <w:rFonts w:hint="eastAsia" w:eastAsia="宋体"/>
          <w:lang w:eastAsia="zh-CN"/>
        </w:rPr>
      </w:pPr>
      <w:r>
        <w:rPr>
          <w:rFonts w:hint="eastAsia"/>
        </w:rPr>
        <w:t>（1）名 称：</w:t>
      </w:r>
      <w:r>
        <w:rPr>
          <w:rFonts w:hint="eastAsia"/>
          <w:lang w:eastAsia="zh-CN"/>
        </w:rPr>
        <w:t>湘阴县自然资源局</w:t>
      </w:r>
    </w:p>
    <w:p w14:paraId="691CFB1D">
      <w:r>
        <w:rPr>
          <w:rFonts w:hint="eastAsia"/>
        </w:rPr>
        <w:t>（2）地 址：岳阳市湘阴县文星街道新世纪大道1号</w:t>
      </w:r>
    </w:p>
    <w:p w14:paraId="4F9BBB6B">
      <w:r>
        <w:rPr>
          <w:rFonts w:hint="eastAsia"/>
        </w:rPr>
        <w:t>（3）联系人：张浩</w:t>
      </w:r>
    </w:p>
    <w:p w14:paraId="55D7DD95">
      <w:r>
        <w:rPr>
          <w:rFonts w:hint="eastAsia"/>
        </w:rPr>
        <w:t>（4）邮 编：410500</w:t>
      </w:r>
    </w:p>
    <w:p w14:paraId="114D9EE0">
      <w:r>
        <w:rPr>
          <w:rFonts w:hint="eastAsia"/>
        </w:rPr>
        <w:t>（5）电 话：15200263425</w:t>
      </w:r>
    </w:p>
    <w:p w14:paraId="6D98F34B">
      <w:r>
        <w:rPr>
          <w:rFonts w:hint="eastAsia"/>
        </w:rPr>
        <w:t>（6）电子邮箱：/</w:t>
      </w:r>
    </w:p>
    <w:p w14:paraId="1332C244">
      <w:pPr>
        <w:ind w:firstLine="422"/>
        <w:rPr>
          <w:b/>
          <w:bCs/>
        </w:rPr>
      </w:pPr>
      <w:bookmarkStart w:id="71" w:name="_Toc3642"/>
      <w:bookmarkStart w:id="72" w:name="_Toc4009"/>
      <w:bookmarkStart w:id="73" w:name="_Toc20263"/>
      <w:r>
        <w:rPr>
          <w:rFonts w:hint="eastAsia"/>
          <w:b/>
          <w:bCs/>
        </w:rPr>
        <w:t>2、采购代理机构信息</w:t>
      </w:r>
      <w:bookmarkEnd w:id="71"/>
      <w:bookmarkEnd w:id="72"/>
      <w:bookmarkEnd w:id="73"/>
    </w:p>
    <w:p w14:paraId="12552096">
      <w:r>
        <w:rPr>
          <w:rFonts w:hint="eastAsia"/>
        </w:rPr>
        <w:t>（1）名 称：湖南全至工程咨询有限公司</w:t>
      </w:r>
    </w:p>
    <w:p w14:paraId="4F292451">
      <w:r>
        <w:rPr>
          <w:rFonts w:hint="eastAsia"/>
        </w:rPr>
        <w:t>（2）地 址：湘阴县芙蓉北路兴湘市场大门北侧三十九栋</w:t>
      </w:r>
    </w:p>
    <w:p w14:paraId="1538D4D6">
      <w:r>
        <w:rPr>
          <w:rFonts w:hint="eastAsia"/>
        </w:rPr>
        <w:t>（3）联系人：黄波</w:t>
      </w:r>
    </w:p>
    <w:p w14:paraId="67DD7969">
      <w:r>
        <w:rPr>
          <w:rFonts w:hint="eastAsia"/>
        </w:rPr>
        <w:t>（4）邮 编：410500</w:t>
      </w:r>
    </w:p>
    <w:p w14:paraId="0DC40EFC">
      <w:r>
        <w:rPr>
          <w:rFonts w:hint="eastAsia"/>
        </w:rPr>
        <w:t>（5）电 话：</w:t>
      </w:r>
      <w:r>
        <w:rPr>
          <w:rFonts w:hint="eastAsia" w:asciiTheme="minorEastAsia" w:hAnsiTheme="minorEastAsia" w:eastAsiaTheme="minorEastAsia" w:cstheme="minorEastAsia"/>
          <w:szCs w:val="21"/>
        </w:rPr>
        <w:t>13142088717</w:t>
      </w:r>
    </w:p>
    <w:p w14:paraId="5601A7DD">
      <w:pPr>
        <w:rPr>
          <w:rFonts w:ascii="华文中宋" w:hAnsi="华文中宋" w:eastAsia="华文中宋" w:cs="华文中宋"/>
          <w:b/>
          <w:sz w:val="32"/>
          <w:szCs w:val="32"/>
        </w:rPr>
      </w:pPr>
      <w:r>
        <w:rPr>
          <w:rFonts w:hint="eastAsia"/>
        </w:rPr>
        <w:t>（6）电子邮箱：/</w:t>
      </w:r>
      <w:bookmarkEnd w:id="25"/>
      <w:bookmarkEnd w:id="26"/>
      <w:bookmarkEnd w:id="27"/>
      <w:bookmarkEnd w:id="28"/>
      <w:bookmarkStart w:id="74" w:name="_Toc6636_WPSOffice_Level1"/>
      <w:bookmarkStart w:id="75" w:name="_Toc5072"/>
      <w:bookmarkStart w:id="76" w:name="_Toc2834"/>
      <w:bookmarkStart w:id="77" w:name="_Toc30023"/>
      <w:bookmarkStart w:id="78" w:name="_Toc24856"/>
    </w:p>
    <w:p w14:paraId="40A40F97">
      <w:pPr>
        <w:keepNext/>
        <w:adjustRightInd w:val="0"/>
        <w:snapToGrid w:val="0"/>
        <w:spacing w:before="120" w:beforeLines="50"/>
        <w:ind w:firstLine="0" w:firstLineChars="0"/>
        <w:jc w:val="center"/>
        <w:outlineLvl w:val="0"/>
        <w:rPr>
          <w:rFonts w:ascii="黑体" w:hAnsi="黑体" w:eastAsia="黑体" w:cs="黑体"/>
          <w:b/>
          <w:bCs/>
          <w:sz w:val="32"/>
          <w:szCs w:val="32"/>
        </w:rPr>
      </w:pPr>
      <w:bookmarkStart w:id="79" w:name="_Toc11261"/>
      <w:r>
        <w:rPr>
          <w:rFonts w:ascii="黑体" w:hAnsi="黑体" w:eastAsia="黑体" w:cs="黑体"/>
          <w:b/>
          <w:bCs/>
          <w:sz w:val="32"/>
          <w:szCs w:val="32"/>
        </w:rPr>
        <w:t>第二章 磋商须知</w:t>
      </w:r>
      <w:bookmarkEnd w:id="74"/>
      <w:bookmarkEnd w:id="75"/>
      <w:bookmarkEnd w:id="76"/>
      <w:bookmarkEnd w:id="77"/>
      <w:bookmarkEnd w:id="78"/>
      <w:bookmarkEnd w:id="79"/>
    </w:p>
    <w:p w14:paraId="3E2DD9F9">
      <w:pPr>
        <w:pStyle w:val="22"/>
        <w:ind w:firstLine="0" w:firstLineChars="0"/>
        <w:jc w:val="center"/>
        <w:outlineLvl w:val="1"/>
        <w:rPr>
          <w:rFonts w:ascii="黑体" w:hAnsi="黑体" w:eastAsia="黑体" w:cs="黑体"/>
          <w:bCs/>
          <w:sz w:val="28"/>
          <w:szCs w:val="28"/>
        </w:rPr>
      </w:pPr>
      <w:bookmarkStart w:id="80" w:name="_Toc77"/>
      <w:bookmarkStart w:id="81" w:name="_Toc21447"/>
      <w:bookmarkStart w:id="82" w:name="_Toc24422"/>
      <w:bookmarkStart w:id="83" w:name="_Toc20245"/>
      <w:bookmarkStart w:id="84" w:name="_Toc25777"/>
      <w:r>
        <w:rPr>
          <w:rFonts w:hint="eastAsia" w:ascii="黑体" w:hAnsi="黑体" w:eastAsia="黑体" w:cs="黑体"/>
          <w:bCs/>
          <w:sz w:val="28"/>
          <w:szCs w:val="28"/>
        </w:rPr>
        <w:t>第一节 磋商须知前附表</w:t>
      </w:r>
      <w:bookmarkEnd w:id="80"/>
      <w:bookmarkEnd w:id="81"/>
      <w:bookmarkEnd w:id="82"/>
      <w:bookmarkEnd w:id="83"/>
      <w:bookmarkEnd w:id="84"/>
    </w:p>
    <w:p w14:paraId="1488BE17">
      <w:pPr>
        <w:pStyle w:val="22"/>
        <w:ind w:firstLine="0" w:firstLineChars="0"/>
        <w:rPr>
          <w:rFonts w:ascii="Times New Roman" w:hAnsi="Times New Roman" w:eastAsia="楷体_GB2312" w:cs="Times New Roman"/>
        </w:rPr>
      </w:pPr>
      <w:r>
        <w:rPr>
          <w:rFonts w:ascii="Times New Roman" w:hAnsi="Times New Roman" w:eastAsia="楷体_GB2312" w:cs="Times New Roman"/>
        </w:rPr>
        <w:t>注：本项目启用的条款在“编制内容规定”以“</w:t>
      </w:r>
      <w:r>
        <w:rPr>
          <w:rFonts w:hint="eastAsia" w:ascii="Times New Roman"/>
        </w:rPr>
        <w:sym w:font="Wingdings 2" w:char="0052"/>
      </w:r>
      <w:r>
        <w:rPr>
          <w:rFonts w:ascii="Times New Roman" w:hAnsi="Times New Roman" w:eastAsia="楷体_GB2312" w:cs="Times New Roman"/>
        </w:rPr>
        <w:t>”标注。</w:t>
      </w:r>
    </w:p>
    <w:tbl>
      <w:tblPr>
        <w:tblStyle w:val="45"/>
        <w:tblW w:w="8774"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2164"/>
        <w:gridCol w:w="5329"/>
      </w:tblGrid>
      <w:tr w14:paraId="00423F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81" w:type="dxa"/>
            <w:tcBorders>
              <w:tl2br w:val="nil"/>
              <w:tr2bl w:val="nil"/>
            </w:tcBorders>
            <w:vAlign w:val="center"/>
          </w:tcPr>
          <w:p w14:paraId="5CA0EFEC">
            <w:pPr>
              <w:wordWrap w:val="0"/>
              <w:spacing w:before="120" w:beforeLines="50" w:line="240" w:lineRule="auto"/>
              <w:ind w:firstLine="0" w:firstLineChars="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条款号</w:t>
            </w:r>
          </w:p>
        </w:tc>
        <w:tc>
          <w:tcPr>
            <w:tcW w:w="2164" w:type="dxa"/>
            <w:tcBorders>
              <w:tl2br w:val="nil"/>
              <w:tr2bl w:val="nil"/>
            </w:tcBorders>
            <w:vAlign w:val="center"/>
          </w:tcPr>
          <w:p w14:paraId="43C8E113">
            <w:pPr>
              <w:wordWrap w:val="0"/>
              <w:spacing w:before="120" w:beforeLines="50" w:line="240" w:lineRule="auto"/>
              <w:ind w:firstLine="0" w:firstLineChars="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条款名称</w:t>
            </w:r>
          </w:p>
        </w:tc>
        <w:tc>
          <w:tcPr>
            <w:tcW w:w="5329" w:type="dxa"/>
            <w:tcBorders>
              <w:tl2br w:val="nil"/>
              <w:tr2bl w:val="nil"/>
            </w:tcBorders>
            <w:vAlign w:val="center"/>
          </w:tcPr>
          <w:p w14:paraId="24CF1FEA">
            <w:pPr>
              <w:wordWrap w:val="0"/>
              <w:spacing w:before="120" w:beforeLines="50" w:line="240" w:lineRule="auto"/>
              <w:ind w:firstLine="0" w:firstLineChars="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编列内容规定</w:t>
            </w:r>
          </w:p>
        </w:tc>
      </w:tr>
      <w:tr w14:paraId="07751C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774" w:type="dxa"/>
            <w:gridSpan w:val="3"/>
            <w:tcBorders>
              <w:tl2br w:val="nil"/>
              <w:tr2bl w:val="nil"/>
            </w:tcBorders>
            <w:vAlign w:val="center"/>
          </w:tcPr>
          <w:p w14:paraId="337BE925">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一、说明</w:t>
            </w:r>
          </w:p>
        </w:tc>
      </w:tr>
      <w:tr w14:paraId="0C739E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2F041093">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第二章第1.1款</w:t>
            </w:r>
          </w:p>
        </w:tc>
        <w:tc>
          <w:tcPr>
            <w:tcW w:w="2164" w:type="dxa"/>
            <w:tcBorders>
              <w:tl2br w:val="nil"/>
              <w:tr2bl w:val="nil"/>
            </w:tcBorders>
            <w:vAlign w:val="center"/>
          </w:tcPr>
          <w:p w14:paraId="5C254A40">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采购项目</w:t>
            </w:r>
          </w:p>
        </w:tc>
        <w:tc>
          <w:tcPr>
            <w:tcW w:w="5329" w:type="dxa"/>
            <w:tcBorders>
              <w:tl2br w:val="nil"/>
              <w:tr2bl w:val="nil"/>
            </w:tcBorders>
            <w:vAlign w:val="center"/>
          </w:tcPr>
          <w:p w14:paraId="2CBD8B19">
            <w:pPr>
              <w:spacing w:before="120" w:beforeLines="50" w:line="240" w:lineRule="auto"/>
              <w:ind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湖南省湘阴县石英砂、卵石矿调查评价工作服务项目</w:t>
            </w:r>
          </w:p>
        </w:tc>
      </w:tr>
      <w:tr w14:paraId="1B3EF7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40C480D9">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第二章第2.1款</w:t>
            </w:r>
          </w:p>
        </w:tc>
        <w:tc>
          <w:tcPr>
            <w:tcW w:w="2164" w:type="dxa"/>
            <w:tcBorders>
              <w:tl2br w:val="nil"/>
              <w:tr2bl w:val="nil"/>
            </w:tcBorders>
            <w:vAlign w:val="center"/>
          </w:tcPr>
          <w:p w14:paraId="6BB3713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tc>
        <w:tc>
          <w:tcPr>
            <w:tcW w:w="5329" w:type="dxa"/>
            <w:tcBorders>
              <w:tl2br w:val="nil"/>
              <w:tr2bl w:val="nil"/>
            </w:tcBorders>
            <w:vAlign w:val="center"/>
          </w:tcPr>
          <w:p w14:paraId="1E05FC2B">
            <w:pPr>
              <w:spacing w:before="120" w:beforeLines="50" w:line="240" w:lineRule="auto"/>
              <w:ind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采购人：</w:t>
            </w:r>
            <w:r>
              <w:rPr>
                <w:rFonts w:hint="eastAsia" w:asciiTheme="minorEastAsia" w:hAnsiTheme="minorEastAsia" w:eastAsiaTheme="minorEastAsia" w:cstheme="minorEastAsia"/>
                <w:szCs w:val="21"/>
                <w:lang w:eastAsia="zh-CN"/>
              </w:rPr>
              <w:t>湘阴县自然资源局</w:t>
            </w:r>
          </w:p>
          <w:p w14:paraId="10F565FC">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rPr>
              <w:t>岳阳市湘阴县文星街道新世纪大道1号</w:t>
            </w:r>
          </w:p>
          <w:p w14:paraId="75E89E55">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联系人：张浩</w:t>
            </w:r>
          </w:p>
          <w:p w14:paraId="58E6E35C">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联系电话：15200263425</w:t>
            </w:r>
          </w:p>
        </w:tc>
      </w:tr>
      <w:tr w14:paraId="12732A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7A5B5F95">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第二章第2.2款</w:t>
            </w:r>
          </w:p>
        </w:tc>
        <w:tc>
          <w:tcPr>
            <w:tcW w:w="2164" w:type="dxa"/>
            <w:tcBorders>
              <w:tl2br w:val="nil"/>
              <w:tr2bl w:val="nil"/>
            </w:tcBorders>
            <w:vAlign w:val="center"/>
          </w:tcPr>
          <w:p w14:paraId="569DED02">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p>
        </w:tc>
        <w:tc>
          <w:tcPr>
            <w:tcW w:w="5329" w:type="dxa"/>
            <w:tcBorders>
              <w:tl2br w:val="nil"/>
              <w:tr2bl w:val="nil"/>
            </w:tcBorders>
            <w:vAlign w:val="center"/>
          </w:tcPr>
          <w:p w14:paraId="57A51D9F">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招标代理机构：湖南全至工程咨询有限公司</w:t>
            </w:r>
          </w:p>
          <w:p w14:paraId="3E48261E">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地址：湘阴县芙蓉北路兴湘市场大门北侧三十九栋</w:t>
            </w:r>
          </w:p>
          <w:p w14:paraId="58BBFF6D">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联系人：黄波</w:t>
            </w:r>
          </w:p>
          <w:p w14:paraId="6A8E59E2">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联系电话：13142088717</w:t>
            </w:r>
          </w:p>
        </w:tc>
      </w:tr>
      <w:tr w14:paraId="154C76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6E5894B9">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第二章第2.3款</w:t>
            </w:r>
          </w:p>
        </w:tc>
        <w:tc>
          <w:tcPr>
            <w:tcW w:w="2164" w:type="dxa"/>
            <w:tcBorders>
              <w:tl2br w:val="nil"/>
              <w:tr2bl w:val="nil"/>
            </w:tcBorders>
            <w:vAlign w:val="center"/>
          </w:tcPr>
          <w:p w14:paraId="2BE267DF">
            <w:pPr>
              <w:spacing w:before="120" w:beforeLines="50" w:line="240" w:lineRule="auto"/>
              <w:ind w:firstLine="0" w:firstLineChars="0"/>
              <w:rPr>
                <w:rFonts w:asciiTheme="minorEastAsia" w:hAnsiTheme="minorEastAsia" w:eastAsiaTheme="minorEastAsia" w:cstheme="minorEastAsia"/>
                <w:bCs/>
                <w:szCs w:val="21"/>
              </w:rPr>
            </w:pP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szCs w:val="21"/>
              </w:rPr>
              <w:t>邀请方式</w:t>
            </w:r>
          </w:p>
        </w:tc>
        <w:tc>
          <w:tcPr>
            <w:tcW w:w="5329" w:type="dxa"/>
            <w:tcBorders>
              <w:tl2br w:val="nil"/>
              <w:tr2bl w:val="nil"/>
            </w:tcBorders>
            <w:vAlign w:val="center"/>
          </w:tcPr>
          <w:p w14:paraId="1F13E64E">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发布公告</w:t>
            </w:r>
          </w:p>
          <w:p w14:paraId="414571A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从省级以上财政部门建立的供应商库中随机抽取</w:t>
            </w:r>
          </w:p>
          <w:p w14:paraId="2D84CDA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采购人和评审专家分别书面推荐的方式</w:t>
            </w:r>
          </w:p>
        </w:tc>
      </w:tr>
      <w:tr w14:paraId="63C979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05558EBD">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第二章第3.1款</w:t>
            </w:r>
          </w:p>
        </w:tc>
        <w:tc>
          <w:tcPr>
            <w:tcW w:w="2164" w:type="dxa"/>
            <w:tcBorders>
              <w:tl2br w:val="nil"/>
              <w:tr2bl w:val="nil"/>
            </w:tcBorders>
            <w:vAlign w:val="center"/>
          </w:tcPr>
          <w:p w14:paraId="467C056D">
            <w:pPr>
              <w:spacing w:before="120" w:beforeLines="50" w:line="240" w:lineRule="auto"/>
              <w:ind w:firstLine="0" w:firstLineChars="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t>供应商</w:t>
            </w:r>
            <w:r>
              <w:rPr>
                <w:rFonts w:hint="eastAsia" w:asciiTheme="minorEastAsia" w:hAnsiTheme="minorEastAsia" w:eastAsiaTheme="minorEastAsia" w:cstheme="minorEastAsia"/>
                <w:szCs w:val="21"/>
              </w:rPr>
              <w:t>资格条件</w:t>
            </w:r>
          </w:p>
        </w:tc>
        <w:tc>
          <w:tcPr>
            <w:tcW w:w="5329" w:type="dxa"/>
            <w:tcBorders>
              <w:tl2br w:val="nil"/>
              <w:tr2bl w:val="nil"/>
            </w:tcBorders>
            <w:vAlign w:val="center"/>
          </w:tcPr>
          <w:p w14:paraId="43E48E60">
            <w:r>
              <w:rPr>
                <w:rFonts w:hint="eastAsia"/>
              </w:rPr>
              <w:t>1、供应商的基本资格条件：供应商必须是在中华人民共和国境内注册登记的法人、其他组织或者自然人，且应当符合《政府采购法》第二十二条第一款的规定。</w:t>
            </w:r>
          </w:p>
          <w:p w14:paraId="13BBA7A9">
            <w:r>
              <w:rPr>
                <w:rFonts w:hint="eastAsia"/>
              </w:rPr>
              <w:t>2、落实政府采购政策需满足的资格要求：</w:t>
            </w:r>
          </w:p>
          <w:p w14:paraId="5DA7FA34">
            <w:r>
              <w:rPr>
                <w:rFonts w:hint="eastAsia"/>
              </w:rPr>
              <w:sym w:font="Wingdings 2" w:char="0052"/>
            </w:r>
            <w:r>
              <w:rPr>
                <w:rFonts w:hint="eastAsia"/>
              </w:rPr>
              <w:t>专门面向：</w:t>
            </w:r>
            <w:r>
              <w:rPr>
                <w:rFonts w:hint="eastAsia"/>
              </w:rPr>
              <w:sym w:font="Wingdings 2" w:char="0052"/>
            </w:r>
            <w:r>
              <w:rPr>
                <w:rFonts w:hint="eastAsia"/>
              </w:rPr>
              <w:t xml:space="preserve">中小企业 </w:t>
            </w:r>
            <w:r>
              <w:rPr>
                <w:rFonts w:hint="eastAsia"/>
              </w:rPr>
              <w:sym w:font="Wingdings 2" w:char="00A3"/>
            </w:r>
            <w:r>
              <w:rPr>
                <w:rFonts w:hint="eastAsia"/>
              </w:rPr>
              <w:t xml:space="preserve">小微企业 </w:t>
            </w:r>
            <w:r>
              <w:rPr>
                <w:rFonts w:hint="eastAsia"/>
              </w:rPr>
              <w:sym w:font="Wingdings 2" w:char="00A3"/>
            </w:r>
            <w:r>
              <w:rPr>
                <w:rFonts w:hint="eastAsia"/>
              </w:rPr>
              <w:t xml:space="preserve">监狱企业 </w:t>
            </w:r>
            <w:r>
              <w:rPr>
                <w:rFonts w:hint="eastAsia"/>
              </w:rPr>
              <w:sym w:font="Wingdings 2" w:char="00A3"/>
            </w:r>
            <w:r>
              <w:rPr>
                <w:rFonts w:hint="eastAsia"/>
              </w:rPr>
              <w:t>福利性单位</w:t>
            </w:r>
          </w:p>
          <w:p w14:paraId="08B867C5">
            <w:r>
              <w:rPr>
                <w:rFonts w:hint="eastAsia"/>
              </w:rPr>
              <w:sym w:font="Wingdings 2" w:char="00A3"/>
            </w:r>
            <w:r>
              <w:rPr>
                <w:rFonts w:hint="eastAsia"/>
              </w:rPr>
              <w:t>强制分包：大型企业应将采购份额的</w:t>
            </w:r>
            <w:r>
              <w:rPr>
                <w:rFonts w:hint="eastAsia"/>
                <w:color w:val="000000"/>
                <w:kern w:val="0"/>
                <w:szCs w:val="21"/>
              </w:rPr>
              <w:t>%</w:t>
            </w:r>
            <w:r>
              <w:rPr>
                <w:rFonts w:hint="eastAsia"/>
              </w:rPr>
              <w:t>分包给中小企业。</w:t>
            </w:r>
          </w:p>
          <w:p w14:paraId="57524799">
            <w:r>
              <w:rPr>
                <w:rFonts w:hint="eastAsia"/>
              </w:rPr>
              <w:t>3、供应商特定资格条件：</w:t>
            </w:r>
          </w:p>
          <w:p w14:paraId="40E6D11E">
            <w:r>
              <w:rPr>
                <w:rFonts w:hint="eastAsia"/>
              </w:rPr>
              <w:t>（1）</w:t>
            </w:r>
            <w:r>
              <w:rPr>
                <w:rFonts w:hint="eastAsia"/>
                <w:lang w:val="en-US" w:eastAsia="zh-CN"/>
              </w:rPr>
              <w:t>供应商</w:t>
            </w:r>
            <w:r>
              <w:rPr>
                <w:rFonts w:hint="eastAsia"/>
              </w:rPr>
              <w:t>须具有有效期内的乙级及以上测绘资质，且不在地质勘查单位异常名录和严重失信主体名单内，提供证书复印件并加盖供应商公章；</w:t>
            </w:r>
          </w:p>
          <w:p w14:paraId="3A5D4866">
            <w:pPr>
              <w:rPr>
                <w:color w:val="000000" w:themeColor="text1"/>
                <w14:textFill>
                  <w14:solidFill>
                    <w14:schemeClr w14:val="tx1"/>
                  </w14:solidFill>
                </w14:textFill>
              </w:rPr>
            </w:pPr>
            <w:r>
              <w:rPr>
                <w:rFonts w:hint="eastAsia"/>
                <w:color w:val="000000" w:themeColor="text1"/>
                <w14:textFill>
                  <w14:solidFill>
                    <w14:schemeClr w14:val="tx1"/>
                  </w14:solidFill>
                </w14:textFill>
              </w:rPr>
              <w:t>（2）拟任项目负责人具有</w:t>
            </w:r>
            <w:r>
              <w:rPr>
                <w:color w:val="000000" w:themeColor="text1"/>
                <w14:textFill>
                  <w14:solidFill>
                    <w14:schemeClr w14:val="tx1"/>
                  </w14:solidFill>
                </w14:textFill>
              </w:rPr>
              <w:t>地质调查和矿产勘查</w:t>
            </w:r>
            <w:r>
              <w:rPr>
                <w:rFonts w:hint="eastAsia"/>
                <w:color w:val="000000" w:themeColor="text1"/>
                <w14:textFill>
                  <w14:solidFill>
                    <w14:schemeClr w14:val="tx1"/>
                  </w14:solidFill>
                </w14:textFill>
              </w:rPr>
              <w:t>相关专业中级及以上技术职称，提供证书复印件；</w:t>
            </w:r>
          </w:p>
          <w:p w14:paraId="703E70C3">
            <w:r>
              <w:rPr>
                <w:rFonts w:hint="eastAsia"/>
              </w:rPr>
              <w:t>（3）本项目专门面向中小企业采购，须提供中小企业声明函，本项目对应的中小企业划分标准所属行业：其他未列明行业。（监狱企业、福利单位视为小微企业，符合政策要求。）</w:t>
            </w:r>
          </w:p>
          <w:p w14:paraId="7B4A638C">
            <w:r>
              <w:rPr>
                <w:rFonts w:hint="eastAsia"/>
              </w:rPr>
              <w:t>4、单位负责人为同一人或者存在直接控股、管理关系的不同供应商，不得参加同一合同项下的政府采购活动。</w:t>
            </w:r>
          </w:p>
          <w:p w14:paraId="1A9848D6">
            <w:r>
              <w:rPr>
                <w:rFonts w:hint="eastAsia"/>
              </w:rPr>
              <w:t>5、为本采购项目提供整体设计、规范编制或者项目管理、监理、检测等服务的，不得再参加此项目的其他采购活动。</w:t>
            </w:r>
          </w:p>
          <w:p w14:paraId="21D90060">
            <w:r>
              <w:rPr>
                <w:rFonts w:hint="eastAsia"/>
              </w:rPr>
              <w:t>6、列入失信被执行人、重大税收违法失信主体名单、政府采购严重违法失信行为记录名单的，拒绝其参与政府采购活动。</w:t>
            </w:r>
          </w:p>
          <w:p w14:paraId="291D228B">
            <w:pPr>
              <w:spacing w:before="120" w:beforeLines="50" w:line="240" w:lineRule="auto"/>
              <w:ind w:firstLine="0" w:firstLineChars="0"/>
            </w:pPr>
            <w:r>
              <w:rPr>
                <w:rFonts w:hint="eastAsia"/>
              </w:rPr>
              <w:t>7、联合体投标。本次招标不接受联合体投标。</w:t>
            </w:r>
          </w:p>
        </w:tc>
      </w:tr>
      <w:tr w14:paraId="50F7A9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1281" w:type="dxa"/>
            <w:tcBorders>
              <w:tl2br w:val="nil"/>
              <w:tr2bl w:val="nil"/>
            </w:tcBorders>
            <w:vAlign w:val="center"/>
          </w:tcPr>
          <w:p w14:paraId="57E71DFB">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第二章第6.1款</w:t>
            </w:r>
          </w:p>
        </w:tc>
        <w:tc>
          <w:tcPr>
            <w:tcW w:w="2164" w:type="dxa"/>
            <w:tcBorders>
              <w:tl2br w:val="nil"/>
              <w:tr2bl w:val="nil"/>
            </w:tcBorders>
            <w:vAlign w:val="center"/>
          </w:tcPr>
          <w:p w14:paraId="4924C14E">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联合体形式</w:t>
            </w:r>
          </w:p>
        </w:tc>
        <w:tc>
          <w:tcPr>
            <w:tcW w:w="5329" w:type="dxa"/>
            <w:tcBorders>
              <w:tl2br w:val="nil"/>
              <w:tr2bl w:val="nil"/>
            </w:tcBorders>
            <w:vAlign w:val="center"/>
          </w:tcPr>
          <w:p w14:paraId="689750C8">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不接受</w:t>
            </w:r>
          </w:p>
          <w:p w14:paraId="7A5E6BB2">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接受</w:t>
            </w:r>
          </w:p>
        </w:tc>
      </w:tr>
      <w:tr w14:paraId="36610E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7C8E68EC">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第二章第6.2款</w:t>
            </w:r>
          </w:p>
        </w:tc>
        <w:tc>
          <w:tcPr>
            <w:tcW w:w="2164" w:type="dxa"/>
            <w:tcBorders>
              <w:tl2br w:val="nil"/>
              <w:tr2bl w:val="nil"/>
            </w:tcBorders>
            <w:vAlign w:val="center"/>
          </w:tcPr>
          <w:p w14:paraId="439696AE">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对联合体各方的要求</w:t>
            </w:r>
          </w:p>
        </w:tc>
        <w:tc>
          <w:tcPr>
            <w:tcW w:w="5329" w:type="dxa"/>
            <w:tcBorders>
              <w:tl2br w:val="nil"/>
              <w:tr2bl w:val="nil"/>
            </w:tcBorders>
            <w:vAlign w:val="center"/>
          </w:tcPr>
          <w:p w14:paraId="6DF5980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r w14:paraId="5CB8EF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c>
          <w:tcPr>
            <w:tcW w:w="1281" w:type="dxa"/>
            <w:tcBorders>
              <w:tl2br w:val="nil"/>
              <w:tr2bl w:val="nil"/>
            </w:tcBorders>
            <w:vAlign w:val="center"/>
          </w:tcPr>
          <w:p w14:paraId="621407A9">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第二章第7.1款</w:t>
            </w:r>
          </w:p>
        </w:tc>
        <w:tc>
          <w:tcPr>
            <w:tcW w:w="2164" w:type="dxa"/>
            <w:tcBorders>
              <w:tl2br w:val="nil"/>
              <w:tr2bl w:val="nil"/>
            </w:tcBorders>
            <w:vAlign w:val="center"/>
          </w:tcPr>
          <w:p w14:paraId="6E8A6EA0">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现场勘察</w:t>
            </w:r>
          </w:p>
        </w:tc>
        <w:tc>
          <w:tcPr>
            <w:tcW w:w="5329" w:type="dxa"/>
            <w:tcBorders>
              <w:tl2br w:val="nil"/>
              <w:tr2bl w:val="nil"/>
            </w:tcBorders>
            <w:vAlign w:val="center"/>
          </w:tcPr>
          <w:p w14:paraId="2464E59E">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采购人不组织</w:t>
            </w:r>
          </w:p>
          <w:p w14:paraId="018D7449">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采购人组织，时间：地点：联系人：</w:t>
            </w:r>
          </w:p>
        </w:tc>
      </w:tr>
      <w:tr w14:paraId="7A765B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23FDBDEE">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第二章第8.1款</w:t>
            </w:r>
          </w:p>
        </w:tc>
        <w:tc>
          <w:tcPr>
            <w:tcW w:w="2164" w:type="dxa"/>
            <w:tcBorders>
              <w:tl2br w:val="nil"/>
              <w:tr2bl w:val="nil"/>
            </w:tcBorders>
            <w:vAlign w:val="center"/>
          </w:tcPr>
          <w:p w14:paraId="7BB72634">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采购进口产品</w:t>
            </w:r>
          </w:p>
        </w:tc>
        <w:tc>
          <w:tcPr>
            <w:tcW w:w="5329" w:type="dxa"/>
            <w:tcBorders>
              <w:tl2br w:val="nil"/>
              <w:tr2bl w:val="nil"/>
            </w:tcBorders>
            <w:vAlign w:val="center"/>
          </w:tcPr>
          <w:p w14:paraId="46BE9F79">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本项目拒绝采购进口产品</w:t>
            </w:r>
          </w:p>
          <w:p w14:paraId="5DD8CB38">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本项目已经财政部门审核同意购买进口产品</w:t>
            </w:r>
          </w:p>
        </w:tc>
      </w:tr>
      <w:tr w14:paraId="49D445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1281" w:type="dxa"/>
            <w:tcBorders>
              <w:tl2br w:val="nil"/>
              <w:tr2bl w:val="nil"/>
            </w:tcBorders>
            <w:noWrap/>
            <w:vAlign w:val="center"/>
          </w:tcPr>
          <w:p w14:paraId="7388E586">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第二章第9.2款</w:t>
            </w:r>
          </w:p>
        </w:tc>
        <w:tc>
          <w:tcPr>
            <w:tcW w:w="2164" w:type="dxa"/>
            <w:tcBorders>
              <w:tl2br w:val="nil"/>
              <w:tr2bl w:val="nil"/>
            </w:tcBorders>
            <w:noWrap/>
            <w:vAlign w:val="center"/>
          </w:tcPr>
          <w:p w14:paraId="321A013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优先采购：</w:t>
            </w:r>
          </w:p>
          <w:p w14:paraId="6F5A7118">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1、非强制采购的节能产品；</w:t>
            </w:r>
          </w:p>
          <w:p w14:paraId="1BC3D020">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2、环境标志产品；</w:t>
            </w:r>
          </w:p>
          <w:p w14:paraId="029B9183">
            <w:pPr>
              <w:spacing w:before="120" w:beforeLines="50" w:line="240" w:lineRule="auto"/>
              <w:ind w:firstLine="0" w:firstLineChars="0"/>
              <w:rPr>
                <w:rFonts w:asciiTheme="minorEastAsia" w:hAnsiTheme="minorEastAsia" w:eastAsiaTheme="minorEastAsia" w:cstheme="minorEastAsia"/>
                <w:szCs w:val="21"/>
              </w:rPr>
            </w:pPr>
          </w:p>
        </w:tc>
        <w:tc>
          <w:tcPr>
            <w:tcW w:w="5329" w:type="dxa"/>
            <w:tcBorders>
              <w:tl2br w:val="nil"/>
              <w:tr2bl w:val="nil"/>
            </w:tcBorders>
            <w:noWrap/>
            <w:vAlign w:val="center"/>
          </w:tcPr>
          <w:p w14:paraId="1593649F">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1、供应商提供的产品为《节能产品政府采购清单》(最新一期)内非标记★符号的，分别给予技术和价格项标准总分值4%-8%的加分。本项目具体加分比例分别为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%、价格</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w:t>
            </w:r>
          </w:p>
          <w:p w14:paraId="73887707">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2、供应商提供的产品为《环境标志产品政府采购清单》(最新一期)内的，分别给予技术和价格项标准总分值4%-8%的加分。本项目具体加分比例分别为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%、价格</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w:t>
            </w:r>
          </w:p>
        </w:tc>
      </w:tr>
      <w:tr w14:paraId="2F2523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8774" w:type="dxa"/>
            <w:gridSpan w:val="3"/>
            <w:tcBorders>
              <w:tl2br w:val="nil"/>
              <w:tr2bl w:val="nil"/>
            </w:tcBorders>
            <w:vAlign w:val="center"/>
          </w:tcPr>
          <w:p w14:paraId="47C0BC67">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二、磋商文件</w:t>
            </w:r>
          </w:p>
        </w:tc>
      </w:tr>
      <w:tr w14:paraId="3724D5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69D86A9E">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第二章第10.2款容</w:t>
            </w:r>
          </w:p>
        </w:tc>
        <w:tc>
          <w:tcPr>
            <w:tcW w:w="2164" w:type="dxa"/>
            <w:tcBorders>
              <w:tl2br w:val="nil"/>
              <w:tr2bl w:val="nil"/>
            </w:tcBorders>
            <w:vAlign w:val="center"/>
          </w:tcPr>
          <w:p w14:paraId="08A4E247">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磋商文件的可能实质性变动内</w:t>
            </w:r>
          </w:p>
        </w:tc>
        <w:tc>
          <w:tcPr>
            <w:tcW w:w="5329" w:type="dxa"/>
            <w:tcBorders>
              <w:tl2br w:val="nil"/>
              <w:tr2bl w:val="nil"/>
            </w:tcBorders>
            <w:vAlign w:val="center"/>
          </w:tcPr>
          <w:p w14:paraId="51AC8B40">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采购需求、技术、服务、合同条款</w:t>
            </w:r>
          </w:p>
          <w:p w14:paraId="6FCAAD2E">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磋商文件的实质性变动内容为磋商文件的组成部分，实质性变动内容</w:t>
            </w:r>
            <w:r>
              <w:rPr>
                <w:rFonts w:hint="eastAsia" w:asciiTheme="minorEastAsia" w:hAnsiTheme="minorEastAsia" w:eastAsiaTheme="minorEastAsia" w:cstheme="minorEastAsia"/>
                <w:szCs w:val="21"/>
                <w:lang w:val="zh-CN"/>
              </w:rPr>
              <w:t>与</w:t>
            </w:r>
            <w:r>
              <w:rPr>
                <w:rFonts w:hint="eastAsia" w:asciiTheme="minorEastAsia" w:hAnsiTheme="minorEastAsia" w:eastAsiaTheme="minorEastAsia" w:cstheme="minorEastAsia"/>
                <w:szCs w:val="21"/>
              </w:rPr>
              <w:t>磋商文件</w:t>
            </w:r>
            <w:r>
              <w:rPr>
                <w:rFonts w:hint="eastAsia" w:asciiTheme="minorEastAsia" w:hAnsiTheme="minorEastAsia" w:eastAsiaTheme="minorEastAsia" w:cstheme="minorEastAsia"/>
                <w:szCs w:val="21"/>
                <w:lang w:val="zh-CN"/>
              </w:rPr>
              <w:t>不一致时，以</w:t>
            </w:r>
            <w:r>
              <w:rPr>
                <w:rFonts w:hint="eastAsia" w:asciiTheme="minorEastAsia" w:hAnsiTheme="minorEastAsia" w:eastAsiaTheme="minorEastAsia" w:cstheme="minorEastAsia"/>
                <w:szCs w:val="21"/>
              </w:rPr>
              <w:t>实质性变动内容</w:t>
            </w:r>
            <w:r>
              <w:rPr>
                <w:rFonts w:hint="eastAsia" w:asciiTheme="minorEastAsia" w:hAnsiTheme="minorEastAsia" w:eastAsiaTheme="minorEastAsia" w:cstheme="minorEastAsia"/>
                <w:szCs w:val="21"/>
                <w:lang w:val="zh-CN"/>
              </w:rPr>
              <w:t>为准。</w:t>
            </w:r>
          </w:p>
        </w:tc>
      </w:tr>
      <w:tr w14:paraId="038CE9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4E07E1E6">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第二章第11.1款</w:t>
            </w:r>
          </w:p>
        </w:tc>
        <w:tc>
          <w:tcPr>
            <w:tcW w:w="2164" w:type="dxa"/>
            <w:tcBorders>
              <w:tl2br w:val="nil"/>
              <w:tr2bl w:val="nil"/>
            </w:tcBorders>
            <w:vAlign w:val="center"/>
          </w:tcPr>
          <w:p w14:paraId="6CAED20B">
            <w:pPr>
              <w:spacing w:before="120" w:beforeLines="50" w:line="24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提供磋商文件期限</w:t>
            </w:r>
          </w:p>
        </w:tc>
        <w:tc>
          <w:tcPr>
            <w:tcW w:w="5329" w:type="dxa"/>
            <w:tcBorders>
              <w:tl2br w:val="nil"/>
              <w:tr2bl w:val="nil"/>
            </w:tcBorders>
            <w:vAlign w:val="center"/>
          </w:tcPr>
          <w:p w14:paraId="6C993EC2">
            <w:pPr>
              <w:spacing w:before="120" w:beforeLines="50" w:line="240" w:lineRule="auto"/>
              <w:ind w:firstLine="0" w:firstLineChars="0"/>
              <w:rPr>
                <w:rFonts w:asciiTheme="minorEastAsia" w:hAnsiTheme="minorEastAsia" w:eastAsiaTheme="minorEastAsia" w:cstheme="minorEastAsia"/>
                <w:szCs w:val="21"/>
              </w:rPr>
            </w:pPr>
            <w:r>
              <w:rPr>
                <w:rFonts w:hint="eastAsia"/>
              </w:rPr>
              <w:t>2026年</w:t>
            </w:r>
            <w:r>
              <w:rPr>
                <w:rFonts w:hint="eastAsia"/>
                <w:lang w:val="en-US" w:eastAsia="zh-CN"/>
              </w:rPr>
              <w:t>07</w:t>
            </w:r>
            <w:r>
              <w:rPr>
                <w:rFonts w:hint="eastAsia"/>
              </w:rPr>
              <w:t>月</w:t>
            </w:r>
            <w:r>
              <w:rPr>
                <w:rFonts w:hint="eastAsia"/>
                <w:lang w:val="en-US" w:eastAsia="zh-CN"/>
              </w:rPr>
              <w:t>16</w:t>
            </w:r>
            <w:r>
              <w:rPr>
                <w:rFonts w:hint="eastAsia"/>
              </w:rPr>
              <w:t>日至2026年0</w:t>
            </w:r>
            <w:r>
              <w:rPr>
                <w:rFonts w:hint="eastAsia"/>
                <w:lang w:val="en-US" w:eastAsia="zh-CN"/>
              </w:rPr>
              <w:t>7</w:t>
            </w:r>
            <w:bookmarkStart w:id="365" w:name="_GoBack"/>
            <w:bookmarkEnd w:id="365"/>
            <w:r>
              <w:rPr>
                <w:rFonts w:hint="eastAsia"/>
              </w:rPr>
              <w:t>月</w:t>
            </w:r>
            <w:r>
              <w:rPr>
                <w:rFonts w:hint="eastAsia"/>
                <w:lang w:val="en-US" w:eastAsia="zh-CN"/>
              </w:rPr>
              <w:t>22</w:t>
            </w:r>
            <w:r>
              <w:rPr>
                <w:rFonts w:hint="eastAsia"/>
              </w:rPr>
              <w:t>日</w:t>
            </w:r>
          </w:p>
        </w:tc>
      </w:tr>
      <w:tr w14:paraId="284841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46CFAFC6">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第二章第11.2款</w:t>
            </w:r>
          </w:p>
        </w:tc>
        <w:tc>
          <w:tcPr>
            <w:tcW w:w="2164" w:type="dxa"/>
            <w:tcBorders>
              <w:tl2br w:val="nil"/>
              <w:tr2bl w:val="nil"/>
            </w:tcBorders>
            <w:vAlign w:val="center"/>
          </w:tcPr>
          <w:p w14:paraId="41EA6E80">
            <w:pPr>
              <w:spacing w:before="120" w:beforeLines="50" w:line="24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领取或购买磋商文件时应提供的资料</w:t>
            </w:r>
          </w:p>
        </w:tc>
        <w:tc>
          <w:tcPr>
            <w:tcW w:w="5329" w:type="dxa"/>
            <w:tcBorders>
              <w:tl2br w:val="nil"/>
              <w:tr2bl w:val="nil"/>
            </w:tcBorders>
            <w:vAlign w:val="center"/>
          </w:tcPr>
          <w:p w14:paraId="55FA75DD">
            <w:pPr>
              <w:spacing w:before="120" w:beforeLines="50" w:line="240" w:lineRule="auto"/>
              <w:ind w:firstLine="0" w:firstLineChars="0"/>
              <w:rPr>
                <w:rFonts w:asciiTheme="minorEastAsia" w:hAnsiTheme="minorEastAsia" w:eastAsiaTheme="minorEastAsia" w:cstheme="minorEastAsia"/>
                <w:color w:val="FF0000"/>
                <w:szCs w:val="21"/>
                <w:u w:val="single"/>
              </w:rPr>
            </w:pPr>
            <w:r>
              <w:rPr>
                <w:rFonts w:hint="eastAsia" w:asciiTheme="minorEastAsia" w:hAnsiTheme="minorEastAsia" w:eastAsiaTheme="minorEastAsia" w:cstheme="minorEastAsia"/>
                <w:szCs w:val="21"/>
              </w:rPr>
              <w:t>个人身份证、法定代表人身份证明或者授权委托书并附法定代表人身份证明。</w:t>
            </w:r>
          </w:p>
        </w:tc>
      </w:tr>
      <w:tr w14:paraId="256CC2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60111F58">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第二章第12.1款</w:t>
            </w:r>
          </w:p>
        </w:tc>
        <w:tc>
          <w:tcPr>
            <w:tcW w:w="2164" w:type="dxa"/>
            <w:tcBorders>
              <w:tl2br w:val="nil"/>
              <w:tr2bl w:val="nil"/>
            </w:tcBorders>
            <w:vAlign w:val="center"/>
          </w:tcPr>
          <w:p w14:paraId="65245ABD">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提交首次响应文件的截止时间</w:t>
            </w:r>
          </w:p>
        </w:tc>
        <w:tc>
          <w:tcPr>
            <w:tcW w:w="5329" w:type="dxa"/>
            <w:tcBorders>
              <w:tl2br w:val="nil"/>
              <w:tr2bl w:val="nil"/>
            </w:tcBorders>
            <w:vAlign w:val="center"/>
          </w:tcPr>
          <w:p w14:paraId="218569C9">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2026年0</w:t>
            </w:r>
            <w:r>
              <w:rPr>
                <w:rFonts w:hint="eastAsia" w:asciiTheme="minorEastAsia" w:hAnsiTheme="minorEastAsia" w:eastAsiaTheme="minorEastAsia" w:cstheme="minorEastAsia"/>
                <w:kern w:val="0"/>
                <w:szCs w:val="21"/>
                <w:lang w:val="en-US" w:eastAsia="zh-CN"/>
              </w:rPr>
              <w:t>7</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lang w:val="en-US" w:eastAsia="zh-CN"/>
              </w:rPr>
              <w:t>27</w:t>
            </w:r>
            <w:r>
              <w:rPr>
                <w:rFonts w:hint="eastAsia" w:asciiTheme="minorEastAsia" w:hAnsiTheme="minorEastAsia" w:eastAsiaTheme="minorEastAsia" w:cstheme="minorEastAsia"/>
                <w:kern w:val="0"/>
                <w:szCs w:val="21"/>
              </w:rPr>
              <w:t>日14时30分</w:t>
            </w:r>
            <w:r>
              <w:rPr>
                <w:rFonts w:hint="eastAsia" w:asciiTheme="minorEastAsia" w:hAnsiTheme="minorEastAsia" w:eastAsiaTheme="minorEastAsia" w:cstheme="minorEastAsia"/>
                <w:szCs w:val="21"/>
              </w:rPr>
              <w:t>（北京时间）</w:t>
            </w:r>
          </w:p>
        </w:tc>
      </w:tr>
      <w:tr w14:paraId="3CEA04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774" w:type="dxa"/>
            <w:gridSpan w:val="3"/>
            <w:tcBorders>
              <w:tl2br w:val="nil"/>
              <w:tr2bl w:val="nil"/>
            </w:tcBorders>
            <w:vAlign w:val="center"/>
          </w:tcPr>
          <w:p w14:paraId="5D74D30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三、响应文件的编写</w:t>
            </w:r>
          </w:p>
        </w:tc>
      </w:tr>
      <w:tr w14:paraId="48BFC73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35C9C45D">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第二章第16.4款</w:t>
            </w:r>
          </w:p>
        </w:tc>
        <w:tc>
          <w:tcPr>
            <w:tcW w:w="2164" w:type="dxa"/>
            <w:tcBorders>
              <w:tl2br w:val="nil"/>
              <w:tr2bl w:val="nil"/>
            </w:tcBorders>
            <w:vAlign w:val="center"/>
          </w:tcPr>
          <w:p w14:paraId="278780E3">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采购项目预算和最高限价</w:t>
            </w:r>
          </w:p>
        </w:tc>
        <w:tc>
          <w:tcPr>
            <w:tcW w:w="5329" w:type="dxa"/>
            <w:tcBorders>
              <w:tl2br w:val="nil"/>
              <w:tr2bl w:val="nil"/>
            </w:tcBorders>
            <w:vAlign w:val="center"/>
          </w:tcPr>
          <w:p w14:paraId="41D87FE9">
            <w:pPr>
              <w:spacing w:before="120" w:beforeLines="50" w:line="240" w:lineRule="auto"/>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采购预算：</w:t>
            </w:r>
            <w:r>
              <w:rPr>
                <w:rFonts w:hint="eastAsia" w:asciiTheme="minorEastAsia" w:hAnsiTheme="minorEastAsia" w:eastAsiaTheme="minorEastAsia" w:cstheme="minorEastAsia"/>
                <w:bCs/>
                <w:szCs w:val="21"/>
                <w:u w:val="single"/>
                <w:lang w:eastAsia="zh-CN"/>
              </w:rPr>
              <w:t>538297.52</w:t>
            </w:r>
            <w:r>
              <w:rPr>
                <w:rFonts w:hint="eastAsia" w:asciiTheme="minorEastAsia" w:hAnsiTheme="minorEastAsia" w:eastAsiaTheme="minorEastAsia" w:cstheme="minorEastAsia"/>
                <w:bCs/>
                <w:szCs w:val="21"/>
                <w:u w:val="single"/>
              </w:rPr>
              <w:t>元（</w:t>
            </w:r>
            <w:r>
              <w:rPr>
                <w:rFonts w:hint="eastAsia" w:asciiTheme="minorEastAsia" w:hAnsiTheme="minorEastAsia" w:eastAsiaTheme="minorEastAsia" w:cstheme="minorEastAsia"/>
                <w:bCs/>
                <w:szCs w:val="21"/>
              </w:rPr>
              <w:t>人民币）</w:t>
            </w:r>
          </w:p>
          <w:p w14:paraId="0943F710">
            <w:pPr>
              <w:spacing w:before="120" w:beforeLines="50" w:line="240" w:lineRule="auto"/>
              <w:ind w:firstLine="0" w:firstLineChars="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最高限价：</w:t>
            </w:r>
            <w:r>
              <w:rPr>
                <w:rFonts w:hint="eastAsia" w:asciiTheme="minorEastAsia" w:hAnsiTheme="minorEastAsia" w:eastAsiaTheme="minorEastAsia" w:cstheme="minorEastAsia"/>
                <w:bCs/>
                <w:szCs w:val="21"/>
                <w:u w:val="single"/>
                <w:lang w:eastAsia="zh-CN"/>
              </w:rPr>
              <w:t>538297.52</w:t>
            </w:r>
            <w:r>
              <w:rPr>
                <w:rFonts w:hint="eastAsia" w:asciiTheme="minorEastAsia" w:hAnsiTheme="minorEastAsia" w:eastAsiaTheme="minorEastAsia" w:cstheme="minorEastAsia"/>
                <w:bCs/>
                <w:szCs w:val="21"/>
                <w:u w:val="single"/>
              </w:rPr>
              <w:t>元</w:t>
            </w:r>
            <w:r>
              <w:rPr>
                <w:rFonts w:hint="eastAsia" w:asciiTheme="minorEastAsia" w:hAnsiTheme="minorEastAsia" w:eastAsiaTheme="minorEastAsia" w:cstheme="minorEastAsia"/>
                <w:bCs/>
                <w:szCs w:val="21"/>
              </w:rPr>
              <w:t>（人民币）</w:t>
            </w:r>
          </w:p>
        </w:tc>
      </w:tr>
      <w:tr w14:paraId="6C161C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5FA409A1">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第二章第19.1款</w:t>
            </w:r>
          </w:p>
        </w:tc>
        <w:tc>
          <w:tcPr>
            <w:tcW w:w="2164" w:type="dxa"/>
            <w:tcBorders>
              <w:tl2br w:val="nil"/>
              <w:tr2bl w:val="nil"/>
            </w:tcBorders>
            <w:vAlign w:val="center"/>
          </w:tcPr>
          <w:p w14:paraId="25453AA7">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磋商保证金</w:t>
            </w:r>
          </w:p>
        </w:tc>
        <w:tc>
          <w:tcPr>
            <w:tcW w:w="5329" w:type="dxa"/>
            <w:tcBorders>
              <w:tl2br w:val="nil"/>
              <w:tr2bl w:val="nil"/>
            </w:tcBorders>
            <w:vAlign w:val="center"/>
          </w:tcPr>
          <w:p w14:paraId="24CA0A54">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不要求提供</w:t>
            </w:r>
          </w:p>
          <w:p w14:paraId="18F55804">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要求提供</w:t>
            </w:r>
          </w:p>
        </w:tc>
      </w:tr>
      <w:tr w14:paraId="0DD78E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0531DA65">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第二章第20.1款</w:t>
            </w:r>
          </w:p>
        </w:tc>
        <w:tc>
          <w:tcPr>
            <w:tcW w:w="2164" w:type="dxa"/>
            <w:tcBorders>
              <w:tl2br w:val="nil"/>
              <w:tr2bl w:val="nil"/>
            </w:tcBorders>
            <w:vAlign w:val="center"/>
          </w:tcPr>
          <w:p w14:paraId="2892FD1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响应文件有效期</w:t>
            </w:r>
          </w:p>
        </w:tc>
        <w:tc>
          <w:tcPr>
            <w:tcW w:w="5329" w:type="dxa"/>
            <w:tcBorders>
              <w:tl2br w:val="nil"/>
              <w:tr2bl w:val="nil"/>
            </w:tcBorders>
            <w:vAlign w:val="center"/>
          </w:tcPr>
          <w:p w14:paraId="25199A93">
            <w:pPr>
              <w:spacing w:before="120" w:beforeLines="50" w:line="240" w:lineRule="auto"/>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90</w:t>
            </w:r>
            <w:r>
              <w:rPr>
                <w:rFonts w:hint="eastAsia" w:asciiTheme="minorEastAsia" w:hAnsiTheme="minorEastAsia" w:eastAsiaTheme="minorEastAsia" w:cstheme="minorEastAsia"/>
                <w:szCs w:val="21"/>
              </w:rPr>
              <w:t>日（日历日）</w:t>
            </w:r>
          </w:p>
        </w:tc>
      </w:tr>
      <w:tr w14:paraId="11AD86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281" w:type="dxa"/>
            <w:tcBorders>
              <w:tl2br w:val="nil"/>
              <w:tr2bl w:val="nil"/>
            </w:tcBorders>
            <w:vAlign w:val="center"/>
          </w:tcPr>
          <w:p w14:paraId="60FB231E">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第二章第21.1款</w:t>
            </w:r>
          </w:p>
        </w:tc>
        <w:tc>
          <w:tcPr>
            <w:tcW w:w="2164" w:type="dxa"/>
            <w:tcBorders>
              <w:tl2br w:val="nil"/>
              <w:tr2bl w:val="nil"/>
            </w:tcBorders>
            <w:vAlign w:val="center"/>
          </w:tcPr>
          <w:p w14:paraId="08ADE383">
            <w:pPr>
              <w:spacing w:before="120" w:beforeLines="50" w:line="240" w:lineRule="auto"/>
              <w:ind w:firstLine="0" w:firstLineChars="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w:t>
            </w:r>
            <w:r>
              <w:rPr>
                <w:rFonts w:hint="eastAsia" w:asciiTheme="minorEastAsia" w:hAnsiTheme="minorEastAsia" w:eastAsiaTheme="minorEastAsia" w:cstheme="minorEastAsia"/>
                <w:szCs w:val="21"/>
              </w:rPr>
              <w:t>文件份数</w:t>
            </w:r>
          </w:p>
        </w:tc>
        <w:tc>
          <w:tcPr>
            <w:tcW w:w="5329" w:type="dxa"/>
            <w:tcBorders>
              <w:tl2br w:val="nil"/>
              <w:tr2bl w:val="nil"/>
            </w:tcBorders>
            <w:vAlign w:val="center"/>
          </w:tcPr>
          <w:p w14:paraId="10019998">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电子文件：供应商递交电子档响应文件一份（U盘）。</w:t>
            </w:r>
          </w:p>
          <w:p w14:paraId="68ED1C7C">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纸质文件：一正三副；响应文件封面上明确写明“正本”或“副本”，正本和副本内容如不一致，以正本为准。</w:t>
            </w:r>
          </w:p>
          <w:p w14:paraId="4782EBDE">
            <w:pPr>
              <w:spacing w:before="120" w:beforeLines="50" w:line="240" w:lineRule="auto"/>
              <w:ind w:firstLine="0" w:firstLineChars="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装订要求：响应文件采用胶装方式装订，装订应牢固、不易拆散和换页，不得采用活页装订。</w:t>
            </w:r>
          </w:p>
        </w:tc>
      </w:tr>
      <w:tr w14:paraId="18BC3A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774" w:type="dxa"/>
            <w:gridSpan w:val="3"/>
            <w:tcBorders>
              <w:tl2br w:val="nil"/>
              <w:tr2bl w:val="nil"/>
            </w:tcBorders>
            <w:vAlign w:val="center"/>
          </w:tcPr>
          <w:p w14:paraId="757582DF">
            <w:pPr>
              <w:spacing w:before="120" w:beforeLines="50" w:line="240" w:lineRule="auto"/>
              <w:ind w:firstLine="0" w:firstLineChars="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szCs w:val="21"/>
              </w:rPr>
              <w:t>四、响应文件的递交</w:t>
            </w:r>
          </w:p>
        </w:tc>
      </w:tr>
      <w:tr w14:paraId="128763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088B2C26">
            <w:pPr>
              <w:spacing w:before="120" w:beforeLines="50" w:line="240" w:lineRule="auto"/>
              <w:ind w:firstLine="0" w:firstLineChars="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第二章第22.2款</w:t>
            </w:r>
          </w:p>
        </w:tc>
        <w:tc>
          <w:tcPr>
            <w:tcW w:w="2164" w:type="dxa"/>
            <w:tcBorders>
              <w:tl2br w:val="nil"/>
              <w:tr2bl w:val="nil"/>
            </w:tcBorders>
            <w:vAlign w:val="center"/>
          </w:tcPr>
          <w:p w14:paraId="155430FD">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封套上应载明的信息</w:t>
            </w:r>
          </w:p>
        </w:tc>
        <w:tc>
          <w:tcPr>
            <w:tcW w:w="5329" w:type="dxa"/>
            <w:tcBorders>
              <w:tl2br w:val="nil"/>
              <w:tr2bl w:val="nil"/>
            </w:tcBorders>
            <w:vAlign w:val="center"/>
          </w:tcPr>
          <w:p w14:paraId="1DC7766A">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（项目名称）响应文件</w:t>
            </w:r>
          </w:p>
          <w:p w14:paraId="3F3C5D67">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政府采购计划编号：</w:t>
            </w:r>
          </w:p>
          <w:p w14:paraId="26639A0E">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采购代理机构编号：</w:t>
            </w:r>
          </w:p>
          <w:p w14:paraId="18ECC02F">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p w14:paraId="7E8885B5">
            <w:pPr>
              <w:spacing w:before="120" w:beforeLines="50" w:line="240" w:lineRule="auto"/>
              <w:ind w:firstLine="0" w:firstLineChars="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在年月日时分（磋商响应文件递交截止时间）之前不得启封</w:t>
            </w:r>
          </w:p>
        </w:tc>
      </w:tr>
      <w:tr w14:paraId="48180D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7660495C">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第二章第24.1款</w:t>
            </w:r>
          </w:p>
        </w:tc>
        <w:tc>
          <w:tcPr>
            <w:tcW w:w="2164" w:type="dxa"/>
            <w:tcBorders>
              <w:tl2br w:val="nil"/>
              <w:tr2bl w:val="nil"/>
            </w:tcBorders>
            <w:vAlign w:val="center"/>
          </w:tcPr>
          <w:p w14:paraId="6FDCAA89">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响应文件的递交地点</w:t>
            </w:r>
          </w:p>
        </w:tc>
        <w:tc>
          <w:tcPr>
            <w:tcW w:w="5329" w:type="dxa"/>
            <w:tcBorders>
              <w:tl2br w:val="nil"/>
              <w:tr2bl w:val="nil"/>
            </w:tcBorders>
            <w:vAlign w:val="center"/>
          </w:tcPr>
          <w:p w14:paraId="3B995306">
            <w:pPr>
              <w:spacing w:before="120" w:beforeLines="50" w:line="240" w:lineRule="auto"/>
              <w:ind w:firstLine="0" w:firstLineChars="0"/>
              <w:rPr>
                <w:rFonts w:asciiTheme="minorEastAsia" w:hAnsiTheme="minorEastAsia" w:eastAsiaTheme="minorEastAsia" w:cstheme="minorEastAsia"/>
                <w:szCs w:val="21"/>
              </w:rPr>
            </w:pPr>
            <w:r>
              <w:rPr>
                <w:rFonts w:hint="eastAsia"/>
              </w:rPr>
              <w:t>湖南全至工程咨询有限公司(湘阴县芙蓉北路兴湘市场大门北侧三十九栋)</w:t>
            </w:r>
          </w:p>
        </w:tc>
      </w:tr>
      <w:tr w14:paraId="6CE873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774" w:type="dxa"/>
            <w:gridSpan w:val="3"/>
            <w:tcBorders>
              <w:tl2br w:val="nil"/>
              <w:tr2bl w:val="nil"/>
            </w:tcBorders>
            <w:vAlign w:val="center"/>
          </w:tcPr>
          <w:p w14:paraId="6586F110">
            <w:pPr>
              <w:spacing w:before="120" w:beforeLines="50" w:line="240" w:lineRule="auto"/>
              <w:ind w:firstLine="0" w:firstLineChars="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五、响应文件的磋商与评审</w:t>
            </w:r>
          </w:p>
        </w:tc>
      </w:tr>
      <w:tr w14:paraId="08321A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4EA98B0D">
            <w:pPr>
              <w:spacing w:before="120" w:beforeLines="50" w:line="240" w:lineRule="auto"/>
              <w:ind w:firstLine="0" w:firstLineChars="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第二章第31.2款</w:t>
            </w:r>
          </w:p>
        </w:tc>
        <w:tc>
          <w:tcPr>
            <w:tcW w:w="2164" w:type="dxa"/>
            <w:tcBorders>
              <w:tl2br w:val="nil"/>
              <w:tr2bl w:val="nil"/>
            </w:tcBorders>
            <w:vAlign w:val="center"/>
          </w:tcPr>
          <w:p w14:paraId="0ACA9E87">
            <w:pPr>
              <w:spacing w:before="120" w:beforeLines="50" w:line="240" w:lineRule="auto"/>
              <w:ind w:firstLine="0" w:firstLineChars="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评审因素和标准</w:t>
            </w:r>
          </w:p>
        </w:tc>
        <w:tc>
          <w:tcPr>
            <w:tcW w:w="5329" w:type="dxa"/>
            <w:tcBorders>
              <w:tl2br w:val="nil"/>
              <w:tr2bl w:val="nil"/>
            </w:tcBorders>
            <w:vAlign w:val="center"/>
          </w:tcPr>
          <w:p w14:paraId="01DB95AD">
            <w:pPr>
              <w:spacing w:before="120" w:beforeLines="50" w:line="240" w:lineRule="auto"/>
              <w:ind w:firstLine="0" w:firstLineChars="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见附页4</w:t>
            </w:r>
          </w:p>
        </w:tc>
      </w:tr>
      <w:tr w14:paraId="0C5259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608D1684">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第二章第31.3款</w:t>
            </w:r>
          </w:p>
        </w:tc>
        <w:tc>
          <w:tcPr>
            <w:tcW w:w="2164" w:type="dxa"/>
            <w:tcBorders>
              <w:tl2br w:val="nil"/>
              <w:tr2bl w:val="nil"/>
            </w:tcBorders>
            <w:vAlign w:val="center"/>
          </w:tcPr>
          <w:p w14:paraId="6C5FAFC2">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评审报价优惠</w:t>
            </w:r>
          </w:p>
        </w:tc>
        <w:tc>
          <w:tcPr>
            <w:tcW w:w="5329" w:type="dxa"/>
            <w:tcBorders>
              <w:tl2br w:val="nil"/>
              <w:tr2bl w:val="nil"/>
            </w:tcBorders>
            <w:vAlign w:val="center"/>
          </w:tcPr>
          <w:p w14:paraId="15F01912">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本项目专门面向中小企业采购，小、微企业不再享受价格评审优惠。</w:t>
            </w:r>
          </w:p>
          <w:p w14:paraId="29EC7936">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符合第二章第9.3款规定的供应商，参与评审的最后报价调整比例如下：</w:t>
            </w:r>
          </w:p>
          <w:p w14:paraId="62F2772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（1）给予小型和微型企业产品的价格给予10%-20%的扣除，用扣除后的价格参与评审，本项目具体扣除比例为</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%。用扣除后的最后报价计算价格分。</w:t>
            </w:r>
          </w:p>
          <w:p w14:paraId="3BBE3813">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（2）给予联合体2%-3%的价格扣除，用扣除后的价格参与评审，本项目具体扣除比例为</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w:t>
            </w:r>
          </w:p>
        </w:tc>
      </w:tr>
      <w:tr w14:paraId="13462A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0584A4A5">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第二章第31.5款</w:t>
            </w:r>
          </w:p>
        </w:tc>
        <w:tc>
          <w:tcPr>
            <w:tcW w:w="2164" w:type="dxa"/>
            <w:tcBorders>
              <w:tl2br w:val="nil"/>
              <w:tr2bl w:val="nil"/>
            </w:tcBorders>
            <w:vAlign w:val="center"/>
          </w:tcPr>
          <w:p w14:paraId="1AFA7523">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技术、商务、价格</w:t>
            </w:r>
            <w:r>
              <w:rPr>
                <w:rFonts w:hint="eastAsia" w:asciiTheme="minorEastAsia" w:hAnsiTheme="minorEastAsia" w:eastAsiaTheme="minorEastAsia" w:cstheme="minorEastAsia"/>
                <w:kern w:val="0"/>
                <w:szCs w:val="21"/>
              </w:rPr>
              <w:t>得分或总得分</w:t>
            </w:r>
            <w:r>
              <w:rPr>
                <w:rFonts w:hint="eastAsia" w:asciiTheme="minorEastAsia" w:hAnsiTheme="minorEastAsia" w:eastAsiaTheme="minorEastAsia" w:cstheme="minorEastAsia"/>
                <w:szCs w:val="21"/>
              </w:rPr>
              <w:t>调整</w:t>
            </w:r>
          </w:p>
        </w:tc>
        <w:tc>
          <w:tcPr>
            <w:tcW w:w="5329" w:type="dxa"/>
            <w:tcBorders>
              <w:tl2br w:val="nil"/>
              <w:tr2bl w:val="nil"/>
            </w:tcBorders>
            <w:vAlign w:val="center"/>
          </w:tcPr>
          <w:p w14:paraId="7AAE531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符合第二章第9.2款规定，按第二章第31.6款规定及本款分值调整：</w:t>
            </w:r>
          </w:p>
          <w:p w14:paraId="7DE4E36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1.节能产品：</w:t>
            </w:r>
          </w:p>
          <w:p w14:paraId="718994C3">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技术加分＝技术分值×加分比例×（节能产品最后报价÷最后总报价）；</w:t>
            </w:r>
          </w:p>
          <w:p w14:paraId="6A440A16">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价格加分＝价格分值×加分比例×（节能产品最后报价÷最后总报价）。</w:t>
            </w:r>
          </w:p>
          <w:p w14:paraId="24B15DB1">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2.环境标志产品：</w:t>
            </w:r>
          </w:p>
          <w:p w14:paraId="2BCBDA75">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技术加分＝技术分值×加分比例×（环境标志产品最后报价÷最后总报价）；</w:t>
            </w:r>
          </w:p>
          <w:p w14:paraId="25D2D237">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价格加分＝价格分值×加分比例×（环境标志产品最后报价÷最后总报价）。</w:t>
            </w:r>
          </w:p>
        </w:tc>
      </w:tr>
      <w:tr w14:paraId="3BA069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774" w:type="dxa"/>
            <w:gridSpan w:val="3"/>
            <w:tcBorders>
              <w:tl2br w:val="nil"/>
              <w:tr2bl w:val="nil"/>
            </w:tcBorders>
            <w:vAlign w:val="center"/>
          </w:tcPr>
          <w:p w14:paraId="135393DA">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六、成交结果信息公布与授予合同</w:t>
            </w:r>
          </w:p>
        </w:tc>
      </w:tr>
      <w:tr w14:paraId="654BE8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50D6305D">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第二章第37.1款、</w:t>
            </w:r>
          </w:p>
        </w:tc>
        <w:tc>
          <w:tcPr>
            <w:tcW w:w="2164" w:type="dxa"/>
            <w:tcBorders>
              <w:tl2br w:val="nil"/>
              <w:tr2bl w:val="nil"/>
            </w:tcBorders>
            <w:vAlign w:val="center"/>
          </w:tcPr>
          <w:p w14:paraId="796C2DFF">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财政部门指定的媒体</w:t>
            </w:r>
          </w:p>
        </w:tc>
        <w:tc>
          <w:tcPr>
            <w:tcW w:w="5329" w:type="dxa"/>
            <w:tcBorders>
              <w:tl2br w:val="nil"/>
              <w:tr2bl w:val="nil"/>
            </w:tcBorders>
            <w:vAlign w:val="center"/>
          </w:tcPr>
          <w:p w14:paraId="44CD4101">
            <w:pPr>
              <w:spacing w:before="120" w:beforeLines="50" w:line="240" w:lineRule="auto"/>
              <w:ind w:firstLine="0" w:firstLineChars="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中国·湖南政府采购网(www.ccgp-hunan.gov.cn)</w:t>
            </w:r>
          </w:p>
        </w:tc>
      </w:tr>
      <w:tr w14:paraId="6782C6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15D9CA85">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第二章第39.3款</w:t>
            </w:r>
          </w:p>
        </w:tc>
        <w:tc>
          <w:tcPr>
            <w:tcW w:w="2164" w:type="dxa"/>
            <w:tcBorders>
              <w:tl2br w:val="nil"/>
              <w:tr2bl w:val="nil"/>
            </w:tcBorders>
            <w:vAlign w:val="center"/>
          </w:tcPr>
          <w:p w14:paraId="7D3549CB">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履约担保</w:t>
            </w:r>
          </w:p>
        </w:tc>
        <w:tc>
          <w:tcPr>
            <w:tcW w:w="5329" w:type="dxa"/>
            <w:tcBorders>
              <w:tl2br w:val="nil"/>
              <w:tr2bl w:val="nil"/>
            </w:tcBorders>
            <w:vAlign w:val="center"/>
          </w:tcPr>
          <w:p w14:paraId="15D46F81">
            <w:pPr>
              <w:spacing w:before="120" w:beforeLines="50" w:line="240" w:lineRule="auto"/>
              <w:ind w:firstLine="0" w:firstLineChars="0"/>
              <w:rPr>
                <w:rFonts w:asciiTheme="minorEastAsia" w:hAnsiTheme="minorEastAsia" w:eastAsiaTheme="minorEastAsia" w:cstheme="minorEastAsia"/>
                <w:szCs w:val="21"/>
              </w:rPr>
            </w:pPr>
            <w:r>
              <w:rPr>
                <w:rFonts w:hint="eastAsia" w:ascii="Times New Roman"/>
              </w:rPr>
              <w:sym w:font="Wingdings 2" w:char="0052"/>
            </w:r>
            <w:r>
              <w:rPr>
                <w:rFonts w:hint="eastAsia" w:asciiTheme="minorEastAsia" w:hAnsiTheme="minorEastAsia" w:eastAsiaTheme="minorEastAsia" w:cstheme="minorEastAsia"/>
                <w:szCs w:val="21"/>
              </w:rPr>
              <w:t>不要求提供</w:t>
            </w:r>
          </w:p>
          <w:p w14:paraId="1A411335">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sym w:font="Wingdings 2" w:char="00A3"/>
            </w:r>
            <w:r>
              <w:rPr>
                <w:rFonts w:hint="eastAsia" w:asciiTheme="minorEastAsia" w:hAnsiTheme="minorEastAsia" w:eastAsiaTheme="minorEastAsia" w:cstheme="minorEastAsia"/>
                <w:szCs w:val="21"/>
              </w:rPr>
              <w:t>要求提供，履约担保的金额为：</w:t>
            </w:r>
          </w:p>
        </w:tc>
      </w:tr>
      <w:tr w14:paraId="48639F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774" w:type="dxa"/>
            <w:gridSpan w:val="3"/>
            <w:tcBorders>
              <w:tl2br w:val="nil"/>
              <w:tr2bl w:val="nil"/>
            </w:tcBorders>
            <w:vAlign w:val="center"/>
          </w:tcPr>
          <w:p w14:paraId="33CBB7C9">
            <w:pPr>
              <w:spacing w:before="120" w:beforeLines="50" w:line="240" w:lineRule="auto"/>
              <w:ind w:firstLine="0" w:firstLineChars="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b/>
                <w:szCs w:val="21"/>
              </w:rPr>
              <w:t>七、其他规定</w:t>
            </w:r>
          </w:p>
        </w:tc>
      </w:tr>
      <w:tr w14:paraId="4DEFC3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5F9E3FEB">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第二章第41.1款</w:t>
            </w:r>
          </w:p>
        </w:tc>
        <w:tc>
          <w:tcPr>
            <w:tcW w:w="2164" w:type="dxa"/>
            <w:tcBorders>
              <w:tl2br w:val="nil"/>
              <w:tr2bl w:val="nil"/>
            </w:tcBorders>
            <w:vAlign w:val="center"/>
          </w:tcPr>
          <w:p w14:paraId="462B9C39">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采购代理服务费</w:t>
            </w:r>
          </w:p>
        </w:tc>
        <w:tc>
          <w:tcPr>
            <w:tcW w:w="5329" w:type="dxa"/>
            <w:tcBorders>
              <w:tl2br w:val="nil"/>
              <w:tr2bl w:val="nil"/>
            </w:tcBorders>
            <w:vAlign w:val="center"/>
          </w:tcPr>
          <w:p w14:paraId="0ACA8230">
            <w:pPr>
              <w:spacing w:before="120" w:beforeLines="50" w:line="240" w:lineRule="auto"/>
              <w:ind w:firstLine="0" w:firstLineChars="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本项目招标代理服务费：</w:t>
            </w:r>
            <w:r>
              <w:rPr>
                <w:rFonts w:hint="eastAsia" w:asciiTheme="minorEastAsia" w:hAnsiTheme="minorEastAsia" w:eastAsiaTheme="minorEastAsia" w:cstheme="minorEastAsia"/>
                <w:szCs w:val="21"/>
                <w:lang w:val="en-US" w:eastAsia="zh-CN"/>
              </w:rPr>
              <w:t>10000</w:t>
            </w:r>
            <w:r>
              <w:rPr>
                <w:rFonts w:hint="eastAsia" w:asciiTheme="minorEastAsia" w:hAnsiTheme="minorEastAsia" w:eastAsiaTheme="minorEastAsia" w:cstheme="minorEastAsia"/>
                <w:szCs w:val="21"/>
              </w:rPr>
              <w:t>元。</w:t>
            </w:r>
          </w:p>
        </w:tc>
      </w:tr>
      <w:tr w14:paraId="1024AB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81" w:type="dxa"/>
            <w:tcBorders>
              <w:tl2br w:val="nil"/>
              <w:tr2bl w:val="nil"/>
            </w:tcBorders>
            <w:vAlign w:val="center"/>
          </w:tcPr>
          <w:p w14:paraId="3F1D5056">
            <w:pPr>
              <w:spacing w:before="120" w:beforeLines="50" w:line="240" w:lineRule="auto"/>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第二章第42.1款</w:t>
            </w:r>
          </w:p>
        </w:tc>
        <w:tc>
          <w:tcPr>
            <w:tcW w:w="2164" w:type="dxa"/>
            <w:tcBorders>
              <w:tl2br w:val="nil"/>
              <w:tr2bl w:val="nil"/>
            </w:tcBorders>
            <w:vAlign w:val="center"/>
          </w:tcPr>
          <w:p w14:paraId="5E65B250">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其他规定</w:t>
            </w:r>
          </w:p>
        </w:tc>
        <w:tc>
          <w:tcPr>
            <w:tcW w:w="5329" w:type="dxa"/>
            <w:tcBorders>
              <w:tl2br w:val="nil"/>
              <w:tr2bl w:val="nil"/>
            </w:tcBorders>
            <w:vAlign w:val="center"/>
          </w:tcPr>
          <w:p w14:paraId="6EA8D78C">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根据湘财购﹝2021﹞16号《湖南省财政厅湖南省工业和信息化厅关于运用政府采购促进中小企业发展有关事项的通知》，推行“承诺+信用”管理，简化中小企业参与政府采购证明材料，符合法定资格条件的供应商可将资格承诺声明作为资格证明材料，无需再提供财务状况、缴纳税收和社会保障资金等资格证明材料。</w:t>
            </w:r>
          </w:p>
          <w:p w14:paraId="03FC137A">
            <w:pPr>
              <w:spacing w:before="120" w:beforeLines="50" w:line="24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2.供应商可在中国湖南政府采购网登记资格、业绩以及商品等相关证明材料，并在响应文件中代替纸质证明材料使用，符合政府采购的资格条件即可参加政府采购活动。</w:t>
            </w:r>
          </w:p>
          <w:p w14:paraId="55E9B423">
            <w:pPr>
              <w:spacing w:before="120" w:beforeLines="50" w:line="240" w:lineRule="auto"/>
              <w:ind w:firstLine="0" w:firstLineChars="0"/>
            </w:pPr>
            <w:r>
              <w:rPr>
                <w:rFonts w:hint="eastAsia" w:asciiTheme="minorEastAsia" w:hAnsiTheme="minorEastAsia" w:eastAsiaTheme="minorEastAsia" w:cstheme="minorEastAsia"/>
                <w:szCs w:val="21"/>
              </w:rPr>
              <w:t>3.经采购人或监管部门查实，提供虚假承诺的供应商将以虚假资料谋取中标（成交）的违法行为，被列入不良记录名单，采购人有权取消其中选资格。</w:t>
            </w:r>
          </w:p>
        </w:tc>
      </w:tr>
    </w:tbl>
    <w:p w14:paraId="7BD3AD1A">
      <w:pPr>
        <w:adjustRightInd w:val="0"/>
        <w:snapToGrid w:val="0"/>
        <w:spacing w:line="240" w:lineRule="auto"/>
        <w:ind w:firstLine="442"/>
        <w:rPr>
          <w:rFonts w:ascii="Times New Roman" w:hAnsi="Times New Roman" w:cs="Times New Roman"/>
          <w:b/>
          <w:bCs/>
          <w:sz w:val="22"/>
          <w:szCs w:val="22"/>
        </w:rPr>
      </w:pPr>
    </w:p>
    <w:p w14:paraId="2D376232">
      <w:pPr>
        <w:ind w:firstLine="442"/>
        <w:rPr>
          <w:rFonts w:ascii="Times New Roman" w:hAnsi="Times New Roman" w:cs="Times New Roman"/>
          <w:b/>
          <w:bCs/>
          <w:sz w:val="22"/>
          <w:szCs w:val="22"/>
        </w:rPr>
      </w:pPr>
      <w:r>
        <w:rPr>
          <w:rFonts w:ascii="Times New Roman" w:hAnsi="Times New Roman" w:cs="Times New Roman"/>
          <w:b/>
          <w:bCs/>
          <w:sz w:val="22"/>
          <w:szCs w:val="22"/>
        </w:rPr>
        <w:br w:type="page"/>
      </w:r>
    </w:p>
    <w:p w14:paraId="6BFB716A">
      <w:pPr>
        <w:widowControl/>
        <w:ind w:firstLine="103" w:firstLineChars="49"/>
        <w:outlineLvl w:val="2"/>
      </w:pPr>
      <w:bookmarkStart w:id="85" w:name="_Toc20701"/>
      <w:bookmarkStart w:id="86" w:name="_Toc23156"/>
      <w:bookmarkStart w:id="87" w:name="_Toc31847"/>
      <w:r>
        <w:rPr>
          <w:rFonts w:hint="eastAsia"/>
          <w:b/>
          <w:color w:val="000000"/>
          <w:szCs w:val="21"/>
        </w:rPr>
        <w:t xml:space="preserve">附页1 </w:t>
      </w:r>
      <w:r>
        <w:rPr>
          <w:rFonts w:hint="eastAsia"/>
          <w:b/>
        </w:rPr>
        <w:t>资格审查表</w:t>
      </w:r>
      <w:bookmarkEnd w:id="85"/>
      <w:bookmarkEnd w:id="86"/>
      <w:bookmarkEnd w:id="87"/>
    </w:p>
    <w:p w14:paraId="5EFFA523">
      <w:pPr>
        <w:widowControl/>
        <w:ind w:firstLine="0" w:firstLineChars="0"/>
        <w:jc w:val="center"/>
        <w:rPr>
          <w:rFonts w:ascii="黑体" w:hAnsi="黑体" w:eastAsia="黑体" w:cs="黑体"/>
          <w:bCs/>
          <w:sz w:val="28"/>
          <w:szCs w:val="28"/>
        </w:rPr>
      </w:pPr>
      <w:r>
        <w:rPr>
          <w:rFonts w:hint="eastAsia" w:ascii="黑体" w:hAnsi="黑体" w:eastAsia="黑体" w:cs="黑体"/>
          <w:bCs/>
          <w:sz w:val="28"/>
          <w:szCs w:val="28"/>
        </w:rPr>
        <w:t>资格审查表</w:t>
      </w:r>
    </w:p>
    <w:tbl>
      <w:tblPr>
        <w:tblStyle w:val="45"/>
        <w:tblW w:w="92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932"/>
        <w:gridCol w:w="6600"/>
      </w:tblGrid>
      <w:tr w14:paraId="5BB4D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0C20AA9A">
            <w:pPr>
              <w:adjustRightInd w:val="0"/>
              <w:snapToGrid w:val="0"/>
              <w:spacing w:before="120" w:beforeLines="50"/>
              <w:ind w:firstLine="0" w:firstLineChars="0"/>
              <w:jc w:val="center"/>
              <w:rPr>
                <w:b/>
                <w:kern w:val="0"/>
                <w:szCs w:val="21"/>
              </w:rPr>
            </w:pPr>
            <w:r>
              <w:rPr>
                <w:rFonts w:hint="eastAsia"/>
                <w:b/>
                <w:kern w:val="0"/>
                <w:szCs w:val="21"/>
              </w:rPr>
              <w:t>序号</w:t>
            </w:r>
          </w:p>
        </w:tc>
        <w:tc>
          <w:tcPr>
            <w:tcW w:w="1932" w:type="dxa"/>
            <w:noWrap/>
            <w:vAlign w:val="center"/>
          </w:tcPr>
          <w:p w14:paraId="028F5795">
            <w:pPr>
              <w:adjustRightInd w:val="0"/>
              <w:snapToGrid w:val="0"/>
              <w:spacing w:before="120" w:beforeLines="50"/>
              <w:ind w:firstLine="0" w:firstLineChars="0"/>
              <w:jc w:val="center"/>
              <w:rPr>
                <w:b/>
                <w:kern w:val="0"/>
                <w:szCs w:val="21"/>
              </w:rPr>
            </w:pPr>
            <w:r>
              <w:rPr>
                <w:rFonts w:hint="eastAsia"/>
                <w:b/>
                <w:kern w:val="0"/>
                <w:szCs w:val="21"/>
              </w:rPr>
              <w:t>审查项目</w:t>
            </w:r>
          </w:p>
        </w:tc>
        <w:tc>
          <w:tcPr>
            <w:tcW w:w="6600" w:type="dxa"/>
            <w:noWrap/>
            <w:vAlign w:val="center"/>
          </w:tcPr>
          <w:p w14:paraId="2D6F9E2B">
            <w:pPr>
              <w:adjustRightInd w:val="0"/>
              <w:snapToGrid w:val="0"/>
              <w:spacing w:before="120" w:beforeLines="50"/>
              <w:ind w:firstLine="0" w:firstLineChars="0"/>
              <w:jc w:val="center"/>
              <w:rPr>
                <w:b/>
                <w:kern w:val="0"/>
                <w:szCs w:val="21"/>
              </w:rPr>
            </w:pPr>
            <w:r>
              <w:rPr>
                <w:rFonts w:hint="eastAsia"/>
                <w:b/>
                <w:kern w:val="0"/>
                <w:szCs w:val="21"/>
              </w:rPr>
              <w:t>审查标准</w:t>
            </w:r>
          </w:p>
        </w:tc>
      </w:tr>
      <w:tr w14:paraId="66681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4B740E89">
            <w:pPr>
              <w:adjustRightInd w:val="0"/>
              <w:snapToGrid w:val="0"/>
              <w:spacing w:before="120" w:beforeLines="50"/>
              <w:ind w:firstLine="0" w:firstLineChars="0"/>
              <w:jc w:val="center"/>
              <w:rPr>
                <w:b/>
                <w:bCs/>
                <w:kern w:val="0"/>
                <w:szCs w:val="21"/>
              </w:rPr>
            </w:pPr>
            <w:r>
              <w:rPr>
                <w:rFonts w:hint="eastAsia"/>
                <w:b/>
                <w:bCs/>
                <w:kern w:val="0"/>
                <w:szCs w:val="21"/>
              </w:rPr>
              <w:t>1</w:t>
            </w:r>
          </w:p>
        </w:tc>
        <w:tc>
          <w:tcPr>
            <w:tcW w:w="1932" w:type="dxa"/>
            <w:noWrap/>
            <w:vAlign w:val="center"/>
          </w:tcPr>
          <w:p w14:paraId="3B7A61A7">
            <w:pPr>
              <w:adjustRightInd w:val="0"/>
              <w:snapToGrid w:val="0"/>
              <w:spacing w:before="120" w:beforeLines="50"/>
              <w:ind w:firstLine="0" w:firstLineChars="0"/>
              <w:rPr>
                <w:kern w:val="0"/>
                <w:sz w:val="18"/>
                <w:szCs w:val="18"/>
              </w:rPr>
            </w:pPr>
            <w:r>
              <w:rPr>
                <w:rFonts w:hint="eastAsia"/>
                <w:kern w:val="0"/>
                <w:sz w:val="18"/>
                <w:szCs w:val="18"/>
              </w:rPr>
              <w:t>营业执照</w:t>
            </w:r>
          </w:p>
        </w:tc>
        <w:tc>
          <w:tcPr>
            <w:tcW w:w="6600" w:type="dxa"/>
            <w:noWrap/>
            <w:vAlign w:val="center"/>
          </w:tcPr>
          <w:p w14:paraId="04F373BC">
            <w:pPr>
              <w:spacing w:line="320" w:lineRule="exact"/>
              <w:ind w:firstLine="0" w:firstLineChars="0"/>
              <w:rPr>
                <w:kern w:val="0"/>
                <w:sz w:val="18"/>
                <w:szCs w:val="18"/>
              </w:rPr>
            </w:pPr>
            <w:r>
              <w:rPr>
                <w:rFonts w:hint="eastAsia"/>
                <w:kern w:val="0"/>
                <w:sz w:val="18"/>
                <w:szCs w:val="18"/>
              </w:rPr>
              <w:t>具有有效的营业执照。</w:t>
            </w:r>
          </w:p>
        </w:tc>
      </w:tr>
      <w:tr w14:paraId="7F987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10AE29A9">
            <w:pPr>
              <w:adjustRightInd w:val="0"/>
              <w:snapToGrid w:val="0"/>
              <w:spacing w:before="120" w:beforeLines="50"/>
              <w:ind w:firstLine="0" w:firstLineChars="0"/>
              <w:jc w:val="center"/>
              <w:rPr>
                <w:b/>
                <w:bCs/>
                <w:kern w:val="0"/>
                <w:szCs w:val="21"/>
              </w:rPr>
            </w:pPr>
            <w:r>
              <w:rPr>
                <w:rFonts w:hint="eastAsia"/>
                <w:b/>
                <w:bCs/>
                <w:kern w:val="0"/>
                <w:szCs w:val="21"/>
              </w:rPr>
              <w:t>2</w:t>
            </w:r>
          </w:p>
        </w:tc>
        <w:tc>
          <w:tcPr>
            <w:tcW w:w="1932" w:type="dxa"/>
            <w:noWrap/>
            <w:vAlign w:val="center"/>
          </w:tcPr>
          <w:p w14:paraId="21658AEB">
            <w:pPr>
              <w:adjustRightInd w:val="0"/>
              <w:snapToGrid w:val="0"/>
              <w:spacing w:before="120" w:beforeLines="50"/>
              <w:ind w:firstLine="0" w:firstLineChars="0"/>
              <w:rPr>
                <w:kern w:val="0"/>
                <w:sz w:val="18"/>
                <w:szCs w:val="18"/>
              </w:rPr>
            </w:pPr>
            <w:r>
              <w:rPr>
                <w:sz w:val="18"/>
                <w:szCs w:val="18"/>
              </w:rPr>
              <w:t>湖南省政府采购供应商资格承诺函</w:t>
            </w:r>
          </w:p>
        </w:tc>
        <w:tc>
          <w:tcPr>
            <w:tcW w:w="6600" w:type="dxa"/>
            <w:noWrap/>
            <w:vAlign w:val="center"/>
          </w:tcPr>
          <w:p w14:paraId="60D00A66">
            <w:pPr>
              <w:spacing w:line="320" w:lineRule="exact"/>
              <w:ind w:firstLine="0" w:firstLineChars="0"/>
              <w:rPr>
                <w:kern w:val="0"/>
                <w:sz w:val="18"/>
                <w:szCs w:val="18"/>
              </w:rPr>
            </w:pPr>
            <w:r>
              <w:rPr>
                <w:sz w:val="18"/>
                <w:szCs w:val="18"/>
              </w:rPr>
              <w:t>提交《湖南省政府采购供应商资格承诺函》</w:t>
            </w:r>
            <w:r>
              <w:rPr>
                <w:rFonts w:hint="eastAsia"/>
                <w:sz w:val="18"/>
                <w:szCs w:val="18"/>
              </w:rPr>
              <w:t>并按湘财购﹝2022﹞17号文要求格式填写。</w:t>
            </w:r>
          </w:p>
        </w:tc>
      </w:tr>
      <w:tr w14:paraId="103E0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26223241">
            <w:pPr>
              <w:adjustRightInd w:val="0"/>
              <w:snapToGrid w:val="0"/>
              <w:spacing w:before="120" w:beforeLines="50"/>
              <w:ind w:firstLine="0" w:firstLineChars="0"/>
              <w:jc w:val="center"/>
              <w:rPr>
                <w:b/>
                <w:bCs/>
                <w:kern w:val="0"/>
                <w:szCs w:val="21"/>
              </w:rPr>
            </w:pPr>
            <w:r>
              <w:rPr>
                <w:rFonts w:hint="eastAsia"/>
                <w:b/>
                <w:bCs/>
                <w:kern w:val="0"/>
                <w:szCs w:val="21"/>
              </w:rPr>
              <w:t>3</w:t>
            </w:r>
          </w:p>
        </w:tc>
        <w:tc>
          <w:tcPr>
            <w:tcW w:w="1932" w:type="dxa"/>
            <w:noWrap/>
            <w:vAlign w:val="center"/>
          </w:tcPr>
          <w:p w14:paraId="6E6CE7DE">
            <w:pPr>
              <w:adjustRightInd w:val="0"/>
              <w:snapToGrid w:val="0"/>
              <w:spacing w:before="120" w:beforeLines="50"/>
              <w:ind w:firstLine="0" w:firstLineChars="0"/>
              <w:rPr>
                <w:sz w:val="18"/>
                <w:szCs w:val="18"/>
              </w:rPr>
            </w:pPr>
            <w:r>
              <w:rPr>
                <w:rFonts w:hint="eastAsia"/>
                <w:sz w:val="18"/>
                <w:szCs w:val="18"/>
              </w:rPr>
              <w:t>特定资格条件</w:t>
            </w:r>
          </w:p>
        </w:tc>
        <w:tc>
          <w:tcPr>
            <w:tcW w:w="6600" w:type="dxa"/>
            <w:noWrap/>
            <w:vAlign w:val="center"/>
          </w:tcPr>
          <w:p w14:paraId="533E6B8B">
            <w:pPr>
              <w:ind w:firstLine="0" w:firstLineChars="0"/>
              <w:rPr>
                <w:sz w:val="18"/>
                <w:szCs w:val="18"/>
              </w:rPr>
            </w:pPr>
            <w:r>
              <w:rPr>
                <w:rFonts w:hint="eastAsia"/>
                <w:sz w:val="18"/>
                <w:szCs w:val="18"/>
              </w:rPr>
              <w:t>3、供应商特定资格条件：</w:t>
            </w:r>
          </w:p>
          <w:p w14:paraId="69037B5B">
            <w:pPr>
              <w:ind w:firstLine="0" w:firstLineChars="0"/>
              <w:rPr>
                <w:sz w:val="18"/>
                <w:szCs w:val="18"/>
              </w:rPr>
            </w:pPr>
            <w:r>
              <w:rPr>
                <w:rFonts w:hint="eastAsia"/>
                <w:sz w:val="18"/>
                <w:szCs w:val="18"/>
              </w:rPr>
              <w:t>（1）须具有有效期内的乙级及以上测绘资质，且不在地质勘查单位异常名录和严重失信主体名单内，提供证书复印件并加盖供应商公章；</w:t>
            </w:r>
          </w:p>
          <w:p w14:paraId="4669F47F">
            <w:pPr>
              <w:ind w:firstLine="0" w:firstLineChars="0"/>
              <w:rPr>
                <w:sz w:val="18"/>
                <w:szCs w:val="18"/>
              </w:rPr>
            </w:pPr>
            <w:r>
              <w:rPr>
                <w:rFonts w:hint="eastAsia"/>
                <w:sz w:val="18"/>
                <w:szCs w:val="18"/>
              </w:rPr>
              <w:t>（2）拟任项目负责人具有工程勘察或工程测量相关专业中级及以上技术职称，提供证书复印件；</w:t>
            </w:r>
          </w:p>
          <w:p w14:paraId="1F348D8B">
            <w:pPr>
              <w:ind w:firstLine="0" w:firstLineChars="0"/>
              <w:rPr>
                <w:sz w:val="18"/>
                <w:szCs w:val="18"/>
              </w:rPr>
            </w:pPr>
            <w:r>
              <w:rPr>
                <w:rFonts w:hint="eastAsia"/>
                <w:sz w:val="18"/>
                <w:szCs w:val="18"/>
              </w:rPr>
              <w:t>（3）本项目专门面向中小企业采购，须提供中小企业声明函，本项目对应的中小企业划分标准所属行业：其他未列明行业。（监狱企业、福利单位视为小微企业，符合政策要求。）</w:t>
            </w:r>
          </w:p>
        </w:tc>
      </w:tr>
      <w:tr w14:paraId="1EB74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4CD9A28E">
            <w:pPr>
              <w:adjustRightInd w:val="0"/>
              <w:snapToGrid w:val="0"/>
              <w:spacing w:before="120" w:beforeLines="50"/>
              <w:ind w:firstLine="0" w:firstLineChars="0"/>
              <w:jc w:val="center"/>
              <w:rPr>
                <w:b/>
                <w:bCs/>
                <w:kern w:val="0"/>
                <w:szCs w:val="21"/>
              </w:rPr>
            </w:pPr>
            <w:r>
              <w:rPr>
                <w:rFonts w:hint="eastAsia"/>
                <w:b/>
                <w:bCs/>
                <w:kern w:val="0"/>
                <w:szCs w:val="21"/>
              </w:rPr>
              <w:t>4</w:t>
            </w:r>
          </w:p>
        </w:tc>
        <w:tc>
          <w:tcPr>
            <w:tcW w:w="1932" w:type="dxa"/>
            <w:noWrap/>
            <w:vAlign w:val="center"/>
          </w:tcPr>
          <w:p w14:paraId="1DD1D03E">
            <w:pPr>
              <w:adjustRightInd w:val="0"/>
              <w:snapToGrid w:val="0"/>
              <w:spacing w:before="120" w:beforeLines="50"/>
              <w:ind w:firstLine="0" w:firstLineChars="0"/>
              <w:rPr>
                <w:sz w:val="18"/>
                <w:szCs w:val="18"/>
              </w:rPr>
            </w:pPr>
            <w:r>
              <w:rPr>
                <w:rFonts w:hint="eastAsia"/>
                <w:sz w:val="18"/>
                <w:szCs w:val="18"/>
              </w:rPr>
              <w:t>其他资格条件</w:t>
            </w:r>
          </w:p>
        </w:tc>
        <w:tc>
          <w:tcPr>
            <w:tcW w:w="6600" w:type="dxa"/>
            <w:noWrap/>
            <w:vAlign w:val="center"/>
          </w:tcPr>
          <w:p w14:paraId="1075E795">
            <w:pPr>
              <w:spacing w:line="320" w:lineRule="exact"/>
              <w:ind w:firstLine="0" w:firstLineChars="0"/>
              <w:rPr>
                <w:sz w:val="18"/>
                <w:szCs w:val="18"/>
              </w:rPr>
            </w:pPr>
            <w:r>
              <w:rPr>
                <w:rFonts w:hint="eastAsia"/>
                <w:sz w:val="18"/>
                <w:szCs w:val="18"/>
              </w:rPr>
              <w:t>法律、法规和磋商文件规定的其他资格条件。</w:t>
            </w:r>
          </w:p>
        </w:tc>
      </w:tr>
      <w:tr w14:paraId="23DA5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83" w:type="dxa"/>
            <w:noWrap/>
            <w:vAlign w:val="center"/>
          </w:tcPr>
          <w:p w14:paraId="08FB9FF2">
            <w:pPr>
              <w:adjustRightInd w:val="0"/>
              <w:snapToGrid w:val="0"/>
              <w:spacing w:before="120" w:beforeLines="50"/>
              <w:ind w:firstLine="0" w:firstLineChars="0"/>
              <w:jc w:val="center"/>
              <w:rPr>
                <w:b/>
                <w:bCs/>
                <w:kern w:val="0"/>
                <w:sz w:val="20"/>
                <w:szCs w:val="21"/>
              </w:rPr>
            </w:pPr>
            <w:r>
              <w:rPr>
                <w:rFonts w:hint="eastAsia"/>
                <w:b/>
                <w:bCs/>
                <w:kern w:val="0"/>
                <w:sz w:val="20"/>
                <w:szCs w:val="21"/>
              </w:rPr>
              <w:t>结论</w:t>
            </w:r>
          </w:p>
        </w:tc>
        <w:tc>
          <w:tcPr>
            <w:tcW w:w="8532" w:type="dxa"/>
            <w:gridSpan w:val="2"/>
            <w:noWrap/>
            <w:vAlign w:val="center"/>
          </w:tcPr>
          <w:p w14:paraId="41F3BF91">
            <w:pPr>
              <w:adjustRightInd w:val="0"/>
              <w:snapToGrid w:val="0"/>
              <w:spacing w:before="120" w:beforeLines="50"/>
              <w:ind w:firstLine="0" w:firstLineChars="0"/>
              <w:jc w:val="center"/>
              <w:rPr>
                <w:kern w:val="0"/>
                <w:szCs w:val="21"/>
              </w:rPr>
            </w:pPr>
          </w:p>
        </w:tc>
      </w:tr>
    </w:tbl>
    <w:p w14:paraId="5D7184F0">
      <w:pPr>
        <w:adjustRightInd w:val="0"/>
        <w:snapToGrid w:val="0"/>
        <w:spacing w:line="440" w:lineRule="exact"/>
        <w:ind w:firstLine="360"/>
        <w:rPr>
          <w:sz w:val="18"/>
          <w:szCs w:val="18"/>
        </w:rPr>
      </w:pPr>
      <w:r>
        <w:rPr>
          <w:rFonts w:hint="eastAsia"/>
          <w:sz w:val="18"/>
          <w:szCs w:val="18"/>
        </w:rPr>
        <w:t>注：</w:t>
      </w:r>
    </w:p>
    <w:p w14:paraId="07CE460B">
      <w:pPr>
        <w:adjustRightInd w:val="0"/>
        <w:snapToGrid w:val="0"/>
        <w:spacing w:line="440" w:lineRule="exact"/>
        <w:ind w:firstLine="360"/>
        <w:rPr>
          <w:bCs/>
          <w:sz w:val="18"/>
          <w:szCs w:val="18"/>
        </w:rPr>
      </w:pPr>
      <w:r>
        <w:rPr>
          <w:rFonts w:hint="eastAsia"/>
          <w:bCs/>
          <w:sz w:val="18"/>
          <w:szCs w:val="18"/>
        </w:rPr>
        <w:t>1、上述内容合格用“√”表示，不合格用“×”表示；</w:t>
      </w:r>
    </w:p>
    <w:p w14:paraId="1821C562">
      <w:pPr>
        <w:adjustRightInd w:val="0"/>
        <w:snapToGrid w:val="0"/>
        <w:spacing w:line="440" w:lineRule="exact"/>
        <w:ind w:firstLine="360"/>
        <w:rPr>
          <w:bCs/>
          <w:sz w:val="18"/>
          <w:szCs w:val="18"/>
        </w:rPr>
      </w:pPr>
      <w:r>
        <w:rPr>
          <w:rFonts w:hint="eastAsia"/>
          <w:bCs/>
          <w:sz w:val="18"/>
          <w:szCs w:val="18"/>
        </w:rPr>
        <w:t>2、以上内容有一项不合格的，则初步评审的综合评定结果为不合格。</w:t>
      </w:r>
    </w:p>
    <w:p w14:paraId="40D76D74">
      <w:pPr>
        <w:ind w:firstLine="361"/>
        <w:rPr>
          <w:b/>
          <w:color w:val="000000"/>
          <w:sz w:val="18"/>
          <w:szCs w:val="18"/>
        </w:rPr>
      </w:pPr>
      <w:bookmarkStart w:id="88" w:name="_Toc18119"/>
      <w:r>
        <w:rPr>
          <w:rFonts w:hint="eastAsia"/>
          <w:b/>
          <w:color w:val="000000"/>
          <w:sz w:val="18"/>
          <w:szCs w:val="18"/>
        </w:rPr>
        <w:br w:type="page"/>
      </w:r>
    </w:p>
    <w:p w14:paraId="626AF06F">
      <w:pPr>
        <w:widowControl/>
        <w:ind w:firstLine="0" w:firstLineChars="0"/>
        <w:outlineLvl w:val="2"/>
      </w:pPr>
      <w:bookmarkStart w:id="89" w:name="_Toc29048"/>
      <w:bookmarkStart w:id="90" w:name="_Toc3182"/>
      <w:r>
        <w:rPr>
          <w:rFonts w:hint="eastAsia"/>
          <w:b/>
          <w:color w:val="000000"/>
          <w:szCs w:val="21"/>
        </w:rPr>
        <w:t xml:space="preserve">附页2 </w:t>
      </w:r>
      <w:r>
        <w:rPr>
          <w:rFonts w:hint="eastAsia"/>
          <w:b/>
        </w:rPr>
        <w:t>符合性检查表</w:t>
      </w:r>
      <w:bookmarkEnd w:id="88"/>
      <w:bookmarkEnd w:id="89"/>
      <w:bookmarkEnd w:id="90"/>
    </w:p>
    <w:p w14:paraId="68ABDD94">
      <w:pPr>
        <w:widowControl/>
        <w:ind w:firstLine="0" w:firstLineChars="0"/>
        <w:jc w:val="center"/>
        <w:rPr>
          <w:rFonts w:ascii="黑体" w:hAnsi="黑体" w:eastAsia="黑体" w:cs="黑体"/>
          <w:bCs/>
          <w:sz w:val="28"/>
          <w:szCs w:val="28"/>
        </w:rPr>
      </w:pPr>
      <w:r>
        <w:rPr>
          <w:rFonts w:hint="eastAsia" w:ascii="黑体" w:hAnsi="黑体" w:eastAsia="黑体" w:cs="黑体"/>
          <w:bCs/>
          <w:sz w:val="28"/>
          <w:szCs w:val="28"/>
        </w:rPr>
        <w:t>符合性检查表</w:t>
      </w:r>
    </w:p>
    <w:tbl>
      <w:tblPr>
        <w:tblStyle w:val="45"/>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14:paraId="30A8D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ign w:val="center"/>
          </w:tcPr>
          <w:p w14:paraId="6DADC56C">
            <w:pPr>
              <w:adjustRightInd w:val="0"/>
              <w:snapToGrid w:val="0"/>
              <w:spacing w:before="120" w:beforeLines="50"/>
              <w:ind w:firstLine="0" w:firstLineChars="0"/>
              <w:jc w:val="center"/>
              <w:rPr>
                <w:b/>
                <w:kern w:val="0"/>
                <w:szCs w:val="21"/>
              </w:rPr>
            </w:pPr>
            <w:r>
              <w:rPr>
                <w:rFonts w:hint="eastAsia"/>
                <w:b/>
                <w:kern w:val="0"/>
                <w:szCs w:val="21"/>
              </w:rPr>
              <w:t>序号</w:t>
            </w:r>
          </w:p>
        </w:tc>
        <w:tc>
          <w:tcPr>
            <w:tcW w:w="2686" w:type="dxa"/>
            <w:noWrap/>
            <w:vAlign w:val="center"/>
          </w:tcPr>
          <w:p w14:paraId="41AA881C">
            <w:pPr>
              <w:adjustRightInd w:val="0"/>
              <w:snapToGrid w:val="0"/>
              <w:spacing w:before="120" w:beforeLines="50"/>
              <w:ind w:firstLine="0" w:firstLineChars="0"/>
              <w:jc w:val="center"/>
              <w:rPr>
                <w:b/>
                <w:kern w:val="0"/>
                <w:szCs w:val="21"/>
              </w:rPr>
            </w:pPr>
            <w:r>
              <w:rPr>
                <w:rFonts w:hint="eastAsia"/>
                <w:b/>
                <w:kern w:val="0"/>
                <w:szCs w:val="21"/>
              </w:rPr>
              <w:t>审查项目</w:t>
            </w:r>
          </w:p>
        </w:tc>
        <w:tc>
          <w:tcPr>
            <w:tcW w:w="5691" w:type="dxa"/>
            <w:noWrap/>
            <w:vAlign w:val="center"/>
          </w:tcPr>
          <w:p w14:paraId="4EE9551D">
            <w:pPr>
              <w:adjustRightInd w:val="0"/>
              <w:snapToGrid w:val="0"/>
              <w:spacing w:before="120" w:beforeLines="50"/>
              <w:ind w:firstLine="0" w:firstLineChars="0"/>
              <w:jc w:val="center"/>
              <w:rPr>
                <w:b/>
                <w:kern w:val="0"/>
                <w:szCs w:val="21"/>
              </w:rPr>
            </w:pPr>
            <w:r>
              <w:rPr>
                <w:rFonts w:hint="eastAsia"/>
                <w:b/>
                <w:kern w:val="0"/>
                <w:szCs w:val="21"/>
              </w:rPr>
              <w:t>审查标准</w:t>
            </w:r>
          </w:p>
        </w:tc>
      </w:tr>
      <w:tr w14:paraId="31125B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trPr>
        <w:tc>
          <w:tcPr>
            <w:tcW w:w="683" w:type="dxa"/>
            <w:noWrap/>
            <w:vAlign w:val="center"/>
          </w:tcPr>
          <w:p w14:paraId="3DC90CD9">
            <w:pPr>
              <w:adjustRightInd w:val="0"/>
              <w:snapToGrid w:val="0"/>
              <w:spacing w:before="120" w:beforeLines="50"/>
              <w:ind w:firstLine="0" w:firstLineChars="0"/>
              <w:jc w:val="center"/>
              <w:rPr>
                <w:b/>
                <w:bCs/>
                <w:kern w:val="0"/>
                <w:szCs w:val="21"/>
              </w:rPr>
            </w:pPr>
            <w:r>
              <w:rPr>
                <w:rFonts w:hint="eastAsia"/>
                <w:b/>
                <w:bCs/>
                <w:kern w:val="0"/>
                <w:szCs w:val="21"/>
              </w:rPr>
              <w:t>1</w:t>
            </w:r>
          </w:p>
        </w:tc>
        <w:tc>
          <w:tcPr>
            <w:tcW w:w="2686" w:type="dxa"/>
            <w:noWrap/>
            <w:vAlign w:val="center"/>
          </w:tcPr>
          <w:p w14:paraId="171E20AB">
            <w:pPr>
              <w:adjustRightInd w:val="0"/>
              <w:snapToGrid w:val="0"/>
              <w:spacing w:before="120" w:beforeLines="50"/>
              <w:ind w:firstLine="0" w:firstLineChars="0"/>
              <w:rPr>
                <w:kern w:val="0"/>
                <w:sz w:val="18"/>
                <w:szCs w:val="18"/>
              </w:rPr>
            </w:pPr>
            <w:r>
              <w:rPr>
                <w:sz w:val="18"/>
                <w:szCs w:val="18"/>
              </w:rPr>
              <w:t>是否满足</w:t>
            </w:r>
            <w:r>
              <w:rPr>
                <w:rFonts w:hint="eastAsia"/>
                <w:sz w:val="18"/>
                <w:szCs w:val="18"/>
              </w:rPr>
              <w:t>磋商文件</w:t>
            </w:r>
            <w:r>
              <w:rPr>
                <w:sz w:val="18"/>
                <w:szCs w:val="18"/>
              </w:rPr>
              <w:t>商务、技术等实质性要求</w:t>
            </w:r>
          </w:p>
        </w:tc>
        <w:tc>
          <w:tcPr>
            <w:tcW w:w="5691" w:type="dxa"/>
            <w:noWrap/>
            <w:vAlign w:val="center"/>
          </w:tcPr>
          <w:p w14:paraId="07DCDB06">
            <w:pPr>
              <w:adjustRightInd w:val="0"/>
              <w:snapToGrid w:val="0"/>
              <w:spacing w:before="120" w:beforeLines="50"/>
              <w:ind w:firstLine="0" w:firstLineChars="0"/>
              <w:rPr>
                <w:kern w:val="0"/>
                <w:sz w:val="18"/>
                <w:szCs w:val="18"/>
              </w:rPr>
            </w:pPr>
            <w:r>
              <w:rPr>
                <w:sz w:val="18"/>
                <w:szCs w:val="18"/>
              </w:rPr>
              <w:t>依据</w:t>
            </w:r>
            <w:r>
              <w:rPr>
                <w:rFonts w:hint="eastAsia"/>
                <w:sz w:val="18"/>
                <w:szCs w:val="18"/>
              </w:rPr>
              <w:t>磋商</w:t>
            </w:r>
            <w:r>
              <w:rPr>
                <w:sz w:val="18"/>
                <w:szCs w:val="18"/>
              </w:rPr>
              <w:t>文件的规定，从</w:t>
            </w:r>
            <w:r>
              <w:rPr>
                <w:rFonts w:hint="eastAsia"/>
                <w:sz w:val="18"/>
                <w:szCs w:val="18"/>
              </w:rPr>
              <w:t>响应</w:t>
            </w:r>
            <w:r>
              <w:rPr>
                <w:sz w:val="18"/>
                <w:szCs w:val="18"/>
              </w:rPr>
              <w:t>文件的有效性、完整性和对</w:t>
            </w:r>
            <w:r>
              <w:rPr>
                <w:rFonts w:hint="eastAsia"/>
                <w:sz w:val="18"/>
                <w:szCs w:val="18"/>
              </w:rPr>
              <w:t>磋商文件</w:t>
            </w:r>
            <w:r>
              <w:rPr>
                <w:sz w:val="18"/>
                <w:szCs w:val="18"/>
              </w:rPr>
              <w:t>的响应程度进行审查，以确定是否对</w:t>
            </w:r>
            <w:r>
              <w:rPr>
                <w:rFonts w:hint="eastAsia"/>
                <w:sz w:val="18"/>
                <w:szCs w:val="18"/>
              </w:rPr>
              <w:t>磋商文件</w:t>
            </w:r>
            <w:r>
              <w:rPr>
                <w:sz w:val="18"/>
                <w:szCs w:val="18"/>
              </w:rPr>
              <w:t>的实质性要求作出响应。</w:t>
            </w:r>
          </w:p>
        </w:tc>
      </w:tr>
      <w:tr w14:paraId="1BF79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28E51581">
            <w:pPr>
              <w:adjustRightInd w:val="0"/>
              <w:snapToGrid w:val="0"/>
              <w:spacing w:before="120" w:beforeLines="50"/>
              <w:ind w:firstLine="0" w:firstLineChars="0"/>
              <w:jc w:val="center"/>
              <w:rPr>
                <w:b/>
                <w:bCs/>
                <w:kern w:val="0"/>
                <w:szCs w:val="21"/>
              </w:rPr>
            </w:pPr>
            <w:r>
              <w:rPr>
                <w:rFonts w:hint="eastAsia"/>
                <w:b/>
                <w:bCs/>
                <w:kern w:val="0"/>
                <w:szCs w:val="21"/>
              </w:rPr>
              <w:t>2</w:t>
            </w:r>
          </w:p>
        </w:tc>
        <w:tc>
          <w:tcPr>
            <w:tcW w:w="2686" w:type="dxa"/>
            <w:noWrap/>
            <w:vAlign w:val="center"/>
          </w:tcPr>
          <w:p w14:paraId="7494C5DD">
            <w:pPr>
              <w:adjustRightInd w:val="0"/>
              <w:snapToGrid w:val="0"/>
              <w:spacing w:before="120" w:beforeLines="50"/>
              <w:ind w:firstLine="0" w:firstLineChars="0"/>
              <w:rPr>
                <w:kern w:val="0"/>
                <w:sz w:val="18"/>
                <w:szCs w:val="18"/>
              </w:rPr>
            </w:pPr>
            <w:r>
              <w:rPr>
                <w:rFonts w:hint="eastAsia"/>
                <w:sz w:val="18"/>
                <w:szCs w:val="18"/>
              </w:rPr>
              <w:t>磋商文件</w:t>
            </w:r>
            <w:r>
              <w:rPr>
                <w:sz w:val="18"/>
                <w:szCs w:val="18"/>
              </w:rPr>
              <w:t>规定要求签署、盖章的</w:t>
            </w:r>
          </w:p>
        </w:tc>
        <w:tc>
          <w:tcPr>
            <w:tcW w:w="5691" w:type="dxa"/>
            <w:noWrap/>
            <w:vAlign w:val="center"/>
          </w:tcPr>
          <w:p w14:paraId="0D006B9A">
            <w:pPr>
              <w:adjustRightInd w:val="0"/>
              <w:snapToGrid w:val="0"/>
              <w:spacing w:before="120" w:beforeLines="50"/>
              <w:ind w:firstLine="0" w:firstLineChars="0"/>
              <w:rPr>
                <w:kern w:val="0"/>
                <w:sz w:val="18"/>
                <w:szCs w:val="18"/>
              </w:rPr>
            </w:pPr>
            <w:r>
              <w:rPr>
                <w:rFonts w:hint="eastAsia"/>
                <w:sz w:val="18"/>
                <w:szCs w:val="18"/>
              </w:rPr>
              <w:t>响应文件</w:t>
            </w:r>
            <w:r>
              <w:rPr>
                <w:sz w:val="18"/>
                <w:szCs w:val="18"/>
              </w:rPr>
              <w:t>按照</w:t>
            </w:r>
            <w:r>
              <w:rPr>
                <w:rFonts w:hint="eastAsia"/>
                <w:sz w:val="18"/>
                <w:szCs w:val="18"/>
              </w:rPr>
              <w:t>磋商文件</w:t>
            </w:r>
            <w:r>
              <w:rPr>
                <w:sz w:val="18"/>
                <w:szCs w:val="18"/>
              </w:rPr>
              <w:t>规定要求签署、盖章</w:t>
            </w:r>
            <w:r>
              <w:rPr>
                <w:rFonts w:hint="eastAsia"/>
                <w:sz w:val="18"/>
                <w:szCs w:val="18"/>
              </w:rPr>
              <w:t>。</w:t>
            </w:r>
          </w:p>
        </w:tc>
      </w:tr>
      <w:tr w14:paraId="3764D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41BC864">
            <w:pPr>
              <w:adjustRightInd w:val="0"/>
              <w:snapToGrid w:val="0"/>
              <w:spacing w:before="120" w:beforeLines="50"/>
              <w:ind w:firstLine="0" w:firstLineChars="0"/>
              <w:jc w:val="center"/>
              <w:rPr>
                <w:b/>
                <w:bCs/>
                <w:kern w:val="0"/>
                <w:szCs w:val="21"/>
              </w:rPr>
            </w:pPr>
            <w:r>
              <w:rPr>
                <w:rFonts w:hint="eastAsia"/>
                <w:b/>
                <w:bCs/>
                <w:kern w:val="0"/>
                <w:szCs w:val="21"/>
              </w:rPr>
              <w:t>3</w:t>
            </w:r>
          </w:p>
        </w:tc>
        <w:tc>
          <w:tcPr>
            <w:tcW w:w="2686" w:type="dxa"/>
            <w:noWrap/>
            <w:vAlign w:val="center"/>
          </w:tcPr>
          <w:p w14:paraId="512483DC">
            <w:pPr>
              <w:adjustRightInd w:val="0"/>
              <w:snapToGrid w:val="0"/>
              <w:spacing w:before="120" w:beforeLines="50"/>
              <w:ind w:firstLine="0" w:firstLineChars="0"/>
              <w:rPr>
                <w:kern w:val="0"/>
                <w:sz w:val="18"/>
                <w:szCs w:val="18"/>
              </w:rPr>
            </w:pPr>
            <w:r>
              <w:rPr>
                <w:sz w:val="18"/>
                <w:szCs w:val="18"/>
              </w:rPr>
              <w:t>投标报价</w:t>
            </w:r>
          </w:p>
        </w:tc>
        <w:tc>
          <w:tcPr>
            <w:tcW w:w="5691" w:type="dxa"/>
            <w:noWrap/>
            <w:vAlign w:val="center"/>
          </w:tcPr>
          <w:p w14:paraId="54AB57ED">
            <w:pPr>
              <w:adjustRightInd w:val="0"/>
              <w:snapToGrid w:val="0"/>
              <w:spacing w:before="120" w:beforeLines="50"/>
              <w:ind w:firstLine="0" w:firstLineChars="0"/>
              <w:rPr>
                <w:kern w:val="0"/>
                <w:sz w:val="18"/>
                <w:szCs w:val="18"/>
              </w:rPr>
            </w:pPr>
            <w:r>
              <w:rPr>
                <w:sz w:val="18"/>
                <w:szCs w:val="18"/>
              </w:rPr>
              <w:t>报价</w:t>
            </w:r>
            <w:r>
              <w:rPr>
                <w:rFonts w:hint="eastAsia"/>
                <w:sz w:val="18"/>
                <w:szCs w:val="18"/>
              </w:rPr>
              <w:t>符合磋商文件</w:t>
            </w:r>
            <w:r>
              <w:rPr>
                <w:sz w:val="18"/>
                <w:szCs w:val="18"/>
              </w:rPr>
              <w:t>中</w:t>
            </w:r>
            <w:r>
              <w:rPr>
                <w:rFonts w:hint="eastAsia"/>
                <w:sz w:val="18"/>
                <w:szCs w:val="18"/>
              </w:rPr>
              <w:t>报价</w:t>
            </w:r>
            <w:r>
              <w:rPr>
                <w:sz w:val="18"/>
                <w:szCs w:val="18"/>
              </w:rPr>
              <w:t>规定</w:t>
            </w:r>
            <w:r>
              <w:rPr>
                <w:rFonts w:hint="eastAsia"/>
                <w:sz w:val="18"/>
                <w:szCs w:val="18"/>
              </w:rPr>
              <w:t>。</w:t>
            </w:r>
          </w:p>
        </w:tc>
      </w:tr>
      <w:tr w14:paraId="7E329A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4EF6AB92">
            <w:pPr>
              <w:adjustRightInd w:val="0"/>
              <w:snapToGrid w:val="0"/>
              <w:spacing w:before="120" w:beforeLines="50"/>
              <w:ind w:firstLine="0" w:firstLineChars="0"/>
              <w:jc w:val="center"/>
              <w:rPr>
                <w:b/>
                <w:bCs/>
                <w:kern w:val="0"/>
                <w:szCs w:val="21"/>
              </w:rPr>
            </w:pPr>
            <w:r>
              <w:rPr>
                <w:rFonts w:hint="eastAsia"/>
                <w:b/>
                <w:bCs/>
                <w:kern w:val="0"/>
                <w:szCs w:val="21"/>
              </w:rPr>
              <w:t>4</w:t>
            </w:r>
          </w:p>
        </w:tc>
        <w:tc>
          <w:tcPr>
            <w:tcW w:w="2686" w:type="dxa"/>
            <w:noWrap/>
            <w:vAlign w:val="center"/>
          </w:tcPr>
          <w:p w14:paraId="331F6966">
            <w:pPr>
              <w:adjustRightInd w:val="0"/>
              <w:snapToGrid w:val="0"/>
              <w:spacing w:before="120" w:beforeLines="50"/>
              <w:ind w:firstLine="0" w:firstLineChars="0"/>
              <w:rPr>
                <w:kern w:val="0"/>
                <w:sz w:val="18"/>
                <w:szCs w:val="18"/>
              </w:rPr>
            </w:pPr>
            <w:r>
              <w:rPr>
                <w:sz w:val="18"/>
                <w:szCs w:val="18"/>
              </w:rPr>
              <w:t>投标有效期</w:t>
            </w:r>
          </w:p>
        </w:tc>
        <w:tc>
          <w:tcPr>
            <w:tcW w:w="5691" w:type="dxa"/>
            <w:noWrap/>
            <w:vAlign w:val="center"/>
          </w:tcPr>
          <w:p w14:paraId="55296E52">
            <w:pPr>
              <w:adjustRightInd w:val="0"/>
              <w:snapToGrid w:val="0"/>
              <w:spacing w:before="120" w:beforeLines="50"/>
              <w:ind w:firstLine="0" w:firstLineChars="0"/>
              <w:rPr>
                <w:kern w:val="0"/>
                <w:sz w:val="18"/>
                <w:szCs w:val="18"/>
              </w:rPr>
            </w:pPr>
            <w:r>
              <w:rPr>
                <w:sz w:val="18"/>
                <w:szCs w:val="18"/>
              </w:rPr>
              <w:t>投标有效期</w:t>
            </w:r>
            <w:r>
              <w:rPr>
                <w:rFonts w:hint="eastAsia"/>
                <w:sz w:val="18"/>
                <w:szCs w:val="18"/>
              </w:rPr>
              <w:t>符合磋商文件规定。</w:t>
            </w:r>
          </w:p>
        </w:tc>
      </w:tr>
      <w:tr w14:paraId="62DCC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196801CF">
            <w:pPr>
              <w:adjustRightInd w:val="0"/>
              <w:snapToGrid w:val="0"/>
              <w:spacing w:before="120" w:beforeLines="50"/>
              <w:ind w:firstLine="0" w:firstLineChars="0"/>
              <w:jc w:val="center"/>
              <w:rPr>
                <w:b/>
                <w:bCs/>
                <w:kern w:val="0"/>
                <w:szCs w:val="21"/>
              </w:rPr>
            </w:pPr>
            <w:r>
              <w:rPr>
                <w:rFonts w:hint="eastAsia"/>
                <w:b/>
                <w:bCs/>
                <w:kern w:val="0"/>
                <w:szCs w:val="21"/>
              </w:rPr>
              <w:t>5</w:t>
            </w:r>
          </w:p>
        </w:tc>
        <w:tc>
          <w:tcPr>
            <w:tcW w:w="2686" w:type="dxa"/>
            <w:noWrap/>
            <w:vAlign w:val="center"/>
          </w:tcPr>
          <w:p w14:paraId="1C99A638">
            <w:pPr>
              <w:adjustRightInd w:val="0"/>
              <w:snapToGrid w:val="0"/>
              <w:spacing w:before="120" w:beforeLines="50"/>
              <w:ind w:firstLine="0" w:firstLineChars="0"/>
              <w:rPr>
                <w:sz w:val="18"/>
                <w:szCs w:val="18"/>
              </w:rPr>
            </w:pPr>
            <w:r>
              <w:rPr>
                <w:sz w:val="18"/>
                <w:szCs w:val="18"/>
              </w:rPr>
              <w:t>采购人不能接受的附加条件的</w:t>
            </w:r>
          </w:p>
        </w:tc>
        <w:tc>
          <w:tcPr>
            <w:tcW w:w="5691" w:type="dxa"/>
            <w:noWrap/>
            <w:vAlign w:val="center"/>
          </w:tcPr>
          <w:p w14:paraId="1CE9E7B0">
            <w:pPr>
              <w:adjustRightInd w:val="0"/>
              <w:snapToGrid w:val="0"/>
              <w:spacing w:before="120" w:beforeLines="50"/>
              <w:ind w:firstLine="0" w:firstLineChars="0"/>
              <w:rPr>
                <w:sz w:val="18"/>
                <w:szCs w:val="18"/>
              </w:rPr>
            </w:pPr>
            <w:r>
              <w:rPr>
                <w:rFonts w:hint="eastAsia"/>
                <w:sz w:val="18"/>
                <w:szCs w:val="18"/>
              </w:rPr>
              <w:t>响应文件未含有采购不能接受的附加条件。</w:t>
            </w:r>
          </w:p>
        </w:tc>
      </w:tr>
      <w:tr w14:paraId="3B0B54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1" w:hRule="atLeast"/>
        </w:trPr>
        <w:tc>
          <w:tcPr>
            <w:tcW w:w="683" w:type="dxa"/>
            <w:noWrap/>
            <w:vAlign w:val="center"/>
          </w:tcPr>
          <w:p w14:paraId="2D14D484">
            <w:pPr>
              <w:adjustRightInd w:val="0"/>
              <w:snapToGrid w:val="0"/>
              <w:spacing w:before="120" w:beforeLines="50"/>
              <w:ind w:firstLine="0" w:firstLineChars="0"/>
              <w:jc w:val="center"/>
              <w:rPr>
                <w:b/>
                <w:bCs/>
                <w:kern w:val="0"/>
                <w:szCs w:val="21"/>
              </w:rPr>
            </w:pPr>
            <w:r>
              <w:rPr>
                <w:rFonts w:hint="eastAsia"/>
                <w:b/>
                <w:bCs/>
                <w:kern w:val="0"/>
                <w:szCs w:val="21"/>
              </w:rPr>
              <w:t>6</w:t>
            </w:r>
          </w:p>
        </w:tc>
        <w:tc>
          <w:tcPr>
            <w:tcW w:w="2686" w:type="dxa"/>
            <w:noWrap/>
            <w:vAlign w:val="center"/>
          </w:tcPr>
          <w:p w14:paraId="5DAEFAC7">
            <w:pPr>
              <w:adjustRightInd w:val="0"/>
              <w:snapToGrid w:val="0"/>
              <w:spacing w:before="120" w:beforeLines="50"/>
              <w:ind w:firstLine="0" w:firstLineChars="0"/>
              <w:rPr>
                <w:kern w:val="0"/>
                <w:sz w:val="18"/>
                <w:szCs w:val="18"/>
              </w:rPr>
            </w:pPr>
            <w:r>
              <w:rPr>
                <w:sz w:val="18"/>
                <w:szCs w:val="18"/>
              </w:rPr>
              <w:t>法律、法规</w:t>
            </w:r>
            <w:r>
              <w:rPr>
                <w:rFonts w:hint="eastAsia"/>
                <w:sz w:val="18"/>
                <w:szCs w:val="18"/>
              </w:rPr>
              <w:t>和磋商文件</w:t>
            </w:r>
            <w:r>
              <w:rPr>
                <w:sz w:val="18"/>
                <w:szCs w:val="18"/>
              </w:rPr>
              <w:t>规定的其他情形</w:t>
            </w:r>
          </w:p>
        </w:tc>
        <w:tc>
          <w:tcPr>
            <w:tcW w:w="5691" w:type="dxa"/>
            <w:noWrap/>
            <w:vAlign w:val="center"/>
          </w:tcPr>
          <w:p w14:paraId="5C8701F1">
            <w:pPr>
              <w:adjustRightInd w:val="0"/>
              <w:snapToGrid w:val="0"/>
              <w:spacing w:before="120" w:beforeLines="50"/>
              <w:ind w:firstLine="0" w:firstLineChars="0"/>
              <w:rPr>
                <w:kern w:val="0"/>
                <w:sz w:val="18"/>
                <w:szCs w:val="18"/>
              </w:rPr>
            </w:pPr>
            <w:r>
              <w:rPr>
                <w:rFonts w:hint="eastAsia"/>
                <w:sz w:val="18"/>
                <w:szCs w:val="18"/>
              </w:rPr>
              <w:t>符合</w:t>
            </w:r>
            <w:r>
              <w:rPr>
                <w:sz w:val="18"/>
                <w:szCs w:val="18"/>
              </w:rPr>
              <w:t>法律、法规</w:t>
            </w:r>
            <w:r>
              <w:rPr>
                <w:rFonts w:hint="eastAsia"/>
                <w:sz w:val="18"/>
                <w:szCs w:val="18"/>
              </w:rPr>
              <w:t>和磋商文件</w:t>
            </w:r>
            <w:r>
              <w:rPr>
                <w:sz w:val="18"/>
                <w:szCs w:val="18"/>
              </w:rPr>
              <w:t>规定的其他情形</w:t>
            </w:r>
            <w:r>
              <w:rPr>
                <w:rFonts w:hint="eastAsia"/>
                <w:sz w:val="18"/>
                <w:szCs w:val="18"/>
              </w:rPr>
              <w:t>。</w:t>
            </w:r>
          </w:p>
        </w:tc>
      </w:tr>
      <w:tr w14:paraId="3E231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14:paraId="5877CAAA">
            <w:pPr>
              <w:adjustRightInd w:val="0"/>
              <w:snapToGrid w:val="0"/>
              <w:spacing w:before="120" w:beforeLines="50"/>
              <w:ind w:firstLine="0" w:firstLineChars="0"/>
              <w:jc w:val="center"/>
              <w:rPr>
                <w:b/>
                <w:bCs/>
                <w:kern w:val="0"/>
                <w:sz w:val="20"/>
                <w:szCs w:val="21"/>
              </w:rPr>
            </w:pPr>
            <w:r>
              <w:rPr>
                <w:rFonts w:hint="eastAsia"/>
                <w:b/>
                <w:bCs/>
                <w:kern w:val="0"/>
                <w:sz w:val="20"/>
                <w:szCs w:val="21"/>
              </w:rPr>
              <w:t>结论</w:t>
            </w:r>
          </w:p>
        </w:tc>
        <w:tc>
          <w:tcPr>
            <w:tcW w:w="8377" w:type="dxa"/>
            <w:gridSpan w:val="2"/>
            <w:noWrap/>
            <w:vAlign w:val="center"/>
          </w:tcPr>
          <w:p w14:paraId="4D943998">
            <w:pPr>
              <w:adjustRightInd w:val="0"/>
              <w:snapToGrid w:val="0"/>
              <w:spacing w:before="120" w:beforeLines="50"/>
              <w:ind w:firstLine="0" w:firstLineChars="0"/>
              <w:jc w:val="center"/>
              <w:rPr>
                <w:kern w:val="0"/>
                <w:sz w:val="20"/>
                <w:szCs w:val="21"/>
              </w:rPr>
            </w:pPr>
          </w:p>
        </w:tc>
      </w:tr>
    </w:tbl>
    <w:p w14:paraId="1BF2FF9B">
      <w:pPr>
        <w:adjustRightInd w:val="0"/>
        <w:snapToGrid w:val="0"/>
        <w:spacing w:line="440" w:lineRule="exact"/>
        <w:ind w:firstLine="0" w:firstLineChars="0"/>
        <w:rPr>
          <w:bCs/>
          <w:sz w:val="18"/>
          <w:szCs w:val="18"/>
        </w:rPr>
      </w:pPr>
      <w:r>
        <w:rPr>
          <w:rFonts w:hint="eastAsia"/>
          <w:bCs/>
          <w:sz w:val="18"/>
          <w:szCs w:val="18"/>
        </w:rPr>
        <w:t>注：1、上述内容合格用“√”表示，不合格用“×”表示。</w:t>
      </w:r>
    </w:p>
    <w:p w14:paraId="2FA38F59">
      <w:pPr>
        <w:adjustRightInd w:val="0"/>
        <w:snapToGrid w:val="0"/>
        <w:spacing w:line="440" w:lineRule="exact"/>
        <w:ind w:firstLine="360"/>
        <w:rPr>
          <w:bCs/>
          <w:sz w:val="18"/>
          <w:szCs w:val="18"/>
        </w:rPr>
      </w:pPr>
      <w:r>
        <w:rPr>
          <w:rFonts w:hint="eastAsia"/>
          <w:bCs/>
          <w:sz w:val="18"/>
          <w:szCs w:val="18"/>
        </w:rPr>
        <w:t>2、以上内容有一项不合格的，则初步评审的综合评定结果为不合格。</w:t>
      </w:r>
    </w:p>
    <w:p w14:paraId="61C9704F">
      <w:pPr>
        <w:widowControl/>
        <w:spacing w:line="440" w:lineRule="exact"/>
        <w:ind w:firstLine="422"/>
        <w:jc w:val="center"/>
        <w:rPr>
          <w:b/>
        </w:rPr>
      </w:pPr>
    </w:p>
    <w:p w14:paraId="53077525">
      <w:pPr>
        <w:widowControl/>
        <w:spacing w:line="440" w:lineRule="exact"/>
        <w:ind w:firstLine="422"/>
        <w:jc w:val="center"/>
        <w:rPr>
          <w:b/>
        </w:rPr>
      </w:pPr>
    </w:p>
    <w:p w14:paraId="7234F9E0">
      <w:pPr>
        <w:widowControl/>
        <w:spacing w:line="440" w:lineRule="exact"/>
        <w:ind w:firstLine="422"/>
        <w:jc w:val="center"/>
        <w:rPr>
          <w:b/>
        </w:rPr>
      </w:pPr>
    </w:p>
    <w:p w14:paraId="13998D4A">
      <w:pPr>
        <w:widowControl/>
        <w:ind w:firstLine="0" w:firstLineChars="0"/>
        <w:outlineLvl w:val="2"/>
        <w:rPr>
          <w:b/>
        </w:rPr>
      </w:pPr>
      <w:bookmarkStart w:id="91" w:name="_Toc9251"/>
      <w:bookmarkStart w:id="92" w:name="_Toc24736"/>
      <w:bookmarkStart w:id="93" w:name="_Toc9661"/>
      <w:r>
        <w:rPr>
          <w:rFonts w:hint="eastAsia"/>
          <w:b/>
          <w:color w:val="000000"/>
          <w:szCs w:val="21"/>
        </w:rPr>
        <w:t>附页3</w:t>
      </w:r>
      <w:r>
        <w:rPr>
          <w:rFonts w:hint="eastAsia"/>
          <w:b/>
        </w:rPr>
        <w:t>澄清、说明、补正事项纪要表</w:t>
      </w:r>
      <w:bookmarkEnd w:id="91"/>
      <w:bookmarkEnd w:id="92"/>
      <w:bookmarkEnd w:id="93"/>
    </w:p>
    <w:p w14:paraId="7CB27E53">
      <w:pPr>
        <w:widowControl/>
        <w:ind w:firstLine="0" w:firstLineChars="0"/>
        <w:jc w:val="center"/>
        <w:rPr>
          <w:rFonts w:ascii="黑体" w:hAnsi="黑体" w:eastAsia="黑体" w:cs="黑体"/>
          <w:bCs/>
          <w:sz w:val="28"/>
          <w:szCs w:val="28"/>
        </w:rPr>
      </w:pPr>
      <w:r>
        <w:rPr>
          <w:rFonts w:hint="eastAsia" w:ascii="黑体" w:hAnsi="黑体" w:eastAsia="黑体" w:cs="黑体"/>
          <w:bCs/>
          <w:sz w:val="28"/>
          <w:szCs w:val="28"/>
        </w:rPr>
        <w:t>澄清、说明、补正事项纪要表</w:t>
      </w:r>
    </w:p>
    <w:tbl>
      <w:tblPr>
        <w:tblStyle w:val="45"/>
        <w:tblW w:w="89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81"/>
        <w:gridCol w:w="1620"/>
        <w:gridCol w:w="1596"/>
        <w:gridCol w:w="1329"/>
        <w:gridCol w:w="1567"/>
      </w:tblGrid>
      <w:tr w14:paraId="1FE73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86" w:type="dxa"/>
            <w:tcBorders>
              <w:tl2br w:val="nil"/>
              <w:tr2bl w:val="nil"/>
            </w:tcBorders>
            <w:noWrap/>
            <w:vAlign w:val="center"/>
          </w:tcPr>
          <w:p w14:paraId="21E4957E">
            <w:pPr>
              <w:adjustRightInd w:val="0"/>
              <w:snapToGrid w:val="0"/>
              <w:spacing w:before="120" w:beforeLines="50"/>
              <w:ind w:firstLine="0" w:firstLineChars="0"/>
              <w:jc w:val="center"/>
              <w:rPr>
                <w:b/>
                <w:kern w:val="0"/>
                <w:szCs w:val="21"/>
              </w:rPr>
            </w:pPr>
            <w:r>
              <w:rPr>
                <w:rFonts w:hint="eastAsia"/>
                <w:b/>
                <w:kern w:val="0"/>
                <w:szCs w:val="21"/>
              </w:rPr>
              <w:t>序号</w:t>
            </w:r>
          </w:p>
        </w:tc>
        <w:tc>
          <w:tcPr>
            <w:tcW w:w="1981" w:type="dxa"/>
            <w:tcBorders>
              <w:tl2br w:val="nil"/>
              <w:tr2bl w:val="nil"/>
            </w:tcBorders>
            <w:noWrap/>
            <w:vAlign w:val="center"/>
          </w:tcPr>
          <w:p w14:paraId="0E7E10F3">
            <w:pPr>
              <w:adjustRightInd w:val="0"/>
              <w:snapToGrid w:val="0"/>
              <w:spacing w:before="120" w:beforeLines="50"/>
              <w:ind w:firstLine="0" w:firstLineChars="0"/>
              <w:jc w:val="center"/>
              <w:rPr>
                <w:b/>
                <w:kern w:val="0"/>
                <w:szCs w:val="21"/>
              </w:rPr>
            </w:pPr>
            <w:r>
              <w:rPr>
                <w:rFonts w:hint="eastAsia"/>
                <w:b/>
                <w:kern w:val="0"/>
                <w:szCs w:val="21"/>
              </w:rPr>
              <w:t>供应商</w:t>
            </w:r>
          </w:p>
        </w:tc>
        <w:tc>
          <w:tcPr>
            <w:tcW w:w="1620" w:type="dxa"/>
            <w:tcBorders>
              <w:tl2br w:val="nil"/>
              <w:tr2bl w:val="nil"/>
            </w:tcBorders>
            <w:noWrap/>
            <w:vAlign w:val="center"/>
          </w:tcPr>
          <w:p w14:paraId="44284732">
            <w:pPr>
              <w:adjustRightInd w:val="0"/>
              <w:snapToGrid w:val="0"/>
              <w:spacing w:before="120" w:beforeLines="50"/>
              <w:ind w:firstLine="0" w:firstLineChars="0"/>
              <w:jc w:val="center"/>
              <w:rPr>
                <w:b/>
                <w:kern w:val="0"/>
                <w:szCs w:val="21"/>
              </w:rPr>
            </w:pPr>
            <w:r>
              <w:rPr>
                <w:rFonts w:hint="eastAsia"/>
                <w:b/>
                <w:kern w:val="0"/>
                <w:szCs w:val="21"/>
              </w:rPr>
              <w:t>磋商文件中需要澄清的页次</w:t>
            </w:r>
          </w:p>
        </w:tc>
        <w:tc>
          <w:tcPr>
            <w:tcW w:w="1596" w:type="dxa"/>
            <w:tcBorders>
              <w:tl2br w:val="nil"/>
              <w:tr2bl w:val="nil"/>
            </w:tcBorders>
            <w:noWrap/>
            <w:vAlign w:val="center"/>
          </w:tcPr>
          <w:p w14:paraId="007937D6">
            <w:pPr>
              <w:adjustRightInd w:val="0"/>
              <w:snapToGrid w:val="0"/>
              <w:spacing w:before="120" w:beforeLines="50"/>
              <w:ind w:firstLine="0" w:firstLineChars="0"/>
              <w:jc w:val="center"/>
              <w:rPr>
                <w:b/>
                <w:kern w:val="0"/>
                <w:szCs w:val="21"/>
              </w:rPr>
            </w:pPr>
            <w:r>
              <w:rPr>
                <w:rFonts w:hint="eastAsia"/>
                <w:b/>
                <w:kern w:val="0"/>
                <w:szCs w:val="21"/>
              </w:rPr>
              <w:t>对响应文件中含义不明确</w:t>
            </w:r>
          </w:p>
        </w:tc>
        <w:tc>
          <w:tcPr>
            <w:tcW w:w="1329" w:type="dxa"/>
            <w:tcBorders>
              <w:tl2br w:val="nil"/>
              <w:tr2bl w:val="nil"/>
            </w:tcBorders>
            <w:noWrap/>
            <w:vAlign w:val="center"/>
          </w:tcPr>
          <w:p w14:paraId="58C6935B">
            <w:pPr>
              <w:adjustRightInd w:val="0"/>
              <w:snapToGrid w:val="0"/>
              <w:spacing w:before="120" w:beforeLines="50"/>
              <w:ind w:firstLine="0" w:firstLineChars="0"/>
              <w:jc w:val="center"/>
              <w:rPr>
                <w:b/>
                <w:kern w:val="0"/>
                <w:szCs w:val="21"/>
              </w:rPr>
            </w:pPr>
            <w:r>
              <w:rPr>
                <w:rFonts w:hint="eastAsia"/>
                <w:b/>
                <w:kern w:val="0"/>
                <w:szCs w:val="21"/>
              </w:rPr>
              <w:t>对同类问题表述不一致</w:t>
            </w:r>
          </w:p>
        </w:tc>
        <w:tc>
          <w:tcPr>
            <w:tcW w:w="1567" w:type="dxa"/>
            <w:tcBorders>
              <w:tl2br w:val="nil"/>
              <w:tr2bl w:val="nil"/>
            </w:tcBorders>
            <w:noWrap/>
            <w:vAlign w:val="center"/>
          </w:tcPr>
          <w:p w14:paraId="432DDF9B">
            <w:pPr>
              <w:adjustRightInd w:val="0"/>
              <w:snapToGrid w:val="0"/>
              <w:spacing w:before="120" w:beforeLines="50"/>
              <w:ind w:firstLine="0" w:firstLineChars="0"/>
              <w:jc w:val="center"/>
              <w:rPr>
                <w:b/>
                <w:kern w:val="0"/>
                <w:szCs w:val="21"/>
              </w:rPr>
            </w:pPr>
            <w:r>
              <w:rPr>
                <w:rFonts w:hint="eastAsia"/>
                <w:b/>
                <w:kern w:val="0"/>
                <w:szCs w:val="21"/>
              </w:rPr>
              <w:t>明显文字和计算错误的内容</w:t>
            </w:r>
          </w:p>
        </w:tc>
      </w:tr>
      <w:tr w14:paraId="248C5E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noWrap/>
            <w:vAlign w:val="center"/>
          </w:tcPr>
          <w:p w14:paraId="3C9586E7">
            <w:pPr>
              <w:adjustRightInd w:val="0"/>
              <w:snapToGrid w:val="0"/>
              <w:spacing w:before="120" w:beforeLines="50"/>
              <w:ind w:firstLine="0" w:firstLineChars="0"/>
              <w:jc w:val="center"/>
              <w:rPr>
                <w:b/>
                <w:kern w:val="0"/>
                <w:szCs w:val="21"/>
              </w:rPr>
            </w:pPr>
            <w:r>
              <w:rPr>
                <w:rFonts w:hint="eastAsia"/>
                <w:b/>
                <w:kern w:val="0"/>
                <w:szCs w:val="21"/>
              </w:rPr>
              <w:t>1</w:t>
            </w:r>
          </w:p>
        </w:tc>
        <w:tc>
          <w:tcPr>
            <w:tcW w:w="1981" w:type="dxa"/>
            <w:tcBorders>
              <w:tl2br w:val="nil"/>
              <w:tr2bl w:val="nil"/>
            </w:tcBorders>
            <w:noWrap/>
            <w:vAlign w:val="center"/>
          </w:tcPr>
          <w:p w14:paraId="27B6AEDC">
            <w:pPr>
              <w:adjustRightInd w:val="0"/>
              <w:snapToGrid w:val="0"/>
              <w:spacing w:before="120" w:beforeLines="50"/>
              <w:ind w:firstLine="0" w:firstLineChars="0"/>
              <w:jc w:val="center"/>
              <w:rPr>
                <w:b/>
                <w:kern w:val="0"/>
                <w:szCs w:val="21"/>
              </w:rPr>
            </w:pPr>
          </w:p>
        </w:tc>
        <w:tc>
          <w:tcPr>
            <w:tcW w:w="1620" w:type="dxa"/>
            <w:tcBorders>
              <w:tl2br w:val="nil"/>
              <w:tr2bl w:val="nil"/>
            </w:tcBorders>
            <w:noWrap/>
            <w:vAlign w:val="center"/>
          </w:tcPr>
          <w:p w14:paraId="1164C42E">
            <w:pPr>
              <w:adjustRightInd w:val="0"/>
              <w:snapToGrid w:val="0"/>
              <w:spacing w:before="120" w:beforeLines="50"/>
              <w:ind w:firstLine="0" w:firstLineChars="0"/>
              <w:jc w:val="center"/>
              <w:rPr>
                <w:b/>
                <w:kern w:val="0"/>
                <w:szCs w:val="21"/>
              </w:rPr>
            </w:pPr>
          </w:p>
        </w:tc>
        <w:tc>
          <w:tcPr>
            <w:tcW w:w="1596" w:type="dxa"/>
            <w:tcBorders>
              <w:tl2br w:val="nil"/>
              <w:tr2bl w:val="nil"/>
            </w:tcBorders>
            <w:noWrap/>
            <w:vAlign w:val="center"/>
          </w:tcPr>
          <w:p w14:paraId="14BC2536">
            <w:pPr>
              <w:adjustRightInd w:val="0"/>
              <w:snapToGrid w:val="0"/>
              <w:spacing w:before="120" w:beforeLines="50"/>
              <w:ind w:firstLine="0" w:firstLineChars="0"/>
              <w:jc w:val="center"/>
              <w:rPr>
                <w:b/>
                <w:kern w:val="0"/>
                <w:szCs w:val="21"/>
              </w:rPr>
            </w:pPr>
          </w:p>
        </w:tc>
        <w:tc>
          <w:tcPr>
            <w:tcW w:w="1329" w:type="dxa"/>
            <w:tcBorders>
              <w:tl2br w:val="nil"/>
              <w:tr2bl w:val="nil"/>
            </w:tcBorders>
            <w:noWrap/>
            <w:vAlign w:val="center"/>
          </w:tcPr>
          <w:p w14:paraId="53AFB302">
            <w:pPr>
              <w:adjustRightInd w:val="0"/>
              <w:snapToGrid w:val="0"/>
              <w:spacing w:before="120" w:beforeLines="50"/>
              <w:ind w:firstLine="0" w:firstLineChars="0"/>
              <w:jc w:val="center"/>
              <w:rPr>
                <w:b/>
                <w:kern w:val="0"/>
                <w:szCs w:val="21"/>
              </w:rPr>
            </w:pPr>
          </w:p>
        </w:tc>
        <w:tc>
          <w:tcPr>
            <w:tcW w:w="1567" w:type="dxa"/>
            <w:tcBorders>
              <w:tl2br w:val="nil"/>
              <w:tr2bl w:val="nil"/>
            </w:tcBorders>
            <w:noWrap/>
            <w:vAlign w:val="center"/>
          </w:tcPr>
          <w:p w14:paraId="0043F600">
            <w:pPr>
              <w:adjustRightInd w:val="0"/>
              <w:snapToGrid w:val="0"/>
              <w:spacing w:before="120" w:beforeLines="50"/>
              <w:ind w:firstLine="0" w:firstLineChars="0"/>
              <w:jc w:val="center"/>
              <w:rPr>
                <w:b/>
                <w:kern w:val="0"/>
                <w:szCs w:val="21"/>
              </w:rPr>
            </w:pPr>
          </w:p>
        </w:tc>
      </w:tr>
      <w:tr w14:paraId="0576F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noWrap/>
            <w:vAlign w:val="center"/>
          </w:tcPr>
          <w:p w14:paraId="5BB9F9AD">
            <w:pPr>
              <w:adjustRightInd w:val="0"/>
              <w:snapToGrid w:val="0"/>
              <w:spacing w:before="120" w:beforeLines="50"/>
              <w:ind w:firstLine="0" w:firstLineChars="0"/>
              <w:jc w:val="center"/>
              <w:rPr>
                <w:b/>
                <w:kern w:val="0"/>
                <w:szCs w:val="21"/>
              </w:rPr>
            </w:pPr>
            <w:r>
              <w:rPr>
                <w:rFonts w:hint="eastAsia"/>
                <w:b/>
                <w:kern w:val="0"/>
                <w:szCs w:val="21"/>
              </w:rPr>
              <w:t>2</w:t>
            </w:r>
          </w:p>
        </w:tc>
        <w:tc>
          <w:tcPr>
            <w:tcW w:w="1981" w:type="dxa"/>
            <w:tcBorders>
              <w:tl2br w:val="nil"/>
              <w:tr2bl w:val="nil"/>
            </w:tcBorders>
            <w:noWrap/>
            <w:vAlign w:val="center"/>
          </w:tcPr>
          <w:p w14:paraId="1075E349">
            <w:pPr>
              <w:adjustRightInd w:val="0"/>
              <w:snapToGrid w:val="0"/>
              <w:spacing w:before="120" w:beforeLines="50"/>
              <w:ind w:firstLine="0" w:firstLineChars="0"/>
              <w:jc w:val="center"/>
              <w:rPr>
                <w:b/>
                <w:kern w:val="0"/>
                <w:szCs w:val="21"/>
              </w:rPr>
            </w:pPr>
          </w:p>
        </w:tc>
        <w:tc>
          <w:tcPr>
            <w:tcW w:w="1620" w:type="dxa"/>
            <w:tcBorders>
              <w:tl2br w:val="nil"/>
              <w:tr2bl w:val="nil"/>
            </w:tcBorders>
            <w:noWrap/>
            <w:vAlign w:val="center"/>
          </w:tcPr>
          <w:p w14:paraId="522412F9">
            <w:pPr>
              <w:adjustRightInd w:val="0"/>
              <w:snapToGrid w:val="0"/>
              <w:spacing w:before="120" w:beforeLines="50"/>
              <w:ind w:firstLine="0" w:firstLineChars="0"/>
              <w:jc w:val="center"/>
              <w:rPr>
                <w:b/>
                <w:kern w:val="0"/>
                <w:szCs w:val="21"/>
              </w:rPr>
            </w:pPr>
          </w:p>
        </w:tc>
        <w:tc>
          <w:tcPr>
            <w:tcW w:w="1596" w:type="dxa"/>
            <w:tcBorders>
              <w:tl2br w:val="nil"/>
              <w:tr2bl w:val="nil"/>
            </w:tcBorders>
            <w:noWrap/>
            <w:vAlign w:val="center"/>
          </w:tcPr>
          <w:p w14:paraId="73A35677">
            <w:pPr>
              <w:adjustRightInd w:val="0"/>
              <w:snapToGrid w:val="0"/>
              <w:spacing w:before="120" w:beforeLines="50"/>
              <w:ind w:firstLine="0" w:firstLineChars="0"/>
              <w:jc w:val="center"/>
              <w:rPr>
                <w:b/>
                <w:kern w:val="0"/>
                <w:szCs w:val="21"/>
              </w:rPr>
            </w:pPr>
          </w:p>
        </w:tc>
        <w:tc>
          <w:tcPr>
            <w:tcW w:w="1329" w:type="dxa"/>
            <w:tcBorders>
              <w:tl2br w:val="nil"/>
              <w:tr2bl w:val="nil"/>
            </w:tcBorders>
            <w:noWrap/>
            <w:vAlign w:val="center"/>
          </w:tcPr>
          <w:p w14:paraId="5BF3BB02">
            <w:pPr>
              <w:adjustRightInd w:val="0"/>
              <w:snapToGrid w:val="0"/>
              <w:spacing w:before="120" w:beforeLines="50"/>
              <w:ind w:firstLine="0" w:firstLineChars="0"/>
              <w:jc w:val="center"/>
              <w:rPr>
                <w:b/>
                <w:kern w:val="0"/>
                <w:szCs w:val="21"/>
              </w:rPr>
            </w:pPr>
          </w:p>
        </w:tc>
        <w:tc>
          <w:tcPr>
            <w:tcW w:w="1567" w:type="dxa"/>
            <w:tcBorders>
              <w:tl2br w:val="nil"/>
              <w:tr2bl w:val="nil"/>
            </w:tcBorders>
            <w:noWrap/>
            <w:vAlign w:val="center"/>
          </w:tcPr>
          <w:p w14:paraId="215A1343">
            <w:pPr>
              <w:adjustRightInd w:val="0"/>
              <w:snapToGrid w:val="0"/>
              <w:spacing w:before="120" w:beforeLines="50"/>
              <w:ind w:firstLine="0" w:firstLineChars="0"/>
              <w:jc w:val="center"/>
              <w:rPr>
                <w:b/>
                <w:kern w:val="0"/>
                <w:szCs w:val="21"/>
              </w:rPr>
            </w:pPr>
          </w:p>
        </w:tc>
      </w:tr>
    </w:tbl>
    <w:p w14:paraId="0CC2FC0C">
      <w:pPr>
        <w:ind w:firstLine="422"/>
        <w:rPr>
          <w:rFonts w:ascii="Times New Roman" w:hAnsi="Times New Roman" w:cs="Times New Roman"/>
          <w:b/>
          <w:bCs/>
          <w:szCs w:val="21"/>
        </w:rPr>
      </w:pPr>
      <w:r>
        <w:rPr>
          <w:rFonts w:ascii="Times New Roman" w:hAnsi="Times New Roman" w:cs="Times New Roman"/>
          <w:b/>
          <w:bCs/>
          <w:szCs w:val="21"/>
        </w:rPr>
        <w:br w:type="page"/>
      </w:r>
    </w:p>
    <w:p w14:paraId="6D83395D">
      <w:pPr>
        <w:ind w:firstLine="0" w:firstLineChars="0"/>
        <w:outlineLvl w:val="2"/>
        <w:rPr>
          <w:b/>
          <w:bCs/>
          <w:szCs w:val="21"/>
        </w:rPr>
      </w:pPr>
      <w:bookmarkStart w:id="94" w:name="_Toc16812"/>
      <w:bookmarkStart w:id="95" w:name="_Toc13892"/>
      <w:bookmarkStart w:id="96" w:name="_Toc18251"/>
      <w:r>
        <w:rPr>
          <w:rFonts w:hint="eastAsia"/>
          <w:b/>
          <w:bCs/>
          <w:szCs w:val="21"/>
        </w:rPr>
        <w:t>附页4评审因素和标准</w:t>
      </w:r>
      <w:bookmarkEnd w:id="94"/>
      <w:bookmarkEnd w:id="95"/>
      <w:bookmarkEnd w:id="96"/>
    </w:p>
    <w:p w14:paraId="6773FE03">
      <w:pPr>
        <w:ind w:firstLine="0" w:firstLineChars="0"/>
        <w:jc w:val="center"/>
        <w:rPr>
          <w:rFonts w:ascii="Times New Roman" w:hAnsi="Times New Roman" w:eastAsia="黑体" w:cs="Times New Roman"/>
          <w:bCs/>
          <w:sz w:val="28"/>
          <w:szCs w:val="28"/>
        </w:rPr>
      </w:pPr>
      <w:r>
        <w:rPr>
          <w:rFonts w:ascii="Times New Roman" w:hAnsi="Times New Roman" w:eastAsia="黑体" w:cs="Times New Roman"/>
          <w:bCs/>
          <w:sz w:val="28"/>
          <w:szCs w:val="28"/>
        </w:rPr>
        <w:t>评审因素和标准</w:t>
      </w:r>
    </w:p>
    <w:tbl>
      <w:tblPr>
        <w:tblStyle w:val="45"/>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149"/>
        <w:gridCol w:w="699"/>
        <w:gridCol w:w="5848"/>
      </w:tblGrid>
      <w:tr w14:paraId="7F73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29" w:type="dxa"/>
            <w:gridSpan w:val="4"/>
            <w:noWrap/>
            <w:vAlign w:val="center"/>
          </w:tcPr>
          <w:p w14:paraId="19ACDAE9">
            <w:pPr>
              <w:widowControl/>
              <w:adjustRightInd w:val="0"/>
              <w:snapToGrid w:val="0"/>
              <w:spacing w:line="240" w:lineRule="auto"/>
              <w:ind w:firstLine="0" w:firstLineChars="0"/>
              <w:jc w:val="center"/>
              <w:rPr>
                <w:rFonts w:ascii="仿宋" w:hAnsi="仿宋" w:eastAsia="仿宋" w:cs="仿宋"/>
                <w:kern w:val="0"/>
                <w:szCs w:val="21"/>
                <w:u w:color="000000"/>
                <w:lang w:val="zh-TW" w:eastAsia="en-US"/>
              </w:rPr>
            </w:pPr>
            <w:r>
              <w:rPr>
                <w:rFonts w:hint="eastAsia" w:ascii="仿宋" w:hAnsi="仿宋" w:eastAsia="仿宋" w:cs="仿宋"/>
                <w:b/>
                <w:bCs/>
                <w:kern w:val="0"/>
                <w:szCs w:val="21"/>
                <w:u w:color="000000"/>
                <w:lang w:val="zh-TW" w:eastAsia="en-US"/>
              </w:rPr>
              <w:t>综合评分表</w:t>
            </w:r>
          </w:p>
        </w:tc>
      </w:tr>
      <w:tr w14:paraId="5833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3" w:type="dxa"/>
            <w:noWrap/>
            <w:vAlign w:val="center"/>
          </w:tcPr>
          <w:p w14:paraId="333A1BFD">
            <w:pPr>
              <w:widowControl/>
              <w:adjustRightInd w:val="0"/>
              <w:snapToGrid w:val="0"/>
              <w:spacing w:line="240" w:lineRule="auto"/>
              <w:ind w:firstLine="0" w:firstLineChars="0"/>
              <w:jc w:val="center"/>
              <w:rPr>
                <w:rFonts w:ascii="仿宋" w:hAnsi="仿宋" w:eastAsia="仿宋" w:cs="仿宋"/>
                <w:b/>
                <w:bCs/>
                <w:kern w:val="0"/>
                <w:szCs w:val="21"/>
                <w:u w:color="000000"/>
                <w:lang w:val="zh-TW" w:eastAsia="en-US"/>
              </w:rPr>
            </w:pPr>
            <w:r>
              <w:rPr>
                <w:rFonts w:hint="eastAsia" w:ascii="仿宋" w:hAnsi="仿宋" w:eastAsia="仿宋" w:cs="仿宋"/>
                <w:b/>
                <w:bCs/>
                <w:kern w:val="0"/>
                <w:szCs w:val="21"/>
                <w:u w:color="000000"/>
                <w:lang w:val="zh-TW" w:eastAsia="en-US"/>
              </w:rPr>
              <w:t>评审因素</w:t>
            </w:r>
          </w:p>
        </w:tc>
        <w:tc>
          <w:tcPr>
            <w:tcW w:w="1149" w:type="dxa"/>
            <w:noWrap/>
            <w:vAlign w:val="center"/>
          </w:tcPr>
          <w:p w14:paraId="587165BE">
            <w:pPr>
              <w:widowControl/>
              <w:adjustRightInd w:val="0"/>
              <w:snapToGrid w:val="0"/>
              <w:spacing w:line="240" w:lineRule="auto"/>
              <w:ind w:firstLine="0" w:firstLineChars="0"/>
              <w:jc w:val="center"/>
              <w:rPr>
                <w:rFonts w:ascii="仿宋" w:hAnsi="仿宋" w:eastAsia="仿宋" w:cs="仿宋"/>
                <w:b/>
                <w:bCs/>
                <w:kern w:val="0"/>
                <w:szCs w:val="21"/>
                <w:u w:color="000000"/>
                <w:lang w:val="zh-TW" w:eastAsia="en-US"/>
              </w:rPr>
            </w:pPr>
            <w:r>
              <w:rPr>
                <w:rFonts w:hint="eastAsia" w:ascii="仿宋" w:hAnsi="仿宋" w:eastAsia="仿宋" w:cs="仿宋"/>
                <w:b/>
                <w:bCs/>
                <w:kern w:val="0"/>
                <w:szCs w:val="21"/>
                <w:u w:color="000000"/>
                <w:lang w:val="zh-TW" w:eastAsia="en-US"/>
              </w:rPr>
              <w:t>计分因素</w:t>
            </w:r>
          </w:p>
        </w:tc>
        <w:tc>
          <w:tcPr>
            <w:tcW w:w="699" w:type="dxa"/>
            <w:noWrap/>
            <w:vAlign w:val="center"/>
          </w:tcPr>
          <w:p w14:paraId="04DF64FE">
            <w:pPr>
              <w:widowControl/>
              <w:adjustRightInd w:val="0"/>
              <w:snapToGrid w:val="0"/>
              <w:spacing w:line="240" w:lineRule="auto"/>
              <w:ind w:firstLine="0" w:firstLineChars="0"/>
              <w:jc w:val="center"/>
              <w:rPr>
                <w:rFonts w:ascii="仿宋" w:hAnsi="仿宋" w:eastAsia="仿宋" w:cs="仿宋"/>
                <w:b/>
                <w:bCs/>
                <w:kern w:val="0"/>
                <w:szCs w:val="21"/>
                <w:u w:color="000000"/>
                <w:lang w:val="zh-TW" w:eastAsia="en-US"/>
              </w:rPr>
            </w:pPr>
            <w:r>
              <w:rPr>
                <w:rFonts w:hint="eastAsia" w:ascii="仿宋" w:hAnsi="仿宋" w:eastAsia="仿宋" w:cs="仿宋"/>
                <w:b/>
                <w:bCs/>
                <w:kern w:val="0"/>
                <w:szCs w:val="21"/>
                <w:u w:color="000000"/>
                <w:lang w:val="zh-TW" w:eastAsia="en-US"/>
              </w:rPr>
              <w:t>分值</w:t>
            </w:r>
          </w:p>
        </w:tc>
        <w:tc>
          <w:tcPr>
            <w:tcW w:w="5848" w:type="dxa"/>
            <w:noWrap/>
            <w:vAlign w:val="center"/>
          </w:tcPr>
          <w:p w14:paraId="644C35E7">
            <w:pPr>
              <w:widowControl/>
              <w:adjustRightInd w:val="0"/>
              <w:snapToGrid w:val="0"/>
              <w:spacing w:line="240" w:lineRule="auto"/>
              <w:ind w:firstLine="0" w:firstLineChars="0"/>
              <w:jc w:val="center"/>
              <w:rPr>
                <w:rFonts w:ascii="仿宋" w:hAnsi="仿宋" w:eastAsia="仿宋" w:cs="仿宋"/>
                <w:b/>
                <w:bCs/>
                <w:kern w:val="0"/>
                <w:szCs w:val="21"/>
                <w:u w:color="000000"/>
                <w:lang w:val="zh-TW" w:eastAsia="en-US"/>
              </w:rPr>
            </w:pPr>
            <w:r>
              <w:rPr>
                <w:rFonts w:hint="eastAsia" w:ascii="仿宋" w:hAnsi="仿宋" w:eastAsia="仿宋" w:cs="仿宋"/>
                <w:b/>
                <w:bCs/>
                <w:kern w:val="0"/>
                <w:szCs w:val="21"/>
                <w:u w:color="000000"/>
                <w:lang w:val="zh-TW" w:eastAsia="en-US"/>
              </w:rPr>
              <w:t>评分标准</w:t>
            </w:r>
          </w:p>
        </w:tc>
      </w:tr>
      <w:tr w14:paraId="3652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33" w:type="dxa"/>
            <w:noWrap/>
            <w:vAlign w:val="center"/>
          </w:tcPr>
          <w:p w14:paraId="4788061D">
            <w:pPr>
              <w:widowControl/>
              <w:adjustRightInd w:val="0"/>
              <w:snapToGrid w:val="0"/>
              <w:spacing w:line="240" w:lineRule="auto"/>
              <w:ind w:firstLine="0" w:firstLineChars="0"/>
              <w:jc w:val="center"/>
              <w:rPr>
                <w:szCs w:val="21"/>
              </w:rPr>
            </w:pPr>
            <w:r>
              <w:rPr>
                <w:rFonts w:hint="eastAsia"/>
                <w:szCs w:val="21"/>
              </w:rPr>
              <w:t>价格部分</w:t>
            </w:r>
          </w:p>
          <w:p w14:paraId="127A3E48">
            <w:pPr>
              <w:widowControl/>
              <w:adjustRightInd w:val="0"/>
              <w:snapToGrid w:val="0"/>
              <w:spacing w:line="240" w:lineRule="auto"/>
              <w:ind w:firstLine="0" w:firstLineChars="0"/>
              <w:jc w:val="center"/>
              <w:rPr>
                <w:szCs w:val="21"/>
              </w:rPr>
            </w:pPr>
            <w:r>
              <w:rPr>
                <w:rFonts w:hint="eastAsia"/>
                <w:szCs w:val="21"/>
              </w:rPr>
              <w:t>（20分）</w:t>
            </w:r>
          </w:p>
        </w:tc>
        <w:tc>
          <w:tcPr>
            <w:tcW w:w="1149" w:type="dxa"/>
            <w:noWrap/>
            <w:vAlign w:val="center"/>
          </w:tcPr>
          <w:p w14:paraId="31B50C45">
            <w:pPr>
              <w:widowControl/>
              <w:adjustRightInd w:val="0"/>
              <w:snapToGrid w:val="0"/>
              <w:spacing w:line="240" w:lineRule="auto"/>
              <w:ind w:firstLine="0" w:firstLineChars="0"/>
              <w:jc w:val="center"/>
              <w:rPr>
                <w:kern w:val="0"/>
                <w:szCs w:val="21"/>
                <w:u w:color="000000"/>
              </w:rPr>
            </w:pPr>
            <w:r>
              <w:rPr>
                <w:rFonts w:hint="eastAsia"/>
                <w:kern w:val="0"/>
                <w:szCs w:val="21"/>
                <w:u w:color="000000"/>
              </w:rPr>
              <w:t>投标报价</w:t>
            </w:r>
          </w:p>
        </w:tc>
        <w:tc>
          <w:tcPr>
            <w:tcW w:w="699" w:type="dxa"/>
            <w:noWrap/>
            <w:vAlign w:val="center"/>
          </w:tcPr>
          <w:p w14:paraId="5A49C106">
            <w:pPr>
              <w:widowControl/>
              <w:adjustRightInd w:val="0"/>
              <w:snapToGrid w:val="0"/>
              <w:spacing w:line="240" w:lineRule="auto"/>
              <w:ind w:firstLine="0" w:firstLineChars="0"/>
              <w:jc w:val="center"/>
              <w:rPr>
                <w:rFonts w:ascii="仿宋" w:hAnsi="仿宋" w:eastAsia="仿宋" w:cs="仿宋"/>
                <w:kern w:val="0"/>
                <w:szCs w:val="21"/>
                <w:u w:color="000000"/>
              </w:rPr>
            </w:pPr>
            <w:r>
              <w:rPr>
                <w:rFonts w:hint="eastAsia" w:ascii="仿宋" w:hAnsi="仿宋" w:eastAsia="仿宋" w:cs="仿宋"/>
                <w:kern w:val="0"/>
                <w:szCs w:val="21"/>
                <w:u w:color="000000"/>
              </w:rPr>
              <w:t>20</w:t>
            </w:r>
          </w:p>
        </w:tc>
        <w:tc>
          <w:tcPr>
            <w:tcW w:w="5848" w:type="dxa"/>
            <w:noWrap/>
            <w:vAlign w:val="center"/>
          </w:tcPr>
          <w:p w14:paraId="4442D43E">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以满足招标文件要求且投标价格最低的投标报价为评标基准价，其价格分为满分。其他供应商的价格分统一按照下列公式计算：</w:t>
            </w:r>
          </w:p>
          <w:p w14:paraId="0E46124A">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投标报价得分=(评标基准价／投标报价)×20</w:t>
            </w:r>
          </w:p>
          <w:p w14:paraId="10FEB9B6">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注：1、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F295201">
            <w:pPr>
              <w:widowControl/>
              <w:spacing w:line="240" w:lineRule="auto"/>
              <w:ind w:firstLine="0" w:firstLineChars="0"/>
              <w:jc w:val="left"/>
              <w:rPr>
                <w:b/>
                <w:bCs/>
                <w:color w:val="0F1115"/>
                <w:szCs w:val="21"/>
                <w:shd w:val="clear" w:color="auto" w:fill="FFFFFF"/>
              </w:rPr>
            </w:pPr>
            <w:r>
              <w:rPr>
                <w:rFonts w:hint="eastAsia"/>
                <w:color w:val="0F1115"/>
                <w:szCs w:val="21"/>
                <w:shd w:val="clear" w:color="auto" w:fill="FFFFFF"/>
              </w:rPr>
              <w:t>2、</w:t>
            </w:r>
            <w:r>
              <w:rPr>
                <w:rFonts w:hint="eastAsia"/>
                <w:b/>
                <w:bCs/>
                <w:color w:val="0F1115"/>
                <w:szCs w:val="21"/>
                <w:shd w:val="clear" w:color="auto" w:fill="FFFFFF"/>
              </w:rPr>
              <w:t>根据《关于推动解决政府采购异常低价问题的通知》财库〔2026〕2号</w:t>
            </w:r>
          </w:p>
          <w:p w14:paraId="488F9B86">
            <w:pPr>
              <w:widowControl/>
              <w:spacing w:line="240" w:lineRule="auto"/>
              <w:ind w:firstLine="0" w:firstLineChars="0"/>
              <w:jc w:val="left"/>
              <w:rPr>
                <w:b/>
                <w:bCs/>
                <w:color w:val="0F1115"/>
                <w:szCs w:val="21"/>
                <w:shd w:val="clear" w:color="auto" w:fill="FFFFFF"/>
              </w:rPr>
            </w:pPr>
            <w:r>
              <w:rPr>
                <w:rFonts w:hint="eastAsia"/>
                <w:b/>
                <w:bCs/>
                <w:color w:val="0F1115"/>
                <w:szCs w:val="21"/>
                <w:shd w:val="clear" w:color="auto" w:fill="FFFFFF"/>
              </w:rPr>
              <w:t>政府采购评审中出现下列情形之一的，评审委员会应当启动异常低价投标（响应）审查程序： </w:t>
            </w:r>
          </w:p>
          <w:p w14:paraId="0B6441EB">
            <w:pPr>
              <w:widowControl/>
              <w:spacing w:line="240" w:lineRule="auto"/>
              <w:ind w:firstLine="0" w:firstLineChars="0"/>
              <w:jc w:val="left"/>
              <w:rPr>
                <w:b/>
                <w:bCs/>
                <w:color w:val="0F1115"/>
                <w:szCs w:val="21"/>
                <w:shd w:val="clear" w:color="auto" w:fill="FFFFFF"/>
              </w:rPr>
            </w:pPr>
            <w:r>
              <w:rPr>
                <w:rFonts w:hint="eastAsia"/>
                <w:b/>
                <w:bCs/>
                <w:color w:val="0F1115"/>
                <w:szCs w:val="21"/>
                <w:shd w:val="clear" w:color="auto" w:fill="FFFFFF"/>
              </w:rPr>
              <w:t>1.投标（响应）报价低于全部通过符合性审查供应商投标（响应）报价平均值65%的，即投标（响应）报价&lt;全部通过符合性审查供应商投标（响应）报价平均值×65%； </w:t>
            </w:r>
          </w:p>
          <w:p w14:paraId="157BE1BC">
            <w:pPr>
              <w:widowControl/>
              <w:spacing w:line="240" w:lineRule="auto"/>
              <w:ind w:firstLine="0" w:firstLineChars="0"/>
              <w:jc w:val="left"/>
              <w:rPr>
                <w:b/>
                <w:bCs/>
                <w:color w:val="0F1115"/>
                <w:szCs w:val="21"/>
                <w:shd w:val="clear" w:color="auto" w:fill="FFFFFF"/>
              </w:rPr>
            </w:pPr>
            <w:r>
              <w:rPr>
                <w:rFonts w:hint="eastAsia"/>
                <w:b/>
                <w:bCs/>
                <w:color w:val="0F1115"/>
                <w:szCs w:val="21"/>
                <w:shd w:val="clear" w:color="auto" w:fill="FFFFFF"/>
              </w:rPr>
              <w:t>2.投标（响应）报价低于通过符合性审查的次低报价供应商投标（响应）报价65%的，即投标（响应）报价&lt;通过符合性审查的次低报价供应商投标（响应）报价×65%； </w:t>
            </w:r>
          </w:p>
          <w:p w14:paraId="1455DE29">
            <w:pPr>
              <w:widowControl/>
              <w:spacing w:line="240" w:lineRule="auto"/>
              <w:ind w:firstLine="0" w:firstLineChars="0"/>
              <w:jc w:val="left"/>
              <w:rPr>
                <w:b/>
                <w:bCs/>
                <w:color w:val="0F1115"/>
                <w:szCs w:val="21"/>
                <w:shd w:val="clear" w:color="auto" w:fill="FFFFFF"/>
              </w:rPr>
            </w:pPr>
            <w:r>
              <w:rPr>
                <w:rFonts w:hint="eastAsia"/>
                <w:b/>
                <w:bCs/>
                <w:color w:val="0F1115"/>
                <w:szCs w:val="21"/>
                <w:shd w:val="clear" w:color="auto" w:fill="FFFFFF"/>
              </w:rPr>
              <w:t>3.投标（响应）报价低于采购项目最高限价65%的，即投标（响应）报价&lt;采购项目最高限价×65%； </w:t>
            </w:r>
          </w:p>
          <w:p w14:paraId="1A77B7A5">
            <w:pPr>
              <w:widowControl/>
              <w:spacing w:line="240" w:lineRule="auto"/>
              <w:ind w:firstLine="0" w:firstLineChars="0"/>
              <w:jc w:val="left"/>
              <w:rPr>
                <w:b/>
                <w:bCs/>
                <w:color w:val="0F1115"/>
                <w:szCs w:val="21"/>
                <w:shd w:val="clear" w:color="auto" w:fill="FFFFFF"/>
              </w:rPr>
            </w:pPr>
            <w:r>
              <w:rPr>
                <w:rFonts w:hint="eastAsia"/>
                <w:b/>
                <w:bCs/>
                <w:color w:val="0F1115"/>
                <w:szCs w:val="21"/>
                <w:shd w:val="clear" w:color="auto" w:fill="FFFFFF"/>
              </w:rPr>
              <w:t>4.评审委员会基于专业判断，认为供应商报价过低，有可能影响产品质量或者不能诚信履约的其他情形。 </w:t>
            </w:r>
          </w:p>
          <w:p w14:paraId="6AC251D9">
            <w:pPr>
              <w:widowControl/>
              <w:spacing w:line="240" w:lineRule="auto"/>
              <w:ind w:firstLine="0" w:firstLineChars="0"/>
              <w:jc w:val="left"/>
              <w:rPr>
                <w:rFonts w:ascii="仿宋" w:hAnsi="仿宋" w:eastAsia="仿宋" w:cs="仿宋"/>
                <w:color w:val="0F1115"/>
                <w:szCs w:val="21"/>
                <w:shd w:val="clear" w:color="auto" w:fill="FFFFFF"/>
              </w:rPr>
            </w:pPr>
            <w:r>
              <w:rPr>
                <w:rFonts w:hint="eastAsia"/>
                <w:b/>
                <w:bCs/>
                <w:color w:val="0F1115"/>
                <w:szCs w:val="21"/>
                <w:shd w:val="clear" w:color="auto" w:fill="FFFFFF"/>
              </w:rPr>
              <w:t>采购人可以结合具体项目实际情况，提高上述第1项至第3项中启动异常低价投标（响应）审查的数值标准，但是最高不得超过65%。</w:t>
            </w:r>
          </w:p>
        </w:tc>
      </w:tr>
      <w:tr w14:paraId="41F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33" w:type="dxa"/>
            <w:vMerge w:val="restart"/>
            <w:noWrap/>
            <w:vAlign w:val="center"/>
          </w:tcPr>
          <w:p w14:paraId="4C17AB51">
            <w:pPr>
              <w:widowControl/>
              <w:adjustRightInd w:val="0"/>
              <w:snapToGrid w:val="0"/>
              <w:spacing w:line="240" w:lineRule="auto"/>
              <w:ind w:firstLine="0" w:firstLineChars="0"/>
              <w:rPr>
                <w:szCs w:val="21"/>
              </w:rPr>
            </w:pPr>
            <w:r>
              <w:rPr>
                <w:rFonts w:hint="eastAsia"/>
                <w:szCs w:val="21"/>
              </w:rPr>
              <w:t>技术部分</w:t>
            </w:r>
          </w:p>
          <w:p w14:paraId="5D26B492">
            <w:pPr>
              <w:widowControl/>
              <w:adjustRightInd w:val="0"/>
              <w:snapToGrid w:val="0"/>
              <w:spacing w:line="240" w:lineRule="auto"/>
              <w:ind w:firstLine="0" w:firstLineChars="0"/>
              <w:rPr>
                <w:szCs w:val="21"/>
              </w:rPr>
            </w:pPr>
            <w:r>
              <w:rPr>
                <w:rFonts w:hint="eastAsia"/>
                <w:szCs w:val="21"/>
              </w:rPr>
              <w:t>（60分）</w:t>
            </w:r>
          </w:p>
        </w:tc>
        <w:tc>
          <w:tcPr>
            <w:tcW w:w="1149" w:type="dxa"/>
            <w:noWrap/>
            <w:vAlign w:val="center"/>
          </w:tcPr>
          <w:p w14:paraId="2B463258">
            <w:pPr>
              <w:widowControl/>
              <w:adjustRightInd w:val="0"/>
              <w:snapToGrid w:val="0"/>
              <w:spacing w:line="240" w:lineRule="auto"/>
              <w:ind w:firstLine="0" w:firstLineChars="0"/>
              <w:jc w:val="center"/>
              <w:rPr>
                <w:szCs w:val="21"/>
              </w:rPr>
            </w:pPr>
            <w:r>
              <w:rPr>
                <w:rFonts w:hint="eastAsia"/>
                <w:szCs w:val="21"/>
              </w:rPr>
              <w:t>整体方案及技术措施</w:t>
            </w:r>
          </w:p>
        </w:tc>
        <w:tc>
          <w:tcPr>
            <w:tcW w:w="699" w:type="dxa"/>
            <w:noWrap/>
            <w:vAlign w:val="center"/>
          </w:tcPr>
          <w:p w14:paraId="552AA5B5">
            <w:pPr>
              <w:widowControl/>
              <w:adjustRightInd w:val="0"/>
              <w:snapToGrid w:val="0"/>
              <w:spacing w:line="240" w:lineRule="auto"/>
              <w:ind w:firstLine="0" w:firstLineChars="0"/>
              <w:jc w:val="center"/>
              <w:rPr>
                <w:kern w:val="0"/>
                <w:szCs w:val="21"/>
              </w:rPr>
            </w:pPr>
            <w:r>
              <w:rPr>
                <w:rFonts w:hint="eastAsia"/>
                <w:kern w:val="0"/>
                <w:szCs w:val="21"/>
              </w:rPr>
              <w:t>15</w:t>
            </w:r>
          </w:p>
        </w:tc>
        <w:tc>
          <w:tcPr>
            <w:tcW w:w="5848" w:type="dxa"/>
            <w:noWrap/>
            <w:vAlign w:val="center"/>
          </w:tcPr>
          <w:p w14:paraId="082D6126">
            <w:pPr>
              <w:widowControl/>
              <w:spacing w:line="240" w:lineRule="auto"/>
              <w:ind w:firstLine="0" w:firstLineChars="0"/>
              <w:jc w:val="left"/>
              <w:rPr>
                <w:color w:val="0F1115"/>
                <w:szCs w:val="21"/>
                <w:shd w:val="clear" w:color="auto" w:fill="FFFFFF"/>
              </w:rPr>
            </w:pPr>
            <w:r>
              <w:rPr>
                <w:rFonts w:hint="eastAsia"/>
                <w:bCs/>
                <w:szCs w:val="21"/>
              </w:rPr>
              <w:t>根据供应商拟定的</w:t>
            </w:r>
            <w:r>
              <w:rPr>
                <w:rFonts w:hint="eastAsia" w:ascii="Times New Roman" w:hAnsi="Times New Roman" w:cs="Times New Roman"/>
                <w:szCs w:val="21"/>
              </w:rPr>
              <w:t>服务方案与技术措施</w:t>
            </w:r>
            <w:r>
              <w:rPr>
                <w:rFonts w:hint="eastAsia"/>
                <w:bCs/>
                <w:szCs w:val="21"/>
              </w:rPr>
              <w:t>，包含但不限于以下几项内容</w:t>
            </w:r>
            <w:r>
              <w:rPr>
                <w:rFonts w:hint="eastAsia" w:ascii="Times New Roman" w:hAnsi="Times New Roman" w:cs="Times New Roman"/>
                <w:szCs w:val="21"/>
              </w:rPr>
              <w:t>：</w:t>
            </w:r>
            <w:r>
              <w:rPr>
                <w:rFonts w:hint="eastAsia"/>
                <w:bCs/>
                <w:szCs w:val="21"/>
              </w:rPr>
              <w:t>①</w:t>
            </w:r>
            <w:r>
              <w:rPr>
                <w:rFonts w:hint="eastAsia" w:cs="Arial Unicode MS"/>
                <w:color w:val="000000"/>
                <w:szCs w:val="21"/>
                <w:u w:color="000000"/>
              </w:rPr>
              <w:t>项目总体概况分析；</w:t>
            </w:r>
            <w:r>
              <w:rPr>
                <w:rFonts w:hint="eastAsia"/>
                <w:bCs/>
                <w:szCs w:val="21"/>
              </w:rPr>
              <w:t>②</w:t>
            </w:r>
            <w:r>
              <w:rPr>
                <w:rFonts w:hint="eastAsia" w:cs="Arial Unicode MS"/>
                <w:color w:val="000000"/>
                <w:szCs w:val="21"/>
                <w:u w:color="000000"/>
              </w:rPr>
              <w:t>项目整体部署方案；</w:t>
            </w:r>
            <w:r>
              <w:rPr>
                <w:rFonts w:hint="eastAsia"/>
                <w:bCs/>
                <w:szCs w:val="21"/>
              </w:rPr>
              <w:t>③具体</w:t>
            </w:r>
            <w:r>
              <w:rPr>
                <w:rFonts w:hint="eastAsia" w:cs="Arial Unicode MS"/>
                <w:color w:val="000000"/>
                <w:szCs w:val="21"/>
                <w:u w:color="000000"/>
              </w:rPr>
              <w:t>人员配备方案；</w:t>
            </w:r>
            <w:r>
              <w:rPr>
                <w:rFonts w:hint="eastAsia"/>
                <w:bCs/>
                <w:szCs w:val="21"/>
              </w:rPr>
              <w:t>④</w:t>
            </w:r>
            <w:r>
              <w:rPr>
                <w:rFonts w:hint="eastAsia" w:cs="Arial Unicode MS"/>
                <w:color w:val="000000"/>
                <w:szCs w:val="21"/>
                <w:u w:color="000000"/>
              </w:rPr>
              <w:t>主要机具配备计划；</w:t>
            </w:r>
            <w:r>
              <w:rPr>
                <w:rFonts w:hint="eastAsia"/>
                <w:bCs/>
                <w:szCs w:val="21"/>
              </w:rPr>
              <w:t>⑤</w:t>
            </w:r>
            <w:r>
              <w:rPr>
                <w:rFonts w:hint="eastAsia" w:cs="Arial Unicode MS"/>
                <w:color w:val="000000"/>
                <w:szCs w:val="21"/>
                <w:u w:color="000000"/>
              </w:rPr>
              <w:t>施工平面布置方案。方案完整</w:t>
            </w:r>
            <w:r>
              <w:rPr>
                <w:rFonts w:hint="eastAsia"/>
                <w:kern w:val="0"/>
              </w:rPr>
              <w:t>全面，完全满足项目要求</w:t>
            </w:r>
            <w:r>
              <w:rPr>
                <w:rFonts w:hint="eastAsia" w:cs="Arial Unicode MS"/>
                <w:color w:val="000000"/>
                <w:szCs w:val="21"/>
                <w:u w:color="000000"/>
              </w:rPr>
              <w:t>的计</w:t>
            </w:r>
            <w:r>
              <w:rPr>
                <w:rFonts w:cs="Arial Unicode MS"/>
                <w:color w:val="000000"/>
                <w:szCs w:val="21"/>
                <w:u w:color="000000"/>
              </w:rPr>
              <w:t>1</w:t>
            </w:r>
            <w:r>
              <w:rPr>
                <w:rFonts w:hint="eastAsia" w:cs="Arial Unicode MS"/>
                <w:color w:val="000000"/>
                <w:szCs w:val="21"/>
                <w:u w:color="000000"/>
              </w:rPr>
              <w:t>5分，</w:t>
            </w:r>
            <w:r>
              <w:rPr>
                <w:rFonts w:hint="eastAsia"/>
                <w:bCs/>
                <w:szCs w:val="21"/>
              </w:rPr>
              <w:t>方案有内容缺漏项的每项扣3分；有缺少关键点或非专门针对本项目或不适用本项目特性、套用其他项目内容或对同一问题前后表述矛盾或存在逻辑漏洞、科学原理或常识错误等任意一种情形，以上有一项不满足或不完整或不完善的扣1分，扣完为止，不提供不计分。</w:t>
            </w:r>
          </w:p>
        </w:tc>
      </w:tr>
      <w:tr w14:paraId="46D1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33" w:type="dxa"/>
            <w:vMerge w:val="continue"/>
            <w:noWrap/>
            <w:vAlign w:val="center"/>
          </w:tcPr>
          <w:p w14:paraId="49AC2BB5">
            <w:pPr>
              <w:spacing w:after="120" w:line="240" w:lineRule="auto"/>
              <w:ind w:firstLine="0" w:firstLineChars="0"/>
              <w:rPr>
                <w:szCs w:val="21"/>
              </w:rPr>
            </w:pPr>
          </w:p>
        </w:tc>
        <w:tc>
          <w:tcPr>
            <w:tcW w:w="1149" w:type="dxa"/>
            <w:noWrap/>
            <w:vAlign w:val="center"/>
          </w:tcPr>
          <w:p w14:paraId="14AA5304">
            <w:pPr>
              <w:widowControl/>
              <w:adjustRightInd w:val="0"/>
              <w:snapToGrid w:val="0"/>
              <w:spacing w:line="240" w:lineRule="auto"/>
              <w:ind w:firstLine="0" w:firstLineChars="0"/>
              <w:jc w:val="center"/>
              <w:rPr>
                <w:szCs w:val="21"/>
              </w:rPr>
            </w:pPr>
            <w:r>
              <w:rPr>
                <w:rFonts w:hint="eastAsia" w:ascii="Times New Roman" w:hAnsi="Times New Roman" w:cs="Times New Roman"/>
                <w:kern w:val="0"/>
                <w:sz w:val="22"/>
                <w:szCs w:val="22"/>
              </w:rPr>
              <w:t>勘探测量工作周期和组织措施</w:t>
            </w:r>
          </w:p>
        </w:tc>
        <w:tc>
          <w:tcPr>
            <w:tcW w:w="699" w:type="dxa"/>
            <w:noWrap/>
            <w:vAlign w:val="center"/>
          </w:tcPr>
          <w:p w14:paraId="0D9F21A2">
            <w:pPr>
              <w:widowControl/>
              <w:adjustRightInd w:val="0"/>
              <w:snapToGrid w:val="0"/>
              <w:spacing w:line="240" w:lineRule="auto"/>
              <w:ind w:firstLine="0" w:firstLineChars="0"/>
              <w:jc w:val="center"/>
              <w:rPr>
                <w:kern w:val="0"/>
                <w:szCs w:val="21"/>
              </w:rPr>
            </w:pPr>
            <w:r>
              <w:rPr>
                <w:rFonts w:hint="eastAsia"/>
                <w:kern w:val="0"/>
                <w:szCs w:val="21"/>
              </w:rPr>
              <w:t>15</w:t>
            </w:r>
          </w:p>
        </w:tc>
        <w:tc>
          <w:tcPr>
            <w:tcW w:w="5848" w:type="dxa"/>
            <w:noWrap/>
            <w:vAlign w:val="center"/>
          </w:tcPr>
          <w:p w14:paraId="60D6C6F0">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供应商需根据本项目采购需求编制初步</w:t>
            </w:r>
            <w:r>
              <w:rPr>
                <w:rFonts w:hint="eastAsia" w:ascii="Times New Roman" w:hAnsi="Times New Roman" w:cs="Times New Roman"/>
                <w:kern w:val="0"/>
                <w:sz w:val="22"/>
                <w:szCs w:val="22"/>
              </w:rPr>
              <w:t>勘探测量工作周期安排和组织措施</w:t>
            </w:r>
            <w:r>
              <w:rPr>
                <w:rFonts w:hint="eastAsia"/>
                <w:color w:val="0F1115"/>
                <w:szCs w:val="21"/>
                <w:shd w:val="clear" w:color="auto" w:fill="FFFFFF"/>
              </w:rPr>
              <w:t>方案，方案内容应包括但不限于：①总体工期安排计划；②进度节点保障措施；③人员安排计划；</w:t>
            </w:r>
            <w:r>
              <w:rPr>
                <w:rFonts w:hint="eastAsia"/>
                <w:bCs/>
                <w:szCs w:val="21"/>
              </w:rPr>
              <w:t>④交付时间承诺；⑤应急预案保障措施。</w:t>
            </w:r>
          </w:p>
          <w:p w14:paraId="1CC431B3">
            <w:pPr>
              <w:widowControl/>
              <w:spacing w:line="240" w:lineRule="auto"/>
              <w:ind w:firstLine="0" w:firstLineChars="0"/>
              <w:jc w:val="left"/>
              <w:rPr>
                <w:color w:val="0F1115"/>
                <w:szCs w:val="21"/>
                <w:shd w:val="clear" w:color="auto" w:fill="FFFFFF"/>
              </w:rPr>
            </w:pPr>
            <w:r>
              <w:rPr>
                <w:rFonts w:hint="eastAsia" w:cs="Arial Unicode MS"/>
                <w:color w:val="000000"/>
                <w:szCs w:val="21"/>
                <w:u w:color="000000"/>
              </w:rPr>
              <w:t>方案完整</w:t>
            </w:r>
            <w:r>
              <w:rPr>
                <w:rFonts w:hint="eastAsia"/>
                <w:kern w:val="0"/>
              </w:rPr>
              <w:t>全面，完全满足项目要求</w:t>
            </w:r>
            <w:r>
              <w:rPr>
                <w:rFonts w:hint="eastAsia" w:cs="Arial Unicode MS"/>
                <w:color w:val="000000"/>
                <w:szCs w:val="21"/>
                <w:u w:color="000000"/>
              </w:rPr>
              <w:t>的计</w:t>
            </w:r>
            <w:r>
              <w:rPr>
                <w:rFonts w:cs="Arial Unicode MS"/>
                <w:color w:val="000000"/>
                <w:szCs w:val="21"/>
                <w:u w:color="000000"/>
              </w:rPr>
              <w:t>1</w:t>
            </w:r>
            <w:r>
              <w:rPr>
                <w:rFonts w:hint="eastAsia" w:cs="Arial Unicode MS"/>
                <w:color w:val="000000"/>
                <w:szCs w:val="21"/>
                <w:u w:color="000000"/>
              </w:rPr>
              <w:t>5分，</w:t>
            </w:r>
            <w:r>
              <w:rPr>
                <w:rFonts w:hint="eastAsia"/>
                <w:bCs/>
                <w:szCs w:val="21"/>
              </w:rPr>
              <w:t>方案有内容缺漏项的每项扣3分；有缺少关键点或非专门针对本项目或不适用本项目特性、套用其他项目内容或对同一问题前后表述矛盾或存在逻辑漏洞、科学原理或常识错误等任意一种情形，以上有一项不满足或不完整或不完善的扣1分，扣完为止，不提供不计分。</w:t>
            </w:r>
          </w:p>
        </w:tc>
      </w:tr>
      <w:tr w14:paraId="71F5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33" w:type="dxa"/>
            <w:vMerge w:val="continue"/>
            <w:noWrap/>
            <w:vAlign w:val="center"/>
          </w:tcPr>
          <w:p w14:paraId="15ECC6D6">
            <w:pPr>
              <w:spacing w:after="120" w:line="240" w:lineRule="auto"/>
              <w:ind w:firstLine="0" w:firstLineChars="0"/>
              <w:rPr>
                <w:szCs w:val="21"/>
              </w:rPr>
            </w:pPr>
          </w:p>
        </w:tc>
        <w:tc>
          <w:tcPr>
            <w:tcW w:w="1149" w:type="dxa"/>
            <w:noWrap/>
            <w:vAlign w:val="center"/>
          </w:tcPr>
          <w:p w14:paraId="706E1E72">
            <w:pPr>
              <w:widowControl/>
              <w:spacing w:line="240" w:lineRule="auto"/>
              <w:ind w:firstLine="0" w:firstLineChars="0"/>
              <w:jc w:val="center"/>
              <w:rPr>
                <w:kern w:val="0"/>
                <w:szCs w:val="21"/>
              </w:rPr>
            </w:pPr>
            <w:r>
              <w:rPr>
                <w:rFonts w:hint="eastAsia" w:ascii="Times New Roman" w:hAnsi="Times New Roman" w:cs="Times New Roman"/>
                <w:szCs w:val="21"/>
              </w:rPr>
              <w:t>质量和安全保证措施</w:t>
            </w:r>
          </w:p>
        </w:tc>
        <w:tc>
          <w:tcPr>
            <w:tcW w:w="699" w:type="dxa"/>
            <w:noWrap/>
            <w:vAlign w:val="center"/>
          </w:tcPr>
          <w:p w14:paraId="741B3157">
            <w:pPr>
              <w:widowControl/>
              <w:adjustRightInd w:val="0"/>
              <w:snapToGrid w:val="0"/>
              <w:spacing w:line="240" w:lineRule="auto"/>
              <w:ind w:firstLine="0" w:firstLineChars="0"/>
              <w:jc w:val="center"/>
              <w:rPr>
                <w:kern w:val="0"/>
                <w:szCs w:val="21"/>
              </w:rPr>
            </w:pPr>
            <w:r>
              <w:rPr>
                <w:rFonts w:hint="eastAsia"/>
                <w:szCs w:val="21"/>
              </w:rPr>
              <w:t>15</w:t>
            </w:r>
          </w:p>
        </w:tc>
        <w:tc>
          <w:tcPr>
            <w:tcW w:w="5848" w:type="dxa"/>
            <w:noWrap/>
            <w:vAlign w:val="center"/>
          </w:tcPr>
          <w:p w14:paraId="7118ACE8">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根据供应商拟定的质量和安全保证措施，包含但不限于以下几项内容：①质量与安全目标分析；②管理机构；③管理制度（包含施工质量和安全等相关内容）；③安全和质量团队人员职责分工计划；④整体质量与安全监控措施；⑤突发事件或紧急事件应对方案。方案完整全面，完全满足项目要求的计15分，方案有内容缺漏项的每项扣3分；有缺少关键点或非专门针对本项目或不适用本项目特性、套用其他项目内容或对同一问题前后表述矛盾或存在逻辑漏洞、科学原理或常识错误等任意一种情形，以上有一项不满足或不完整或不完善的扣1分，扣完为止，不提供不计分。</w:t>
            </w:r>
          </w:p>
        </w:tc>
      </w:tr>
      <w:tr w14:paraId="361A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33" w:type="dxa"/>
            <w:vMerge w:val="continue"/>
            <w:noWrap/>
            <w:vAlign w:val="center"/>
          </w:tcPr>
          <w:p w14:paraId="5CF9ED5A">
            <w:pPr>
              <w:spacing w:after="120" w:line="240" w:lineRule="auto"/>
              <w:ind w:firstLine="0" w:firstLineChars="0"/>
              <w:rPr>
                <w:szCs w:val="21"/>
              </w:rPr>
            </w:pPr>
          </w:p>
        </w:tc>
        <w:tc>
          <w:tcPr>
            <w:tcW w:w="1149" w:type="dxa"/>
            <w:noWrap/>
            <w:vAlign w:val="center"/>
          </w:tcPr>
          <w:p w14:paraId="2117F5C7">
            <w:pPr>
              <w:widowControl/>
              <w:spacing w:line="240" w:lineRule="auto"/>
              <w:ind w:firstLine="0" w:firstLineChars="0"/>
              <w:jc w:val="center"/>
              <w:rPr>
                <w:color w:val="0F1115"/>
                <w:szCs w:val="21"/>
                <w:shd w:val="clear" w:color="auto" w:fill="FFFFFF"/>
              </w:rPr>
            </w:pPr>
            <w:r>
              <w:rPr>
                <w:rFonts w:hint="eastAsia"/>
                <w:color w:val="0F1115"/>
                <w:szCs w:val="21"/>
                <w:shd w:val="clear" w:color="auto" w:fill="FFFFFF"/>
              </w:rPr>
              <w:t>环境保护管理体系与措施</w:t>
            </w:r>
          </w:p>
        </w:tc>
        <w:tc>
          <w:tcPr>
            <w:tcW w:w="699" w:type="dxa"/>
            <w:noWrap/>
            <w:vAlign w:val="center"/>
          </w:tcPr>
          <w:p w14:paraId="104FFB18">
            <w:pPr>
              <w:widowControl/>
              <w:spacing w:line="240" w:lineRule="auto"/>
              <w:ind w:firstLine="0" w:firstLineChars="0"/>
              <w:jc w:val="center"/>
              <w:rPr>
                <w:color w:val="0F1115"/>
                <w:szCs w:val="21"/>
                <w:shd w:val="clear" w:color="auto" w:fill="FFFFFF"/>
              </w:rPr>
            </w:pPr>
            <w:r>
              <w:rPr>
                <w:rFonts w:hint="eastAsia"/>
                <w:color w:val="0F1115"/>
                <w:szCs w:val="21"/>
                <w:shd w:val="clear" w:color="auto" w:fill="FFFFFF"/>
              </w:rPr>
              <w:t>15</w:t>
            </w:r>
          </w:p>
        </w:tc>
        <w:tc>
          <w:tcPr>
            <w:tcW w:w="5848" w:type="dxa"/>
            <w:noWrap/>
            <w:vAlign w:val="center"/>
          </w:tcPr>
          <w:p w14:paraId="7F4ADEA5">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根据供应商拟定的环境保护管理体系与措施，包含但不限于以下几项内容：①环境管理目标；②管理制度（包含建筑垃圾源头减量、分类处置及扬尘污染防治等相关内容）；③针对环境保护的实施与监控措施。方案完善，完全满足项目要求的计15分，方案有内容缺漏项的每项扣5分；有缺少关键点或非专门针对本项目或不适用本项目特性、套用其他项目内容或对同一问题前后表述矛盾或存在逻辑漏洞、科学原理或常识错误等任意一种情形，以上有一项不满足或不完整或不完善的扣2分，扣完为止，不提供不计分。</w:t>
            </w:r>
          </w:p>
        </w:tc>
      </w:tr>
      <w:tr w14:paraId="2AC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noWrap/>
            <w:vAlign w:val="center"/>
          </w:tcPr>
          <w:p w14:paraId="657A795D">
            <w:pPr>
              <w:widowControl/>
              <w:shd w:val="clear" w:color="auto" w:fill="FFFFFF"/>
              <w:spacing w:line="420" w:lineRule="atLeast"/>
              <w:ind w:firstLine="0" w:firstLineChars="0"/>
              <w:outlineLvl w:val="3"/>
              <w:rPr>
                <w:color w:val="0F1115"/>
                <w:szCs w:val="21"/>
                <w:shd w:val="clear" w:color="auto" w:fill="FFFFFF"/>
                <w:lang w:val="zh-TW"/>
              </w:rPr>
            </w:pPr>
            <w:r>
              <w:rPr>
                <w:rFonts w:hint="eastAsia"/>
                <w:color w:val="0F1115"/>
                <w:szCs w:val="21"/>
                <w:shd w:val="clear" w:color="auto" w:fill="FFFFFF"/>
                <w:lang w:val="zh-TW" w:eastAsia="en-US"/>
              </w:rPr>
              <w:t>商务部分</w:t>
            </w:r>
            <w:r>
              <w:rPr>
                <w:rFonts w:hint="eastAsia"/>
                <w:color w:val="0F1115"/>
                <w:szCs w:val="21"/>
                <w:shd w:val="clear" w:color="auto" w:fill="FFFFFF"/>
                <w:lang w:val="zh-TW"/>
              </w:rPr>
              <w:t>（</w:t>
            </w:r>
            <w:r>
              <w:rPr>
                <w:rFonts w:hint="eastAsia"/>
                <w:color w:val="0F1115"/>
                <w:szCs w:val="21"/>
                <w:shd w:val="clear" w:color="auto" w:fill="FFFFFF"/>
              </w:rPr>
              <w:t>20分</w:t>
            </w:r>
            <w:r>
              <w:rPr>
                <w:rFonts w:hint="eastAsia"/>
                <w:color w:val="0F1115"/>
                <w:szCs w:val="21"/>
                <w:shd w:val="clear" w:color="auto" w:fill="FFFFFF"/>
                <w:lang w:val="zh-TW"/>
              </w:rPr>
              <w:t>）</w:t>
            </w:r>
          </w:p>
        </w:tc>
        <w:tc>
          <w:tcPr>
            <w:tcW w:w="1149" w:type="dxa"/>
            <w:tcBorders>
              <w:top w:val="single" w:color="auto" w:sz="4" w:space="0"/>
            </w:tcBorders>
            <w:noWrap/>
            <w:vAlign w:val="center"/>
          </w:tcPr>
          <w:p w14:paraId="55CD0B33">
            <w:pPr>
              <w:widowControl/>
              <w:spacing w:line="240" w:lineRule="auto"/>
              <w:ind w:firstLine="0" w:firstLineChars="0"/>
              <w:jc w:val="center"/>
              <w:rPr>
                <w:color w:val="0F1115"/>
                <w:szCs w:val="21"/>
                <w:shd w:val="clear" w:color="auto" w:fill="FFFFFF"/>
              </w:rPr>
            </w:pPr>
            <w:r>
              <w:rPr>
                <w:rFonts w:hint="eastAsia"/>
                <w:color w:val="0F1115"/>
                <w:szCs w:val="21"/>
                <w:shd w:val="clear" w:color="auto" w:fill="FFFFFF"/>
              </w:rPr>
              <w:t>类似业绩</w:t>
            </w:r>
          </w:p>
        </w:tc>
        <w:tc>
          <w:tcPr>
            <w:tcW w:w="699" w:type="dxa"/>
            <w:tcBorders>
              <w:top w:val="single" w:color="auto" w:sz="4" w:space="0"/>
            </w:tcBorders>
            <w:noWrap/>
            <w:vAlign w:val="center"/>
          </w:tcPr>
          <w:p w14:paraId="76F6D523">
            <w:pPr>
              <w:widowControl/>
              <w:spacing w:line="240" w:lineRule="auto"/>
              <w:ind w:firstLine="0" w:firstLineChars="0"/>
              <w:jc w:val="center"/>
              <w:rPr>
                <w:color w:val="0F1115"/>
                <w:szCs w:val="21"/>
                <w:shd w:val="clear" w:color="auto" w:fill="FFFFFF"/>
              </w:rPr>
            </w:pPr>
            <w:r>
              <w:rPr>
                <w:rFonts w:hint="eastAsia"/>
                <w:color w:val="0F1115"/>
                <w:szCs w:val="21"/>
                <w:shd w:val="clear" w:color="auto" w:fill="FFFFFF"/>
              </w:rPr>
              <w:t>12</w:t>
            </w:r>
          </w:p>
        </w:tc>
        <w:tc>
          <w:tcPr>
            <w:tcW w:w="5848" w:type="dxa"/>
            <w:tcBorders>
              <w:top w:val="single" w:color="auto" w:sz="4" w:space="0"/>
            </w:tcBorders>
            <w:noWrap/>
            <w:vAlign w:val="center"/>
          </w:tcPr>
          <w:p w14:paraId="653DD296">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供应商提供近三年（2023年</w:t>
            </w:r>
            <w:r>
              <w:rPr>
                <w:rFonts w:hint="eastAsia"/>
                <w:color w:val="0F1115"/>
                <w:szCs w:val="21"/>
                <w:shd w:val="clear" w:color="auto" w:fill="FFFFFF"/>
                <w:lang w:val="en-US" w:eastAsia="zh-CN"/>
              </w:rPr>
              <w:t>7</w:t>
            </w:r>
            <w:r>
              <w:rPr>
                <w:rFonts w:hint="eastAsia"/>
                <w:color w:val="0F1115"/>
                <w:szCs w:val="21"/>
                <w:shd w:val="clear" w:color="auto" w:fill="FFFFFF"/>
              </w:rPr>
              <w:t>月1日以来）类似业绩的，每提供一个计4分，最多计12分。</w:t>
            </w:r>
          </w:p>
          <w:p w14:paraId="4D88E7AA">
            <w:pPr>
              <w:widowControl/>
              <w:spacing w:line="240" w:lineRule="auto"/>
              <w:ind w:firstLine="0" w:firstLineChars="0"/>
              <w:jc w:val="left"/>
              <w:rPr>
                <w:szCs w:val="21"/>
              </w:rPr>
            </w:pPr>
            <w:r>
              <w:rPr>
                <w:rFonts w:hint="eastAsia"/>
                <w:color w:val="0F1115"/>
                <w:szCs w:val="21"/>
                <w:shd w:val="clear" w:color="auto" w:fill="FFFFFF"/>
              </w:rPr>
              <w:t>注：类似业绩的有效时间以合同中甲方单位签字时间为准，响应文件提供合同复印件并加盖供应商公章，否则不计分。</w:t>
            </w:r>
          </w:p>
        </w:tc>
      </w:tr>
      <w:tr w14:paraId="703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noWrap/>
            <w:vAlign w:val="center"/>
          </w:tcPr>
          <w:p w14:paraId="33E9B7EB">
            <w:pPr>
              <w:widowControl/>
              <w:shd w:val="clear" w:color="auto" w:fill="FFFFFF"/>
              <w:spacing w:line="420" w:lineRule="atLeast"/>
              <w:outlineLvl w:val="3"/>
              <w:rPr>
                <w:color w:val="0F1115"/>
                <w:szCs w:val="21"/>
                <w:shd w:val="clear" w:color="auto" w:fill="FFFFFF"/>
                <w:lang w:val="zh-TW"/>
              </w:rPr>
            </w:pPr>
          </w:p>
        </w:tc>
        <w:tc>
          <w:tcPr>
            <w:tcW w:w="1149" w:type="dxa"/>
            <w:tcBorders>
              <w:top w:val="single" w:color="auto" w:sz="4" w:space="0"/>
            </w:tcBorders>
            <w:noWrap/>
            <w:vAlign w:val="center"/>
          </w:tcPr>
          <w:p w14:paraId="3981033D">
            <w:pPr>
              <w:widowControl/>
              <w:shd w:val="clear" w:color="auto" w:fill="FFFFFF"/>
              <w:spacing w:line="240" w:lineRule="auto"/>
              <w:ind w:firstLine="0" w:firstLineChars="0"/>
              <w:jc w:val="center"/>
              <w:outlineLvl w:val="3"/>
              <w:rPr>
                <w:b/>
                <w:szCs w:val="21"/>
              </w:rPr>
            </w:pPr>
            <w:r>
              <w:rPr>
                <w:rFonts w:hint="eastAsia"/>
                <w:color w:val="0F1115"/>
                <w:szCs w:val="21"/>
                <w:shd w:val="clear" w:color="auto" w:fill="FFFFFF"/>
              </w:rPr>
              <w:t>服务团队</w:t>
            </w:r>
          </w:p>
        </w:tc>
        <w:tc>
          <w:tcPr>
            <w:tcW w:w="699" w:type="dxa"/>
            <w:tcBorders>
              <w:top w:val="single" w:color="auto" w:sz="4" w:space="0"/>
            </w:tcBorders>
            <w:noWrap/>
            <w:vAlign w:val="center"/>
          </w:tcPr>
          <w:p w14:paraId="7DE0FE2F">
            <w:pPr>
              <w:adjustRightInd w:val="0"/>
              <w:snapToGrid w:val="0"/>
              <w:spacing w:line="240" w:lineRule="auto"/>
              <w:ind w:firstLine="0" w:firstLineChars="0"/>
              <w:jc w:val="center"/>
              <w:rPr>
                <w:kern w:val="0"/>
                <w:szCs w:val="21"/>
                <w:u w:color="000000"/>
              </w:rPr>
            </w:pPr>
            <w:r>
              <w:rPr>
                <w:rFonts w:hint="eastAsia"/>
                <w:kern w:val="0"/>
                <w:szCs w:val="21"/>
                <w:u w:color="000000"/>
              </w:rPr>
              <w:t>8</w:t>
            </w:r>
          </w:p>
        </w:tc>
        <w:tc>
          <w:tcPr>
            <w:tcW w:w="5848" w:type="dxa"/>
            <w:tcBorders>
              <w:top w:val="single" w:color="auto" w:sz="4" w:space="0"/>
            </w:tcBorders>
            <w:noWrap/>
            <w:vAlign w:val="center"/>
          </w:tcPr>
          <w:p w14:paraId="66B7898F">
            <w:pPr>
              <w:pStyle w:val="3"/>
              <w:spacing w:line="240" w:lineRule="auto"/>
              <w:jc w:val="left"/>
              <w:rPr>
                <w:rFonts w:ascii="宋体" w:hAnsi="宋体"/>
                <w:b w:val="0"/>
                <w:bCs w:val="0"/>
                <w:color w:val="auto"/>
                <w:sz w:val="21"/>
                <w:szCs w:val="21"/>
                <w:shd w:val="clear" w:color="auto" w:fill="FFFFFF"/>
              </w:rPr>
            </w:pPr>
            <w:r>
              <w:rPr>
                <w:rFonts w:hint="eastAsia" w:ascii="宋体" w:hAnsi="宋体"/>
                <w:b w:val="0"/>
                <w:bCs w:val="0"/>
                <w:color w:val="auto"/>
                <w:sz w:val="21"/>
                <w:szCs w:val="21"/>
                <w:shd w:val="clear" w:color="auto" w:fill="FFFFFF"/>
              </w:rPr>
              <w:t>1）拟配备本项目技术负责人具有地质调查</w:t>
            </w:r>
            <w:r>
              <w:rPr>
                <w:rFonts w:ascii="宋体" w:hAnsi="宋体"/>
                <w:b w:val="0"/>
                <w:bCs w:val="0"/>
                <w:color w:val="auto"/>
                <w:sz w:val="21"/>
                <w:szCs w:val="21"/>
                <w:shd w:val="clear" w:color="auto" w:fill="FFFFFF"/>
              </w:rPr>
              <w:t>和矿产勘查</w:t>
            </w:r>
            <w:r>
              <w:rPr>
                <w:rFonts w:hint="eastAsia" w:ascii="宋体" w:hAnsi="宋体"/>
                <w:b w:val="0"/>
                <w:bCs w:val="0"/>
                <w:color w:val="auto"/>
                <w:sz w:val="21"/>
                <w:szCs w:val="21"/>
                <w:shd w:val="clear" w:color="auto" w:fill="FFFFFF"/>
              </w:rPr>
              <w:t>相关专业中级及以上职称的计3分。（项目负责人和技术负责人不得为同一人）</w:t>
            </w:r>
          </w:p>
          <w:p w14:paraId="3FCDBB92">
            <w:pPr>
              <w:rPr>
                <w:color w:val="auto"/>
                <w:szCs w:val="21"/>
                <w:shd w:val="clear" w:color="auto" w:fill="FFFFFF"/>
              </w:rPr>
            </w:pPr>
            <w:r>
              <w:rPr>
                <w:rFonts w:hint="eastAsia"/>
                <w:color w:val="auto"/>
                <w:szCs w:val="21"/>
                <w:shd w:val="clear" w:color="auto" w:fill="FFFFFF"/>
              </w:rPr>
              <w:t>2）技术负责人有一个类似业绩的计2分，须提供合同复印件或中标（成交）通知书等证明材料复印件并加盖供应商公章。</w:t>
            </w:r>
          </w:p>
          <w:p w14:paraId="0EC52D1C">
            <w:pPr>
              <w:tabs>
                <w:tab w:val="center" w:pos="4153"/>
                <w:tab w:val="right" w:pos="8306"/>
              </w:tabs>
              <w:snapToGrid w:val="0"/>
              <w:jc w:val="left"/>
              <w:rPr>
                <w:color w:val="auto"/>
                <w:szCs w:val="21"/>
                <w:shd w:val="clear" w:color="auto" w:fill="FFFFFF"/>
              </w:rPr>
            </w:pPr>
            <w:r>
              <w:rPr>
                <w:rFonts w:hint="eastAsia"/>
                <w:color w:val="auto"/>
                <w:szCs w:val="21"/>
                <w:shd w:val="clear" w:color="auto" w:fill="FFFFFF"/>
              </w:rPr>
              <w:t>3）除项目负责人及技术负责人外，拟配备本项目专业人员中有</w:t>
            </w:r>
            <w:r>
              <w:rPr>
                <w:rFonts w:hint="eastAsia"/>
                <w:b/>
                <w:bCs/>
                <w:color w:val="auto"/>
                <w:szCs w:val="21"/>
                <w:shd w:val="clear" w:color="auto" w:fill="FFFFFF"/>
              </w:rPr>
              <w:t>地质调查</w:t>
            </w:r>
            <w:r>
              <w:rPr>
                <w:b/>
                <w:bCs/>
                <w:color w:val="auto"/>
                <w:szCs w:val="21"/>
                <w:shd w:val="clear" w:color="auto" w:fill="FFFFFF"/>
              </w:rPr>
              <w:t>和矿产勘查</w:t>
            </w:r>
            <w:r>
              <w:rPr>
                <w:rFonts w:hint="eastAsia"/>
                <w:color w:val="auto"/>
                <w:szCs w:val="21"/>
                <w:shd w:val="clear" w:color="auto" w:fill="FFFFFF"/>
              </w:rPr>
              <w:t>相关专业高级职称的计3分。</w:t>
            </w:r>
          </w:p>
          <w:p w14:paraId="3F21EEFC">
            <w:pPr>
              <w:widowControl/>
              <w:spacing w:line="240" w:lineRule="auto"/>
              <w:ind w:firstLine="0" w:firstLineChars="0"/>
              <w:jc w:val="left"/>
              <w:rPr>
                <w:color w:val="0F1115"/>
                <w:szCs w:val="21"/>
                <w:shd w:val="clear" w:color="auto" w:fill="FFFFFF"/>
              </w:rPr>
            </w:pPr>
            <w:r>
              <w:rPr>
                <w:rFonts w:hint="eastAsia"/>
                <w:color w:val="0F1115"/>
                <w:szCs w:val="21"/>
                <w:shd w:val="clear" w:color="auto" w:fill="FFFFFF"/>
              </w:rPr>
              <w:t>注：响应文件提供项目技术负责人证书、身份证双面、劳动合同、供应商为其缴纳的202</w:t>
            </w:r>
            <w:r>
              <w:rPr>
                <w:rFonts w:hint="eastAsia"/>
                <w:color w:val="0F1115"/>
                <w:szCs w:val="21"/>
                <w:shd w:val="clear" w:color="auto" w:fill="FFFFFF"/>
                <w:lang w:val="en-US" w:eastAsia="zh-CN"/>
              </w:rPr>
              <w:t>6</w:t>
            </w:r>
            <w:r>
              <w:rPr>
                <w:rFonts w:hint="eastAsia"/>
                <w:color w:val="0F1115"/>
                <w:szCs w:val="21"/>
                <w:shd w:val="clear" w:color="auto" w:fill="FFFFFF"/>
              </w:rPr>
              <w:t>年</w:t>
            </w:r>
            <w:r>
              <w:rPr>
                <w:rFonts w:hint="eastAsia"/>
                <w:color w:val="0F1115"/>
                <w:szCs w:val="21"/>
                <w:shd w:val="clear" w:color="auto" w:fill="FFFFFF"/>
                <w:lang w:val="en-US" w:eastAsia="zh-CN"/>
              </w:rPr>
              <w:t>04</w:t>
            </w:r>
            <w:r>
              <w:rPr>
                <w:rFonts w:hint="eastAsia"/>
                <w:color w:val="0F1115"/>
                <w:szCs w:val="21"/>
                <w:shd w:val="clear" w:color="auto" w:fill="FFFFFF"/>
              </w:rPr>
              <w:t>月至2026年</w:t>
            </w:r>
            <w:r>
              <w:rPr>
                <w:rFonts w:hint="eastAsia"/>
                <w:color w:val="0F1115"/>
                <w:szCs w:val="21"/>
                <w:shd w:val="clear" w:color="auto" w:fill="FFFFFF"/>
                <w:lang w:val="en-US" w:eastAsia="zh-CN"/>
              </w:rPr>
              <w:t>06</w:t>
            </w:r>
            <w:r>
              <w:rPr>
                <w:rFonts w:hint="eastAsia"/>
                <w:color w:val="0F1115"/>
                <w:szCs w:val="21"/>
                <w:shd w:val="clear" w:color="auto" w:fill="FFFFFF"/>
              </w:rPr>
              <w:t>月期间任意</w:t>
            </w:r>
            <w:r>
              <w:rPr>
                <w:rFonts w:hint="eastAsia"/>
                <w:color w:val="0F1115"/>
                <w:szCs w:val="21"/>
                <w:shd w:val="clear" w:color="auto" w:fill="FFFFFF"/>
                <w:lang w:val="en-US" w:eastAsia="zh-CN"/>
              </w:rPr>
              <w:t>1</w:t>
            </w:r>
            <w:r>
              <w:rPr>
                <w:rFonts w:hint="eastAsia"/>
                <w:color w:val="0F1115"/>
                <w:szCs w:val="21"/>
                <w:shd w:val="clear" w:color="auto" w:fill="FFFFFF"/>
              </w:rPr>
              <w:t>个月的社保缴纳证明复印件并加盖公章，未提供的不计分。</w:t>
            </w:r>
          </w:p>
        </w:tc>
      </w:tr>
    </w:tbl>
    <w:p w14:paraId="77D2977A">
      <w:pPr>
        <w:spacing w:line="240" w:lineRule="auto"/>
        <w:ind w:firstLine="360"/>
        <w:rPr>
          <w:sz w:val="18"/>
          <w:szCs w:val="18"/>
        </w:rPr>
      </w:pPr>
      <w:r>
        <w:rPr>
          <w:rFonts w:hint="eastAsia"/>
          <w:sz w:val="18"/>
          <w:szCs w:val="18"/>
        </w:rPr>
        <w:t>备注：推荐成交候选人计算方法具体解释：</w:t>
      </w:r>
    </w:p>
    <w:p w14:paraId="4D49EA2F">
      <w:pPr>
        <w:spacing w:line="240" w:lineRule="auto"/>
        <w:ind w:firstLine="360"/>
        <w:rPr>
          <w:sz w:val="18"/>
          <w:szCs w:val="18"/>
        </w:rPr>
      </w:pPr>
      <w:r>
        <w:rPr>
          <w:rFonts w:hint="eastAsia"/>
          <w:sz w:val="18"/>
          <w:szCs w:val="18"/>
        </w:rPr>
        <w:t>（1）供应商的综合得分为：所有磋商小组成员对其的评标的综合得分；</w:t>
      </w:r>
    </w:p>
    <w:p w14:paraId="3F74EC6C">
      <w:pPr>
        <w:spacing w:line="240" w:lineRule="auto"/>
        <w:ind w:firstLine="360"/>
        <w:rPr>
          <w:sz w:val="18"/>
          <w:szCs w:val="18"/>
        </w:rPr>
      </w:pPr>
      <w:r>
        <w:rPr>
          <w:rFonts w:hint="eastAsia"/>
          <w:sz w:val="18"/>
          <w:szCs w:val="18"/>
        </w:rPr>
        <w:t>（2）计算过程中，算术平均值保留2位小数（百分比亦取2位小数），第三位小数四舍五入；</w:t>
      </w:r>
    </w:p>
    <w:p w14:paraId="203F8939">
      <w:pPr>
        <w:spacing w:line="240" w:lineRule="auto"/>
        <w:ind w:firstLine="360"/>
        <w:rPr>
          <w:sz w:val="18"/>
          <w:szCs w:val="18"/>
        </w:rPr>
      </w:pPr>
      <w:r>
        <w:rPr>
          <w:rFonts w:hint="eastAsia"/>
          <w:sz w:val="18"/>
          <w:szCs w:val="18"/>
        </w:rPr>
        <w:t>（3）按评审后得分由高到低顺序排列。得分相同的，按投标报价由低到高顺序排列。得分且投标报价相同的，按技术指标优劣顺序排列；</w:t>
      </w:r>
    </w:p>
    <w:p w14:paraId="643AEA9A">
      <w:pPr>
        <w:spacing w:line="240" w:lineRule="auto"/>
        <w:ind w:firstLine="360"/>
        <w:rPr>
          <w:rFonts w:ascii="仿宋" w:hAnsi="仿宋" w:eastAsia="仿宋" w:cs="仿宋"/>
          <w:sz w:val="18"/>
          <w:szCs w:val="18"/>
        </w:rPr>
      </w:pPr>
      <w:r>
        <w:rPr>
          <w:rFonts w:hint="eastAsia"/>
          <w:sz w:val="18"/>
          <w:szCs w:val="18"/>
        </w:rPr>
        <w:t>（4）推荐的成交候选人数：最终得分前三名为候选人，第一成交候选人为成交单位。</w:t>
      </w:r>
    </w:p>
    <w:p w14:paraId="2FA9C757">
      <w:pPr>
        <w:ind w:firstLine="562"/>
        <w:rPr>
          <w:rFonts w:ascii="黑体" w:hAnsi="黑体" w:eastAsia="黑体" w:cs="黑体"/>
          <w:b/>
          <w:bCs/>
          <w:sz w:val="28"/>
          <w:szCs w:val="28"/>
        </w:rPr>
      </w:pPr>
      <w:bookmarkStart w:id="97" w:name="_Toc31519"/>
      <w:r>
        <w:rPr>
          <w:rFonts w:hint="eastAsia" w:ascii="黑体" w:hAnsi="黑体" w:eastAsia="黑体" w:cs="黑体"/>
          <w:b/>
          <w:bCs/>
          <w:sz w:val="28"/>
          <w:szCs w:val="28"/>
        </w:rPr>
        <w:br w:type="page"/>
      </w:r>
    </w:p>
    <w:p w14:paraId="52B42D32">
      <w:pPr>
        <w:keepNext/>
        <w:adjustRightInd w:val="0"/>
        <w:snapToGrid w:val="0"/>
        <w:spacing w:before="120" w:beforeLines="50"/>
        <w:ind w:firstLine="0" w:firstLineChars="0"/>
        <w:jc w:val="center"/>
        <w:outlineLvl w:val="1"/>
        <w:rPr>
          <w:rFonts w:ascii="黑体" w:hAnsi="黑体" w:eastAsia="黑体" w:cs="黑体"/>
          <w:sz w:val="28"/>
          <w:szCs w:val="28"/>
        </w:rPr>
      </w:pPr>
      <w:bookmarkStart w:id="98" w:name="_Toc1389"/>
      <w:r>
        <w:rPr>
          <w:rFonts w:hint="eastAsia" w:ascii="黑体" w:hAnsi="黑体" w:eastAsia="黑体" w:cs="黑体"/>
          <w:sz w:val="28"/>
          <w:szCs w:val="28"/>
        </w:rPr>
        <w:t>第二节 磋商须知正文</w:t>
      </w:r>
      <w:bookmarkEnd w:id="97"/>
      <w:bookmarkEnd w:id="98"/>
    </w:p>
    <w:p w14:paraId="08D76357">
      <w:pPr>
        <w:adjustRightInd w:val="0"/>
        <w:snapToGrid w:val="0"/>
        <w:spacing w:before="120" w:beforeLines="50"/>
        <w:ind w:firstLine="0" w:firstLineChars="0"/>
        <w:jc w:val="center"/>
        <w:outlineLvl w:val="2"/>
        <w:rPr>
          <w:rFonts w:ascii="Times New Roman" w:hAnsi="Times New Roman" w:eastAsia="黑体" w:cs="Times New Roman"/>
          <w:bCs/>
          <w:sz w:val="28"/>
          <w:szCs w:val="28"/>
        </w:rPr>
      </w:pPr>
      <w:bookmarkStart w:id="99" w:name="_Toc32328"/>
      <w:bookmarkStart w:id="100" w:name="_Toc3573"/>
      <w:bookmarkStart w:id="101" w:name="_Toc1814"/>
      <w:bookmarkStart w:id="102" w:name="_Toc24805"/>
      <w:r>
        <w:rPr>
          <w:rFonts w:ascii="Times New Roman" w:hAnsi="Times New Roman" w:eastAsia="黑体" w:cs="Times New Roman"/>
          <w:bCs/>
          <w:sz w:val="28"/>
          <w:szCs w:val="28"/>
        </w:rPr>
        <w:t>一、说明</w:t>
      </w:r>
      <w:bookmarkEnd w:id="99"/>
      <w:bookmarkEnd w:id="100"/>
      <w:bookmarkEnd w:id="101"/>
      <w:bookmarkEnd w:id="102"/>
    </w:p>
    <w:p w14:paraId="363BC6F1">
      <w:pPr>
        <w:adjustRightInd w:val="0"/>
        <w:snapToGrid w:val="0"/>
        <w:spacing w:before="120" w:beforeLines="50"/>
        <w:ind w:firstLine="0" w:firstLineChars="0"/>
        <w:jc w:val="left"/>
        <w:outlineLvl w:val="3"/>
        <w:rPr>
          <w:b/>
          <w:bCs/>
          <w:sz w:val="24"/>
        </w:rPr>
      </w:pPr>
      <w:r>
        <w:rPr>
          <w:rFonts w:hint="eastAsia"/>
          <w:b/>
          <w:bCs/>
          <w:sz w:val="24"/>
        </w:rPr>
        <w:t>1.适用范围</w:t>
      </w:r>
    </w:p>
    <w:p w14:paraId="62CF0588">
      <w:pPr>
        <w:adjustRightInd w:val="0"/>
        <w:snapToGrid w:val="0"/>
        <w:spacing w:before="120" w:beforeLines="50"/>
        <w:jc w:val="left"/>
        <w:rPr>
          <w:szCs w:val="21"/>
        </w:rPr>
      </w:pPr>
      <w:r>
        <w:rPr>
          <w:rFonts w:hint="eastAsia"/>
          <w:szCs w:val="21"/>
        </w:rPr>
        <w:t>1.1本磋商文件仅适用于磋商须知前附表(以下简称</w:t>
      </w:r>
      <w:r>
        <w:rPr>
          <w:rFonts w:hint="eastAsia"/>
          <w:b/>
          <w:szCs w:val="21"/>
        </w:rPr>
        <w:t>磋商须知前附表)</w:t>
      </w:r>
      <w:r>
        <w:rPr>
          <w:rFonts w:hint="eastAsia"/>
          <w:szCs w:val="21"/>
        </w:rPr>
        <w:t>中所叙述的采购项目。</w:t>
      </w:r>
    </w:p>
    <w:p w14:paraId="420B1597">
      <w:pPr>
        <w:adjustRightInd w:val="0"/>
        <w:snapToGrid w:val="0"/>
        <w:spacing w:before="120" w:beforeLines="50"/>
        <w:ind w:firstLine="0" w:firstLineChars="0"/>
        <w:jc w:val="left"/>
        <w:outlineLvl w:val="3"/>
        <w:rPr>
          <w:b/>
          <w:bCs/>
          <w:sz w:val="24"/>
        </w:rPr>
      </w:pPr>
      <w:r>
        <w:rPr>
          <w:rFonts w:hint="eastAsia"/>
          <w:b/>
          <w:bCs/>
          <w:sz w:val="24"/>
        </w:rPr>
        <w:t>2.定义</w:t>
      </w:r>
    </w:p>
    <w:p w14:paraId="055A30A9">
      <w:pPr>
        <w:adjustRightInd w:val="0"/>
        <w:snapToGrid w:val="0"/>
        <w:spacing w:before="120" w:beforeLines="50"/>
        <w:jc w:val="left"/>
        <w:rPr>
          <w:b/>
          <w:szCs w:val="21"/>
        </w:rPr>
      </w:pPr>
      <w:r>
        <w:rPr>
          <w:rFonts w:hint="eastAsia"/>
          <w:szCs w:val="21"/>
        </w:rPr>
        <w:t>2.1“采购人”是指依法进行政府采购的国家机关、事业单位、团体组织。本次政府采购的采购人名称、地址、电话、联系人见</w:t>
      </w:r>
      <w:r>
        <w:rPr>
          <w:rFonts w:hint="eastAsia"/>
          <w:b/>
          <w:szCs w:val="21"/>
        </w:rPr>
        <w:t>磋商须知前附表</w:t>
      </w:r>
      <w:r>
        <w:rPr>
          <w:rFonts w:hint="eastAsia"/>
          <w:szCs w:val="21"/>
        </w:rPr>
        <w:t>。</w:t>
      </w:r>
    </w:p>
    <w:p w14:paraId="11E6F956">
      <w:pPr>
        <w:adjustRightInd w:val="0"/>
        <w:snapToGrid w:val="0"/>
        <w:spacing w:before="120" w:beforeLines="50"/>
        <w:jc w:val="left"/>
        <w:rPr>
          <w:b/>
          <w:szCs w:val="21"/>
        </w:rPr>
      </w:pPr>
      <w:r>
        <w:rPr>
          <w:rFonts w:hint="eastAsia"/>
          <w:szCs w:val="21"/>
        </w:rPr>
        <w:t>2.2“采购代理机构”是指接受采购人委托，代理采购项目的集中采购机构和其他采购代理机构。本次政府采购的采购代理机构名称、地址、电话、联系人见</w:t>
      </w:r>
      <w:r>
        <w:rPr>
          <w:rFonts w:hint="eastAsia"/>
          <w:b/>
          <w:szCs w:val="21"/>
        </w:rPr>
        <w:t>磋商须知前附表。</w:t>
      </w:r>
    </w:p>
    <w:p w14:paraId="0D582EA8">
      <w:pPr>
        <w:adjustRightInd w:val="0"/>
        <w:snapToGrid w:val="0"/>
        <w:spacing w:before="120" w:beforeLines="50"/>
        <w:jc w:val="left"/>
        <w:rPr>
          <w:bCs/>
          <w:kern w:val="36"/>
          <w:szCs w:val="21"/>
        </w:rPr>
      </w:pPr>
      <w:r>
        <w:rPr>
          <w:rFonts w:hint="eastAsia"/>
          <w:szCs w:val="21"/>
        </w:rPr>
        <w:t>2.3“供应商”是指响应磋商文件要求、参加竞争性磋商采购的法人、其他组织或者自然人。本次政府采购项目</w:t>
      </w:r>
      <w:r>
        <w:rPr>
          <w:rFonts w:hint="eastAsia"/>
          <w:kern w:val="0"/>
          <w:szCs w:val="21"/>
        </w:rPr>
        <w:t>邀请</w:t>
      </w:r>
      <w:r>
        <w:rPr>
          <w:rFonts w:hint="eastAsia"/>
          <w:szCs w:val="21"/>
        </w:rPr>
        <w:t>的</w:t>
      </w:r>
      <w:r>
        <w:rPr>
          <w:rFonts w:hint="eastAsia"/>
          <w:kern w:val="0"/>
          <w:szCs w:val="21"/>
        </w:rPr>
        <w:t>供应商通过</w:t>
      </w:r>
      <w:r>
        <w:rPr>
          <w:rFonts w:hint="eastAsia"/>
          <w:b/>
          <w:szCs w:val="21"/>
        </w:rPr>
        <w:t>磋商须知前附表</w:t>
      </w:r>
      <w:r>
        <w:rPr>
          <w:rFonts w:hint="eastAsia"/>
          <w:szCs w:val="21"/>
        </w:rPr>
        <w:t>所述方式</w:t>
      </w:r>
      <w:r>
        <w:rPr>
          <w:rFonts w:hint="eastAsia"/>
          <w:kern w:val="0"/>
          <w:szCs w:val="21"/>
        </w:rPr>
        <w:t>，邀请符合资格条件的供应商提交响应文件（含资格证明资料），参与竞争性磋商采购活动。</w:t>
      </w:r>
    </w:p>
    <w:p w14:paraId="1BB7D820">
      <w:pPr>
        <w:adjustRightInd w:val="0"/>
        <w:snapToGrid w:val="0"/>
        <w:spacing w:before="120" w:beforeLines="50"/>
        <w:jc w:val="left"/>
        <w:rPr>
          <w:kern w:val="0"/>
          <w:szCs w:val="21"/>
        </w:rPr>
      </w:pPr>
      <w:r>
        <w:rPr>
          <w:rFonts w:hint="eastAsia"/>
          <w:szCs w:val="21"/>
        </w:rPr>
        <w:t>2.4“磋商小组”是指</w:t>
      </w:r>
      <w:r>
        <w:rPr>
          <w:rFonts w:hint="eastAsia"/>
          <w:kern w:val="0"/>
          <w:szCs w:val="21"/>
        </w:rPr>
        <w:t>依据财政部</w:t>
      </w:r>
      <w:r>
        <w:rPr>
          <w:rFonts w:hint="eastAsia"/>
          <w:bCs/>
          <w:kern w:val="36"/>
          <w:szCs w:val="21"/>
        </w:rPr>
        <w:t>《政府采购竞争性磋商采购方式管理暂行办法》有关规定组建，依法依规</w:t>
      </w:r>
      <w:r>
        <w:rPr>
          <w:rFonts w:hint="eastAsia"/>
          <w:kern w:val="0"/>
          <w:szCs w:val="21"/>
        </w:rPr>
        <w:t>履行其职责和义务的机构。</w:t>
      </w:r>
    </w:p>
    <w:p w14:paraId="40E5ECA1">
      <w:pPr>
        <w:adjustRightInd w:val="0"/>
        <w:snapToGrid w:val="0"/>
        <w:spacing w:before="120" w:beforeLines="50"/>
        <w:jc w:val="left"/>
        <w:rPr>
          <w:szCs w:val="21"/>
        </w:rPr>
      </w:pPr>
      <w:r>
        <w:rPr>
          <w:rFonts w:hint="eastAsia"/>
          <w:szCs w:val="21"/>
        </w:rPr>
        <w:t>2.5“货物”是指各种形态和种类的物品，包括原资料、燃料、设备、产品等，详见《政府采购品目分类目录》(</w:t>
      </w:r>
      <w:r>
        <w:rPr>
          <w:rStyle w:val="48"/>
          <w:rFonts w:hint="eastAsia"/>
          <w:b w:val="0"/>
        </w:rPr>
        <w:t>财库[2013]189号</w:t>
      </w:r>
      <w:r>
        <w:rPr>
          <w:rFonts w:hint="eastAsia"/>
          <w:szCs w:val="21"/>
        </w:rPr>
        <w:t>)。</w:t>
      </w:r>
    </w:p>
    <w:p w14:paraId="61AD511B">
      <w:pPr>
        <w:adjustRightInd w:val="0"/>
        <w:snapToGrid w:val="0"/>
        <w:spacing w:before="120" w:beforeLines="50"/>
        <w:jc w:val="left"/>
        <w:rPr>
          <w:szCs w:val="21"/>
        </w:rPr>
      </w:pPr>
      <w:r>
        <w:rPr>
          <w:rFonts w:hint="eastAsia"/>
          <w:szCs w:val="21"/>
        </w:rPr>
        <w:t>2.6“工程”是指建设工程，包括建筑物和构筑物的新建、改建、扩建、装修、拆除、修缮等，详见《政府采购品目分类目录》(</w:t>
      </w:r>
      <w:r>
        <w:rPr>
          <w:rStyle w:val="48"/>
          <w:rFonts w:hint="eastAsia"/>
          <w:b w:val="0"/>
        </w:rPr>
        <w:t>财库[2013]189号</w:t>
      </w:r>
      <w:r>
        <w:rPr>
          <w:rFonts w:hint="eastAsia"/>
          <w:szCs w:val="21"/>
        </w:rPr>
        <w:t>)。</w:t>
      </w:r>
    </w:p>
    <w:p w14:paraId="6C2AED47">
      <w:pPr>
        <w:adjustRightInd w:val="0"/>
        <w:snapToGrid w:val="0"/>
        <w:spacing w:before="120" w:beforeLines="50"/>
        <w:jc w:val="left"/>
        <w:rPr>
          <w:szCs w:val="21"/>
        </w:rPr>
      </w:pPr>
      <w:r>
        <w:rPr>
          <w:rFonts w:hint="eastAsia"/>
          <w:szCs w:val="21"/>
        </w:rPr>
        <w:t>2.7“服务”是指除货物和工程以外的其他政府采购对象，详见《政府采购品目分类目录》(</w:t>
      </w:r>
      <w:r>
        <w:rPr>
          <w:rStyle w:val="48"/>
          <w:rFonts w:hint="eastAsia"/>
          <w:b w:val="0"/>
        </w:rPr>
        <w:t>财库[2013]189号</w:t>
      </w:r>
      <w:r>
        <w:rPr>
          <w:rFonts w:hint="eastAsia"/>
          <w:szCs w:val="21"/>
        </w:rPr>
        <w:t>)。</w:t>
      </w:r>
    </w:p>
    <w:p w14:paraId="7289C28D">
      <w:pPr>
        <w:adjustRightInd w:val="0"/>
        <w:snapToGrid w:val="0"/>
        <w:spacing w:before="120" w:beforeLines="50"/>
        <w:jc w:val="left"/>
        <w:rPr>
          <w:szCs w:val="21"/>
        </w:rPr>
      </w:pPr>
      <w:r>
        <w:rPr>
          <w:rFonts w:hint="eastAsia"/>
          <w:kern w:val="0"/>
          <w:szCs w:val="21"/>
        </w:rPr>
        <w:t>2.8</w:t>
      </w:r>
      <w:r>
        <w:rPr>
          <w:rFonts w:hint="eastAsia"/>
          <w:szCs w:val="21"/>
        </w:rPr>
        <w:t>“节能产品”或者“环保产品”是指财政部发布的《节能产品政府采购清单》或者《环境标志产品政府采购清单》的产品。</w:t>
      </w:r>
    </w:p>
    <w:p w14:paraId="0EEEE880">
      <w:pPr>
        <w:adjustRightInd w:val="0"/>
        <w:snapToGrid w:val="0"/>
        <w:spacing w:before="120" w:beforeLines="50"/>
        <w:jc w:val="left"/>
        <w:rPr>
          <w:kern w:val="0"/>
          <w:szCs w:val="21"/>
        </w:rPr>
      </w:pPr>
      <w:r>
        <w:rPr>
          <w:rFonts w:hint="eastAsia"/>
          <w:szCs w:val="21"/>
        </w:rPr>
        <w:t>2.9</w:t>
      </w:r>
      <w:r>
        <w:rPr>
          <w:rFonts w:hint="eastAsia"/>
          <w:kern w:val="0"/>
          <w:szCs w:val="21"/>
        </w:rPr>
        <w:t>“进口产品”是指通过中国海关报关验放进入中国境内且产自关境外的产品，详见《关于政府采购进口产品管理有关问题的通知》(财库[2007]119号)。</w:t>
      </w:r>
    </w:p>
    <w:p w14:paraId="4DFFB303">
      <w:pPr>
        <w:adjustRightInd w:val="0"/>
        <w:snapToGrid w:val="0"/>
        <w:spacing w:before="120" w:beforeLines="50"/>
        <w:ind w:firstLine="0" w:firstLineChars="0"/>
        <w:jc w:val="left"/>
        <w:outlineLvl w:val="3"/>
        <w:rPr>
          <w:b/>
          <w:bCs/>
          <w:sz w:val="24"/>
        </w:rPr>
      </w:pPr>
      <w:r>
        <w:rPr>
          <w:rFonts w:hint="eastAsia"/>
          <w:b/>
          <w:bCs/>
          <w:sz w:val="24"/>
        </w:rPr>
        <w:t>3.供应商的资格要求</w:t>
      </w:r>
    </w:p>
    <w:p w14:paraId="47785196">
      <w:pPr>
        <w:adjustRightInd w:val="0"/>
        <w:snapToGrid w:val="0"/>
        <w:spacing w:before="120" w:beforeLines="50"/>
        <w:jc w:val="left"/>
        <w:rPr>
          <w:szCs w:val="21"/>
        </w:rPr>
      </w:pPr>
      <w:r>
        <w:rPr>
          <w:rFonts w:hint="eastAsia"/>
          <w:szCs w:val="21"/>
        </w:rPr>
        <w:t>3.1供应商应当符合</w:t>
      </w:r>
      <w:r>
        <w:rPr>
          <w:rFonts w:hint="eastAsia"/>
          <w:b/>
          <w:szCs w:val="21"/>
        </w:rPr>
        <w:t>磋商须知前附表</w:t>
      </w:r>
      <w:r>
        <w:rPr>
          <w:rFonts w:hint="eastAsia"/>
          <w:szCs w:val="21"/>
        </w:rPr>
        <w:t>中规定的资格条件要求。</w:t>
      </w:r>
    </w:p>
    <w:p w14:paraId="2BB72865">
      <w:pPr>
        <w:adjustRightInd w:val="0"/>
        <w:snapToGrid w:val="0"/>
        <w:spacing w:before="120" w:beforeLines="50"/>
        <w:jc w:val="left"/>
        <w:rPr>
          <w:szCs w:val="21"/>
        </w:rPr>
      </w:pPr>
      <w:r>
        <w:rPr>
          <w:rFonts w:hint="eastAsia"/>
          <w:szCs w:val="21"/>
        </w:rPr>
        <w:t>3.2供应商</w:t>
      </w:r>
      <w:r>
        <w:rPr>
          <w:rFonts w:hint="eastAsia"/>
        </w:rPr>
        <w:t>为联合体形式的</w:t>
      </w:r>
      <w:r>
        <w:rPr>
          <w:rFonts w:hint="eastAsia"/>
          <w:szCs w:val="21"/>
        </w:rPr>
        <w:t>，除应满足本章第3.1款资格条件要求及第3.3款规定外，还应遵守以下规定：</w:t>
      </w:r>
    </w:p>
    <w:p w14:paraId="4B1B8661">
      <w:pPr>
        <w:adjustRightInd w:val="0"/>
        <w:snapToGrid w:val="0"/>
        <w:spacing w:before="120" w:beforeLines="50"/>
        <w:jc w:val="left"/>
        <w:rPr>
          <w:kern w:val="0"/>
          <w:szCs w:val="21"/>
          <w:lang w:val="zh-CN"/>
        </w:rPr>
      </w:pPr>
      <w:r>
        <w:rPr>
          <w:rFonts w:hint="eastAsia"/>
          <w:kern w:val="0"/>
          <w:szCs w:val="21"/>
          <w:lang w:val="zh-CN"/>
        </w:rPr>
        <w:t>（1）联合体各方应按磋商文件提供的格式签订联合体协议书，明确联合体牵头人和各方权利义务(含承担工作及工作量比例)；</w:t>
      </w:r>
    </w:p>
    <w:p w14:paraId="0BCD2259">
      <w:pPr>
        <w:adjustRightInd w:val="0"/>
        <w:snapToGrid w:val="0"/>
        <w:spacing w:before="120" w:beforeLines="50"/>
        <w:jc w:val="left"/>
        <w:rPr>
          <w:kern w:val="0"/>
          <w:szCs w:val="21"/>
          <w:lang w:val="zh-CN"/>
        </w:rPr>
      </w:pPr>
      <w:r>
        <w:rPr>
          <w:rFonts w:hint="eastAsia"/>
          <w:kern w:val="0"/>
          <w:szCs w:val="21"/>
          <w:lang w:val="zh-CN"/>
        </w:rPr>
        <w:t>（2）联合体中有同类资质的供应商按照联合体分工承担相同工作的，应当按照资质等级较低的供应商确定资质等级；</w:t>
      </w:r>
    </w:p>
    <w:p w14:paraId="26FFD0C0">
      <w:pPr>
        <w:adjustRightInd w:val="0"/>
        <w:snapToGrid w:val="0"/>
        <w:spacing w:before="120" w:beforeLines="50"/>
        <w:jc w:val="left"/>
        <w:rPr>
          <w:kern w:val="0"/>
          <w:szCs w:val="21"/>
          <w:lang w:val="zh-CN"/>
        </w:rPr>
      </w:pPr>
      <w:r>
        <w:rPr>
          <w:rFonts w:hint="eastAsia"/>
          <w:kern w:val="0"/>
          <w:szCs w:val="21"/>
          <w:lang w:val="zh-CN"/>
        </w:rPr>
        <w:t>（3）以联合体形式参加政府采购活动的，联合体各方不得再单独参加或者与其他供应商另外组成联合体参加同一合同项下的政府采购活动。</w:t>
      </w:r>
    </w:p>
    <w:p w14:paraId="05B85D00">
      <w:pPr>
        <w:adjustRightInd w:val="0"/>
        <w:snapToGrid w:val="0"/>
        <w:spacing w:before="120" w:beforeLines="50"/>
        <w:jc w:val="left"/>
        <w:rPr>
          <w:szCs w:val="21"/>
        </w:rPr>
      </w:pPr>
      <w:r>
        <w:rPr>
          <w:rFonts w:hint="eastAsia"/>
          <w:szCs w:val="21"/>
        </w:rPr>
        <w:t>3.3供应商不得存在下列情形之一：</w:t>
      </w:r>
    </w:p>
    <w:p w14:paraId="45EECF46">
      <w:pPr>
        <w:adjustRightInd w:val="0"/>
        <w:snapToGrid w:val="0"/>
        <w:spacing w:before="120" w:beforeLines="50"/>
        <w:jc w:val="left"/>
        <w:rPr>
          <w:szCs w:val="21"/>
        </w:rPr>
      </w:pPr>
      <w:r>
        <w:rPr>
          <w:rFonts w:hint="eastAsia"/>
          <w:szCs w:val="21"/>
        </w:rPr>
        <w:t>（l）与采购人、采购代理机构存在</w:t>
      </w:r>
      <w:r>
        <w:rPr>
          <w:rFonts w:hint="eastAsia"/>
          <w:bCs/>
          <w:szCs w:val="21"/>
        </w:rPr>
        <w:t>隶属关系或者其他利害关系</w:t>
      </w:r>
      <w:r>
        <w:rPr>
          <w:rFonts w:hint="eastAsia"/>
          <w:szCs w:val="21"/>
        </w:rPr>
        <w:t>。</w:t>
      </w:r>
    </w:p>
    <w:p w14:paraId="2232979E">
      <w:pPr>
        <w:adjustRightInd w:val="0"/>
        <w:snapToGrid w:val="0"/>
        <w:spacing w:before="120" w:beforeLines="50"/>
        <w:jc w:val="left"/>
        <w:rPr>
          <w:szCs w:val="21"/>
        </w:rPr>
      </w:pPr>
      <w:r>
        <w:rPr>
          <w:rFonts w:hint="eastAsia"/>
          <w:szCs w:val="21"/>
        </w:rPr>
        <w:t>（2）与其他供应商的法定代表人（或者负责人）为同一人，或者与其他供应商存在直接控股、管理关系。</w:t>
      </w:r>
    </w:p>
    <w:p w14:paraId="584871EF">
      <w:pPr>
        <w:adjustRightInd w:val="0"/>
        <w:snapToGrid w:val="0"/>
        <w:spacing w:before="120" w:beforeLines="50"/>
        <w:jc w:val="left"/>
        <w:rPr>
          <w:szCs w:val="21"/>
        </w:rPr>
      </w:pPr>
      <w:r>
        <w:rPr>
          <w:rFonts w:hint="eastAsia"/>
          <w:szCs w:val="21"/>
        </w:rPr>
        <w:t>（3）</w:t>
      </w:r>
      <w:r>
        <w:rPr>
          <w:rFonts w:hint="eastAsia"/>
          <w:bCs/>
          <w:szCs w:val="21"/>
        </w:rPr>
        <w:t>受到刑事处罚，或者受到三万元以上的罚款、责令停产停业、在一至三年内禁止参加政府采购活动、暂扣或者吊销许可证、暂扣或者吊销执照等情形之一的行政处罚，或者存在</w:t>
      </w:r>
      <w:r>
        <w:rPr>
          <w:rFonts w:hint="eastAsia"/>
          <w:szCs w:val="21"/>
        </w:rPr>
        <w:t>财政部门认定的其他重大违法记录。</w:t>
      </w:r>
    </w:p>
    <w:p w14:paraId="1F227DBB">
      <w:pPr>
        <w:adjustRightInd w:val="0"/>
        <w:snapToGrid w:val="0"/>
        <w:spacing w:before="120" w:beforeLines="50"/>
        <w:ind w:firstLine="0" w:firstLineChars="0"/>
        <w:jc w:val="left"/>
        <w:outlineLvl w:val="3"/>
        <w:rPr>
          <w:b/>
          <w:bCs/>
          <w:sz w:val="24"/>
        </w:rPr>
      </w:pPr>
      <w:r>
        <w:rPr>
          <w:rFonts w:hint="eastAsia"/>
          <w:b/>
          <w:bCs/>
          <w:sz w:val="24"/>
        </w:rPr>
        <w:t>4.参与磋商的费用</w:t>
      </w:r>
    </w:p>
    <w:p w14:paraId="1F4F8812">
      <w:pPr>
        <w:adjustRightInd w:val="0"/>
        <w:snapToGrid w:val="0"/>
        <w:spacing w:before="120" w:beforeLines="50"/>
        <w:jc w:val="left"/>
        <w:rPr>
          <w:szCs w:val="21"/>
        </w:rPr>
      </w:pPr>
      <w:r>
        <w:rPr>
          <w:rFonts w:hint="eastAsia"/>
          <w:szCs w:val="21"/>
        </w:rPr>
        <w:t>4.1无论磋商的结果如何，供应商应自行承担所有与竞争性磋商采购活动有关的全部费用。</w:t>
      </w:r>
    </w:p>
    <w:p w14:paraId="7063A355">
      <w:pPr>
        <w:adjustRightInd w:val="0"/>
        <w:snapToGrid w:val="0"/>
        <w:spacing w:before="120" w:beforeLines="50"/>
        <w:ind w:firstLine="0" w:firstLineChars="0"/>
        <w:jc w:val="left"/>
        <w:outlineLvl w:val="3"/>
        <w:rPr>
          <w:b/>
          <w:bCs/>
          <w:sz w:val="24"/>
        </w:rPr>
      </w:pPr>
      <w:r>
        <w:rPr>
          <w:rFonts w:hint="eastAsia"/>
          <w:b/>
          <w:bCs/>
          <w:sz w:val="24"/>
        </w:rPr>
        <w:t>5．授权委托</w:t>
      </w:r>
    </w:p>
    <w:p w14:paraId="17199AB1">
      <w:pPr>
        <w:pStyle w:val="22"/>
        <w:adjustRightInd w:val="0"/>
        <w:snapToGrid w:val="0"/>
        <w:spacing w:before="120" w:beforeLines="50"/>
        <w:jc w:val="left"/>
        <w:rPr>
          <w:rFonts w:hAnsi="宋体" w:cs="宋体"/>
        </w:rPr>
      </w:pPr>
      <w:r>
        <w:rPr>
          <w:rFonts w:hint="eastAsia" w:hAnsi="宋体" w:cs="宋体"/>
        </w:rPr>
        <w:t>5.1供应商代表为供应商法定代表人的，应具备法定代表人身份证明。供应商代表不是供应商法定代表人的，应具备法定代表人授权书，并附法定代表人身份证明。</w:t>
      </w:r>
    </w:p>
    <w:p w14:paraId="6C0ADAD1">
      <w:pPr>
        <w:adjustRightInd w:val="0"/>
        <w:snapToGrid w:val="0"/>
        <w:spacing w:before="120" w:beforeLines="50"/>
        <w:ind w:firstLine="0" w:firstLineChars="0"/>
        <w:jc w:val="left"/>
        <w:outlineLvl w:val="3"/>
        <w:rPr>
          <w:b/>
          <w:bCs/>
          <w:sz w:val="24"/>
        </w:rPr>
      </w:pPr>
      <w:r>
        <w:rPr>
          <w:rFonts w:hint="eastAsia"/>
          <w:b/>
          <w:bCs/>
          <w:sz w:val="24"/>
        </w:rPr>
        <w:t>6．联合体形式</w:t>
      </w:r>
    </w:p>
    <w:p w14:paraId="7B38A2E1">
      <w:pPr>
        <w:pStyle w:val="22"/>
        <w:adjustRightInd w:val="0"/>
        <w:snapToGrid w:val="0"/>
        <w:spacing w:before="120" w:beforeLines="50"/>
        <w:jc w:val="left"/>
        <w:rPr>
          <w:rFonts w:hAnsi="宋体" w:cs="宋体"/>
        </w:rPr>
      </w:pPr>
      <w:r>
        <w:rPr>
          <w:rFonts w:hint="eastAsia" w:hAnsi="宋体" w:cs="宋体"/>
        </w:rPr>
        <w:t>6.1除</w:t>
      </w:r>
      <w:r>
        <w:rPr>
          <w:rFonts w:hint="eastAsia" w:hAnsi="宋体" w:cs="宋体"/>
          <w:b/>
        </w:rPr>
        <w:t>磋商须知前附表</w:t>
      </w:r>
      <w:r>
        <w:rPr>
          <w:rFonts w:hint="eastAsia" w:hAnsi="宋体" w:cs="宋体"/>
        </w:rPr>
        <w:t>中另有规定，本次磋商采购不接受为联合体形式的供应商。</w:t>
      </w:r>
    </w:p>
    <w:p w14:paraId="65B320D6">
      <w:pPr>
        <w:adjustRightInd w:val="0"/>
        <w:snapToGrid w:val="0"/>
        <w:spacing w:before="120" w:beforeLines="50"/>
        <w:jc w:val="left"/>
        <w:rPr>
          <w:szCs w:val="21"/>
        </w:rPr>
      </w:pPr>
      <w:r>
        <w:rPr>
          <w:rFonts w:hint="eastAsia"/>
          <w:szCs w:val="21"/>
        </w:rPr>
        <w:t>6.2供应商</w:t>
      </w:r>
      <w:r>
        <w:rPr>
          <w:rFonts w:hint="eastAsia"/>
        </w:rPr>
        <w:t>为联合体形式的</w:t>
      </w:r>
      <w:r>
        <w:rPr>
          <w:rFonts w:hint="eastAsia"/>
          <w:szCs w:val="21"/>
        </w:rPr>
        <w:t>，除应符合本章第3条规定外，还应遵守以下规定：</w:t>
      </w:r>
    </w:p>
    <w:p w14:paraId="1E37CC86">
      <w:pPr>
        <w:adjustRightInd w:val="0"/>
        <w:snapToGrid w:val="0"/>
        <w:spacing w:before="120" w:beforeLines="50"/>
        <w:jc w:val="left"/>
        <w:rPr>
          <w:szCs w:val="21"/>
        </w:rPr>
      </w:pPr>
      <w:r>
        <w:rPr>
          <w:rFonts w:hint="eastAsia"/>
          <w:szCs w:val="21"/>
        </w:rPr>
        <w:t>（l）联合体各方必须签订联合体协议书，明确联合体牵头人和各方的义务、工作、合同工作量比例；</w:t>
      </w:r>
    </w:p>
    <w:p w14:paraId="1C12E2F2">
      <w:pPr>
        <w:adjustRightInd w:val="0"/>
        <w:snapToGrid w:val="0"/>
        <w:spacing w:before="120" w:beforeLines="50"/>
        <w:jc w:val="left"/>
        <w:rPr>
          <w:szCs w:val="21"/>
        </w:rPr>
      </w:pPr>
      <w:r>
        <w:rPr>
          <w:rFonts w:hint="eastAsia"/>
          <w:szCs w:val="21"/>
        </w:rPr>
        <w:t>（2）联合体各方均应当符合本章第3.1</w:t>
      </w:r>
      <w:r>
        <w:rPr>
          <w:rFonts w:hint="eastAsia"/>
          <w:kern w:val="0"/>
          <w:szCs w:val="21"/>
          <w:lang w:val="zh-CN"/>
        </w:rPr>
        <w:t>款</w:t>
      </w:r>
      <w:r>
        <w:rPr>
          <w:rFonts w:hint="eastAsia"/>
          <w:szCs w:val="21"/>
        </w:rPr>
        <w:t>规定的供应商基本资格条件；</w:t>
      </w:r>
    </w:p>
    <w:p w14:paraId="796046B5">
      <w:pPr>
        <w:adjustRightInd w:val="0"/>
        <w:snapToGrid w:val="0"/>
        <w:spacing w:before="120" w:beforeLines="50"/>
        <w:jc w:val="left"/>
        <w:rPr>
          <w:szCs w:val="21"/>
        </w:rPr>
      </w:pPr>
      <w:r>
        <w:rPr>
          <w:rFonts w:hint="eastAsia"/>
          <w:szCs w:val="21"/>
        </w:rPr>
        <w:t>（3）</w:t>
      </w:r>
      <w:r>
        <w:rPr>
          <w:rFonts w:hint="eastAsia"/>
        </w:rPr>
        <w:t>除</w:t>
      </w:r>
      <w:r>
        <w:rPr>
          <w:rFonts w:hint="eastAsia"/>
          <w:b/>
        </w:rPr>
        <w:t>磋商须知前附表</w:t>
      </w:r>
      <w:r>
        <w:rPr>
          <w:rFonts w:hint="eastAsia"/>
        </w:rPr>
        <w:t>中另有规定，</w:t>
      </w:r>
      <w:r>
        <w:rPr>
          <w:rFonts w:hint="eastAsia"/>
          <w:szCs w:val="21"/>
        </w:rPr>
        <w:t>联合体各方中至少有一方应当符合本章第3.1</w:t>
      </w:r>
      <w:r>
        <w:rPr>
          <w:rFonts w:hint="eastAsia"/>
          <w:kern w:val="0"/>
          <w:szCs w:val="21"/>
          <w:lang w:val="zh-CN"/>
        </w:rPr>
        <w:t>款</w:t>
      </w:r>
      <w:r>
        <w:rPr>
          <w:rFonts w:hint="eastAsia"/>
          <w:szCs w:val="21"/>
        </w:rPr>
        <w:t>规定的供应商特定资格条件；</w:t>
      </w:r>
    </w:p>
    <w:p w14:paraId="35FD538E">
      <w:pPr>
        <w:adjustRightInd w:val="0"/>
        <w:snapToGrid w:val="0"/>
        <w:spacing w:before="120" w:beforeLines="50"/>
        <w:jc w:val="left"/>
        <w:rPr>
          <w:kern w:val="0"/>
          <w:szCs w:val="21"/>
          <w:lang w:val="zh-CN"/>
        </w:rPr>
      </w:pPr>
      <w:r>
        <w:rPr>
          <w:rFonts w:hint="eastAsia"/>
          <w:szCs w:val="21"/>
        </w:rPr>
        <w:t>（4）</w:t>
      </w:r>
      <w:r>
        <w:rPr>
          <w:rFonts w:hint="eastAsia"/>
          <w:kern w:val="0"/>
          <w:szCs w:val="21"/>
          <w:lang w:val="zh-CN"/>
        </w:rPr>
        <w:t>联合体各方不得再单独或与其他供应商组成新的联合体参加同一项目的采购活动。</w:t>
      </w:r>
    </w:p>
    <w:p w14:paraId="0AA03D01">
      <w:pPr>
        <w:adjustRightInd w:val="0"/>
        <w:snapToGrid w:val="0"/>
        <w:spacing w:before="120" w:beforeLines="50"/>
        <w:ind w:firstLine="0" w:firstLineChars="0"/>
        <w:jc w:val="left"/>
        <w:outlineLvl w:val="3"/>
        <w:rPr>
          <w:b/>
          <w:bCs/>
          <w:sz w:val="24"/>
        </w:rPr>
      </w:pPr>
      <w:r>
        <w:rPr>
          <w:rFonts w:hint="eastAsia"/>
          <w:b/>
          <w:bCs/>
          <w:sz w:val="24"/>
        </w:rPr>
        <w:t>7.现场勘察</w:t>
      </w:r>
    </w:p>
    <w:p w14:paraId="0D042E28">
      <w:pPr>
        <w:adjustRightInd w:val="0"/>
        <w:snapToGrid w:val="0"/>
        <w:spacing w:before="120" w:beforeLines="50"/>
        <w:jc w:val="left"/>
        <w:rPr>
          <w:szCs w:val="21"/>
        </w:rPr>
      </w:pPr>
      <w:r>
        <w:rPr>
          <w:rFonts w:hint="eastAsia"/>
          <w:szCs w:val="21"/>
        </w:rPr>
        <w:t>7.1供应商应按</w:t>
      </w:r>
      <w:r>
        <w:rPr>
          <w:rFonts w:hint="eastAsia"/>
          <w:b/>
        </w:rPr>
        <w:t>磋商须知前附表</w:t>
      </w:r>
      <w:r>
        <w:rPr>
          <w:rFonts w:hint="eastAsia"/>
        </w:rPr>
        <w:t>中规定</w:t>
      </w:r>
      <w:r>
        <w:rPr>
          <w:rFonts w:hint="eastAsia"/>
          <w:szCs w:val="21"/>
        </w:rPr>
        <w:t>对采购项目现场和周围环境的现场考察。</w:t>
      </w:r>
    </w:p>
    <w:p w14:paraId="6BB88CB2">
      <w:pPr>
        <w:adjustRightInd w:val="0"/>
        <w:snapToGrid w:val="0"/>
        <w:spacing w:before="120" w:beforeLines="50"/>
        <w:jc w:val="left"/>
        <w:rPr>
          <w:szCs w:val="21"/>
        </w:rPr>
      </w:pPr>
      <w:r>
        <w:rPr>
          <w:rFonts w:hint="eastAsia"/>
          <w:szCs w:val="21"/>
        </w:rPr>
        <w:t>7.2勘察现场的费用由供应商自己承担，勘察期间所发生的人身伤害及财产损失由供应商自己负责。</w:t>
      </w:r>
    </w:p>
    <w:p w14:paraId="00830AE8">
      <w:pPr>
        <w:adjustRightInd w:val="0"/>
        <w:snapToGrid w:val="0"/>
        <w:spacing w:before="120" w:beforeLines="50"/>
        <w:jc w:val="left"/>
        <w:rPr>
          <w:b/>
          <w:szCs w:val="21"/>
        </w:rPr>
      </w:pPr>
      <w:r>
        <w:rPr>
          <w:rFonts w:hint="eastAsia"/>
          <w:szCs w:val="21"/>
        </w:rPr>
        <w:t>7.3采购人不对供应商据此而做出的推论、理解和结论负责。一旦成交，供应商不得以任何借口，提出额外补偿，或延长合同期限的要求。</w:t>
      </w:r>
    </w:p>
    <w:p w14:paraId="2394413A">
      <w:pPr>
        <w:adjustRightInd w:val="0"/>
        <w:snapToGrid w:val="0"/>
        <w:spacing w:before="120" w:beforeLines="50"/>
        <w:ind w:firstLine="0" w:firstLineChars="0"/>
        <w:jc w:val="left"/>
        <w:outlineLvl w:val="3"/>
        <w:rPr>
          <w:b/>
          <w:bCs/>
          <w:sz w:val="24"/>
        </w:rPr>
      </w:pPr>
      <w:r>
        <w:rPr>
          <w:rFonts w:hint="eastAsia"/>
          <w:b/>
          <w:bCs/>
          <w:sz w:val="24"/>
        </w:rPr>
        <w:t>8.采购进口产品</w:t>
      </w:r>
    </w:p>
    <w:p w14:paraId="57FFA1F2">
      <w:pPr>
        <w:adjustRightInd w:val="0"/>
        <w:snapToGrid w:val="0"/>
        <w:spacing w:before="120" w:beforeLines="50"/>
        <w:jc w:val="left"/>
        <w:rPr>
          <w:kern w:val="0"/>
          <w:szCs w:val="21"/>
        </w:rPr>
      </w:pPr>
      <w:r>
        <w:rPr>
          <w:rFonts w:hint="eastAsia"/>
          <w:szCs w:val="21"/>
        </w:rPr>
        <w:t>8.1除</w:t>
      </w:r>
      <w:r>
        <w:rPr>
          <w:rFonts w:hint="eastAsia"/>
          <w:b/>
          <w:szCs w:val="21"/>
        </w:rPr>
        <w:t>磋商文件前附表</w:t>
      </w:r>
      <w:r>
        <w:rPr>
          <w:rFonts w:hint="eastAsia"/>
          <w:szCs w:val="21"/>
        </w:rPr>
        <w:t>另有规定外，本项目</w:t>
      </w:r>
      <w:r>
        <w:rPr>
          <w:rFonts w:hint="eastAsia"/>
          <w:kern w:val="0"/>
          <w:szCs w:val="21"/>
        </w:rPr>
        <w:t>拒绝进口产品参加</w:t>
      </w:r>
      <w:r>
        <w:rPr>
          <w:rFonts w:hint="eastAsia"/>
          <w:szCs w:val="21"/>
        </w:rPr>
        <w:t>竞争性磋商采购活动</w:t>
      </w:r>
      <w:r>
        <w:rPr>
          <w:rFonts w:hint="eastAsia"/>
          <w:kern w:val="0"/>
          <w:szCs w:val="21"/>
        </w:rPr>
        <w:t>。</w:t>
      </w:r>
    </w:p>
    <w:p w14:paraId="076E3753">
      <w:pPr>
        <w:adjustRightInd w:val="0"/>
        <w:snapToGrid w:val="0"/>
        <w:spacing w:before="120" w:beforeLines="50"/>
        <w:jc w:val="left"/>
        <w:rPr>
          <w:kern w:val="0"/>
          <w:szCs w:val="21"/>
        </w:rPr>
      </w:pPr>
      <w:r>
        <w:rPr>
          <w:rFonts w:hint="eastAsia"/>
          <w:kern w:val="0"/>
          <w:szCs w:val="21"/>
        </w:rPr>
        <w:t>8.2</w:t>
      </w:r>
      <w:r>
        <w:rPr>
          <w:rFonts w:hint="eastAsia"/>
          <w:szCs w:val="21"/>
        </w:rPr>
        <w:t>本章第7.1</w:t>
      </w:r>
      <w:r>
        <w:rPr>
          <w:rFonts w:hint="eastAsia"/>
          <w:kern w:val="0"/>
          <w:szCs w:val="21"/>
          <w:lang w:val="zh-CN"/>
        </w:rPr>
        <w:t>款</w:t>
      </w:r>
      <w:r>
        <w:rPr>
          <w:rFonts w:hint="eastAsia"/>
          <w:szCs w:val="21"/>
        </w:rPr>
        <w:t>规定</w:t>
      </w:r>
      <w:r>
        <w:rPr>
          <w:rFonts w:hint="eastAsia"/>
          <w:kern w:val="0"/>
          <w:szCs w:val="21"/>
        </w:rPr>
        <w:t>同意购买进口产品的，</w:t>
      </w:r>
      <w:r>
        <w:rPr>
          <w:rFonts w:hint="eastAsia"/>
          <w:szCs w:val="21"/>
        </w:rPr>
        <w:t>本项目</w:t>
      </w:r>
      <w:r>
        <w:rPr>
          <w:rFonts w:hint="eastAsia"/>
          <w:kern w:val="0"/>
          <w:szCs w:val="21"/>
          <w:lang w:val="zh-CN"/>
        </w:rPr>
        <w:t>采购活动</w:t>
      </w:r>
      <w:r>
        <w:rPr>
          <w:rFonts w:hint="eastAsia"/>
          <w:kern w:val="0"/>
          <w:szCs w:val="21"/>
        </w:rPr>
        <w:t>不限制满足</w:t>
      </w:r>
      <w:r>
        <w:rPr>
          <w:rFonts w:hint="eastAsia"/>
          <w:szCs w:val="21"/>
        </w:rPr>
        <w:t>磋商文件要求</w:t>
      </w:r>
      <w:r>
        <w:rPr>
          <w:rFonts w:hint="eastAsia"/>
          <w:kern w:val="0"/>
          <w:szCs w:val="21"/>
        </w:rPr>
        <w:t>的国内产品参与</w:t>
      </w:r>
      <w:r>
        <w:rPr>
          <w:rFonts w:hint="eastAsia"/>
          <w:szCs w:val="21"/>
        </w:rPr>
        <w:t>竞争性磋商</w:t>
      </w:r>
      <w:r>
        <w:rPr>
          <w:rFonts w:hint="eastAsia"/>
          <w:kern w:val="0"/>
          <w:szCs w:val="21"/>
        </w:rPr>
        <w:t>。</w:t>
      </w:r>
    </w:p>
    <w:p w14:paraId="2DE4C6FD">
      <w:pPr>
        <w:numPr>
          <w:ilvl w:val="0"/>
          <w:numId w:val="2"/>
        </w:numPr>
        <w:adjustRightInd w:val="0"/>
        <w:snapToGrid w:val="0"/>
        <w:spacing w:before="120" w:beforeLines="50"/>
        <w:ind w:firstLine="0" w:firstLineChars="0"/>
        <w:jc w:val="left"/>
        <w:outlineLvl w:val="3"/>
        <w:rPr>
          <w:b/>
          <w:bCs/>
          <w:sz w:val="24"/>
        </w:rPr>
      </w:pPr>
      <w:r>
        <w:rPr>
          <w:rFonts w:hint="eastAsia"/>
          <w:b/>
          <w:bCs/>
          <w:sz w:val="24"/>
        </w:rPr>
        <w:t>政府采购政策支持</w:t>
      </w:r>
    </w:p>
    <w:p w14:paraId="712B910C">
      <w:pPr>
        <w:adjustRightInd w:val="0"/>
        <w:snapToGrid w:val="0"/>
        <w:spacing w:before="120" w:beforeLines="50"/>
        <w:jc w:val="left"/>
        <w:rPr>
          <w:kern w:val="0"/>
        </w:rPr>
      </w:pPr>
      <w:r>
        <w:rPr>
          <w:rFonts w:hint="eastAsia"/>
        </w:rPr>
        <w:t>9.1</w:t>
      </w:r>
      <w:r>
        <w:rPr>
          <w:rFonts w:hint="eastAsia"/>
          <w:kern w:val="0"/>
        </w:rPr>
        <w:t>强制采购：</w:t>
      </w:r>
    </w:p>
    <w:p w14:paraId="3784A0E7">
      <w:pPr>
        <w:adjustRightInd w:val="0"/>
        <w:snapToGrid w:val="0"/>
        <w:spacing w:before="120" w:beforeLines="50"/>
        <w:jc w:val="left"/>
        <w:rPr>
          <w:kern w:val="0"/>
        </w:rPr>
      </w:pPr>
      <w:r>
        <w:rPr>
          <w:rFonts w:hint="eastAsia"/>
          <w:kern w:val="0"/>
        </w:rPr>
        <w:t>（1）纳入财政部会同国务院有关部门发布的节能产品政府采购品目清单，实施政府强制采购的（品目清单标注</w:t>
      </w:r>
      <w:r>
        <w:rPr>
          <w:rFonts w:hint="eastAsia"/>
          <w:kern w:val="0"/>
        </w:rPr>
        <w:sym w:font="Wingdings" w:char="F0AB"/>
      </w:r>
      <w:r>
        <w:rPr>
          <w:rFonts w:hint="eastAsia"/>
          <w:kern w:val="0"/>
        </w:rPr>
        <w:t>符号产品），供应商提供的产品应当取得国家确定的认证机构出具的、处于有效期之内的节能产品认证证书，否则其</w:t>
      </w:r>
      <w:r>
        <w:rPr>
          <w:rFonts w:hint="eastAsia"/>
          <w:b/>
          <w:bCs/>
          <w:kern w:val="0"/>
        </w:rPr>
        <w:t>响应</w:t>
      </w:r>
      <w:r>
        <w:rPr>
          <w:rFonts w:hint="eastAsia"/>
          <w:b/>
          <w:bCs/>
          <w:kern w:val="0"/>
          <w:szCs w:val="21"/>
        </w:rPr>
        <w:t>无效</w:t>
      </w:r>
      <w:r>
        <w:rPr>
          <w:rFonts w:hint="eastAsia"/>
          <w:kern w:val="0"/>
        </w:rPr>
        <w:t>。</w:t>
      </w:r>
    </w:p>
    <w:p w14:paraId="1E924EC6">
      <w:pPr>
        <w:adjustRightInd w:val="0"/>
        <w:snapToGrid w:val="0"/>
        <w:spacing w:before="120" w:beforeLines="50"/>
        <w:jc w:val="left"/>
      </w:pPr>
      <w:r>
        <w:rPr>
          <w:rFonts w:hint="eastAsia"/>
          <w:kern w:val="0"/>
        </w:rPr>
        <w:t>9.2</w:t>
      </w:r>
      <w:r>
        <w:rPr>
          <w:rFonts w:hint="eastAsia"/>
        </w:rPr>
        <w:t>优先采购：</w:t>
      </w:r>
    </w:p>
    <w:p w14:paraId="6B47F27B">
      <w:pPr>
        <w:adjustRightInd w:val="0"/>
        <w:snapToGrid w:val="0"/>
        <w:spacing w:before="120" w:beforeLines="50"/>
        <w:jc w:val="left"/>
        <w:rPr>
          <w:kern w:val="0"/>
        </w:rPr>
      </w:pPr>
      <w:r>
        <w:rPr>
          <w:rFonts w:hint="eastAsia"/>
        </w:rPr>
        <w:t>（1）</w:t>
      </w:r>
      <w:r>
        <w:rPr>
          <w:rFonts w:hint="eastAsia"/>
          <w:szCs w:val="21"/>
        </w:rPr>
        <w:t>纳入财政部会同国务院有关部门发布的节能产品、环境标志产品政府采购品目清单，实施政府优先采购的，评审时按</w:t>
      </w:r>
      <w:r>
        <w:rPr>
          <w:rFonts w:hint="eastAsia"/>
          <w:b/>
          <w:kern w:val="0"/>
          <w:szCs w:val="21"/>
        </w:rPr>
        <w:t>磋商文件前附表</w:t>
      </w:r>
      <w:r>
        <w:rPr>
          <w:rFonts w:hint="eastAsia"/>
          <w:szCs w:val="21"/>
        </w:rPr>
        <w:t>对该部分产品给予一定比例的价格折扣或者加分。</w:t>
      </w:r>
    </w:p>
    <w:p w14:paraId="61D15290">
      <w:pPr>
        <w:adjustRightInd w:val="0"/>
        <w:snapToGrid w:val="0"/>
        <w:spacing w:before="120" w:beforeLines="50"/>
        <w:jc w:val="left"/>
      </w:pPr>
      <w:r>
        <w:rPr>
          <w:rFonts w:hint="eastAsia"/>
        </w:rPr>
        <w:t>9.3价格评审优惠：</w:t>
      </w:r>
    </w:p>
    <w:p w14:paraId="50B731FE">
      <w:pPr>
        <w:adjustRightInd w:val="0"/>
        <w:snapToGrid w:val="0"/>
        <w:spacing w:before="120" w:beforeLines="50"/>
        <w:jc w:val="left"/>
      </w:pPr>
      <w:r>
        <w:rPr>
          <w:rFonts w:hint="eastAsia"/>
        </w:rPr>
        <w:t>（1）在政府采购活动中，供应商提供的货物、工程或者服务符合下列情形的：（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给予一定比例的价格折扣，用扣除后的价格参与评审；</w:t>
      </w:r>
    </w:p>
    <w:p w14:paraId="0B623979">
      <w:pPr>
        <w:adjustRightInd w:val="0"/>
        <w:snapToGrid w:val="0"/>
        <w:spacing w:before="120" w:beforeLines="50"/>
        <w:jc w:val="left"/>
      </w:pPr>
      <w:r>
        <w:rPr>
          <w:rFonts w:hint="eastAsia"/>
        </w:rPr>
        <w:t>（2）对于经主管预算单位统筹后未预留份额专门面向中小企业采购的采购项目，以及预留份额项目中的非预留部分采购包，符合小微企业生产的货物或者提供的服务、工程情形的，给予一定比例的价格折扣，用扣除后的价格参与评审。</w:t>
      </w:r>
    </w:p>
    <w:p w14:paraId="0651AD29">
      <w:pPr>
        <w:adjustRightInd w:val="0"/>
        <w:snapToGrid w:val="0"/>
        <w:spacing w:before="120" w:beforeLines="50"/>
        <w:jc w:val="left"/>
      </w:pPr>
      <w:r>
        <w:rPr>
          <w:rFonts w:hint="eastAsia"/>
        </w:rPr>
        <w:t>接受大中型企业与小微企业组成联合体或者允许大中型企业向一家或者多家小微企业分包的采购项目，对于联合协议或者分包意向协议约定小微企业的合同份额占到合同总金额30%以上的，给予一定比例的价格折扣，用扣除后的价格参与评审。以联合体形式参加政府采购活动，联合体各方均为中小企业的，联合体视同中小企业。其中，联合体各方均为小微企业的，联合体视同小微企业；</w:t>
      </w:r>
    </w:p>
    <w:p w14:paraId="59E68C31">
      <w:pPr>
        <w:adjustRightInd w:val="0"/>
        <w:snapToGrid w:val="0"/>
        <w:spacing w:before="120" w:beforeLines="50"/>
        <w:jc w:val="left"/>
      </w:pPr>
      <w:r>
        <w:rPr>
          <w:rFonts w:hint="eastAsia"/>
        </w:rPr>
        <w:t>（3）符合中小企业划分标准的个体工商户视同中小企业，享受评审中价格扣除等促进中小企业发展的政府采购政策。</w:t>
      </w:r>
    </w:p>
    <w:p w14:paraId="1E97A7E5">
      <w:pPr>
        <w:adjustRightInd w:val="0"/>
        <w:snapToGrid w:val="0"/>
        <w:spacing w:before="120" w:beforeLines="50"/>
        <w:jc w:val="left"/>
      </w:pPr>
      <w:r>
        <w:rPr>
          <w:rFonts w:hint="eastAsia"/>
        </w:rPr>
        <w:t>（4）监狱企业、残疾人福利性单位视同小型、微型企业，享受评审中价格扣除等促进中小企业发展的政府采购政策。</w:t>
      </w:r>
    </w:p>
    <w:p w14:paraId="078E8045">
      <w:pPr>
        <w:adjustRightInd w:val="0"/>
        <w:snapToGrid w:val="0"/>
        <w:spacing w:before="120" w:beforeLines="50"/>
        <w:jc w:val="left"/>
      </w:pPr>
      <w:r>
        <w:rPr>
          <w:rFonts w:hint="eastAsia"/>
        </w:rPr>
        <w:t xml:space="preserve">（5）与大企业的负责人为同一人，或者与大企业存在直接控股、管理关系的中小企业，不享受评审中价格扣除等促进中小企业发展的政府采购政策。 </w:t>
      </w:r>
    </w:p>
    <w:p w14:paraId="1C50005B">
      <w:pPr>
        <w:adjustRightInd w:val="0"/>
        <w:snapToGrid w:val="0"/>
        <w:spacing w:before="120" w:beforeLines="50"/>
        <w:jc w:val="left"/>
      </w:pPr>
      <w:r>
        <w:rPr>
          <w:rFonts w:hint="eastAsia"/>
        </w:rPr>
        <w:t>（6）本章第1.2款规定采购项目或者采购包属于“预留采购份额”的，预留部分不再享受本款“价格评审优惠”的小微企业扶持政策。</w:t>
      </w:r>
    </w:p>
    <w:p w14:paraId="3D88C577">
      <w:pPr>
        <w:adjustRightInd w:val="0"/>
        <w:snapToGrid w:val="0"/>
        <w:spacing w:before="120" w:beforeLines="50"/>
        <w:jc w:val="left"/>
      </w:pPr>
      <w:r>
        <w:rPr>
          <w:rFonts w:hint="eastAsia"/>
        </w:rPr>
        <w:t>9.4政府采购政策交叉与叠加</w:t>
      </w:r>
    </w:p>
    <w:p w14:paraId="74746A69">
      <w:pPr>
        <w:adjustRightInd w:val="0"/>
        <w:snapToGrid w:val="0"/>
        <w:spacing w:before="120" w:beforeLines="50"/>
        <w:jc w:val="left"/>
      </w:pPr>
      <w:r>
        <w:rPr>
          <w:rFonts w:hint="eastAsia"/>
        </w:rPr>
        <w:t>（1）供应商产品取得两个及以上优先采购产品认证的，评审时只有其中一项产品能享受优先采购优惠（供应商自行选择，并在投标文件中并填报相关信息及数据）</w:t>
      </w:r>
    </w:p>
    <w:p w14:paraId="788E504C">
      <w:pPr>
        <w:adjustRightInd w:val="0"/>
        <w:snapToGrid w:val="0"/>
        <w:spacing w:before="120" w:beforeLines="50"/>
        <w:jc w:val="left"/>
      </w:pPr>
      <w:r>
        <w:rPr>
          <w:rFonts w:hint="eastAsia"/>
        </w:rPr>
        <w:t>（2）供应商同时符合小型、微型企业及监狱企业、残疾人福利性单位要求的，评审时只有一种类型享受价格评审优惠政策；</w:t>
      </w:r>
    </w:p>
    <w:p w14:paraId="6E979C5E">
      <w:pPr>
        <w:adjustRightInd w:val="0"/>
        <w:snapToGrid w:val="0"/>
        <w:spacing w:before="120" w:beforeLines="50"/>
        <w:jc w:val="left"/>
      </w:pPr>
      <w:r>
        <w:rPr>
          <w:rFonts w:hint="eastAsia"/>
        </w:rPr>
        <w:t>（3）小型和微型企业的价格评审优惠可以与同时属于“节能产品”、“环境标志产品”中的一项优先采购优惠累加计算。</w:t>
      </w:r>
    </w:p>
    <w:p w14:paraId="635B732E">
      <w:pPr>
        <w:adjustRightInd w:val="0"/>
        <w:snapToGrid w:val="0"/>
        <w:spacing w:before="120" w:beforeLines="50"/>
        <w:jc w:val="left"/>
      </w:pPr>
      <w:r>
        <w:rPr>
          <w:rFonts w:hint="eastAsia"/>
        </w:rPr>
        <w:t>9.5在货物采购项目中，供应商提供的货物既有中小企业制造货物，也有大型企业制造货物的，不享受政府采购中小企业扶持政策。</w:t>
      </w:r>
    </w:p>
    <w:p w14:paraId="4FCD64F7">
      <w:pPr>
        <w:adjustRightInd w:val="0"/>
        <w:snapToGrid w:val="0"/>
        <w:spacing w:before="120" w:beforeLines="50"/>
        <w:jc w:val="left"/>
      </w:pPr>
      <w:r>
        <w:rPr>
          <w:rFonts w:hint="eastAsia"/>
        </w:rPr>
        <w:t>9.6供应商符合本章第9.1款、第9.2款、第9.3款规定的，应提供相关证明资料。</w:t>
      </w:r>
    </w:p>
    <w:p w14:paraId="6AEED35B">
      <w:pPr>
        <w:adjustRightInd w:val="0"/>
        <w:snapToGrid w:val="0"/>
        <w:spacing w:before="120" w:beforeLines="50"/>
        <w:jc w:val="left"/>
      </w:pPr>
      <w:r>
        <w:rPr>
          <w:rFonts w:hint="eastAsia"/>
        </w:rPr>
        <w:t>（1）节能产品、环境标志产品：提供国家确定的认证机构出具的、处于有效期之内的节能产品、环境标志产品认证证书。</w:t>
      </w:r>
    </w:p>
    <w:p w14:paraId="7EA4C999">
      <w:pPr>
        <w:adjustRightInd w:val="0"/>
        <w:snapToGrid w:val="0"/>
        <w:spacing w:before="120" w:beforeLines="50"/>
        <w:jc w:val="left"/>
        <w:rPr>
          <w:szCs w:val="21"/>
        </w:rPr>
      </w:pPr>
      <w:r>
        <w:rPr>
          <w:rFonts w:hint="eastAsia"/>
        </w:rPr>
        <w:t>（2）中小企业：货物类采购项目，按《关于印发＜政府采购促进中小企业发展办法＞的通知》(财库[2020]46号) 和《关于印发中小企业划型标准规定的通知》（工信部联企业〔2011〕300号）文件规定提供中小企业声明函（格式）；服务类采购项目，按《湖南省财政厅关于政府采购促进中小企业发展的有关措施的通知》（湘财购[2022]17号）文件规定提供湖南省政府采购供应商资格承诺函（格式）</w:t>
      </w:r>
      <w:r>
        <w:rPr>
          <w:rFonts w:hint="eastAsia"/>
          <w:szCs w:val="21"/>
        </w:rPr>
        <w:t>。</w:t>
      </w:r>
    </w:p>
    <w:p w14:paraId="418D2B82">
      <w:pPr>
        <w:adjustRightInd w:val="0"/>
        <w:snapToGrid w:val="0"/>
        <w:spacing w:before="120" w:beforeLines="50"/>
        <w:jc w:val="left"/>
      </w:pPr>
      <w:r>
        <w:rPr>
          <w:rFonts w:hint="eastAsia"/>
        </w:rPr>
        <w:t>（3）监狱企业：按《关于政府采购支持监狱企业发展有关问题的通知》(财库〔2014〕68号)文件规定提供证明文件。</w:t>
      </w:r>
    </w:p>
    <w:p w14:paraId="56AA5F24">
      <w:pPr>
        <w:adjustRightInd w:val="0"/>
        <w:snapToGrid w:val="0"/>
        <w:spacing w:before="120" w:beforeLines="50"/>
        <w:jc w:val="left"/>
      </w:pPr>
      <w:r>
        <w:rPr>
          <w:rFonts w:hint="eastAsia"/>
        </w:rPr>
        <w:t>（4）残疾人福利性单位：按《关于促进残疾人就业政府采购政策的通知》(财库〔2017〕141号)文件规定提供《残疾人福利性单位声明函》（格式）。</w:t>
      </w:r>
    </w:p>
    <w:p w14:paraId="454C931F">
      <w:pPr>
        <w:adjustRightInd w:val="0"/>
        <w:snapToGrid w:val="0"/>
        <w:spacing w:before="120" w:beforeLines="50"/>
        <w:jc w:val="left"/>
      </w:pPr>
      <w:r>
        <w:rPr>
          <w:rFonts w:hint="eastAsia"/>
        </w:rPr>
        <w:t>9.7执行中小企业预留采购份额政策的规定：</w:t>
      </w:r>
    </w:p>
    <w:p w14:paraId="3492A9EA">
      <w:pPr>
        <w:adjustRightInd w:val="0"/>
        <w:snapToGrid w:val="0"/>
        <w:spacing w:before="120" w:beforeLines="50"/>
        <w:jc w:val="left"/>
      </w:pPr>
      <w:r>
        <w:rPr>
          <w:rFonts w:hint="eastAsia"/>
        </w:rPr>
        <w:t>（1）预留份额的采购项目或者采购包，应明确该项目或相关采购包专门面向中小企业采购，并作为供应商资格条件。</w:t>
      </w:r>
    </w:p>
    <w:p w14:paraId="46D2A9F9">
      <w:pPr>
        <w:adjustRightInd w:val="0"/>
        <w:snapToGrid w:val="0"/>
        <w:spacing w:before="120" w:beforeLines="50"/>
        <w:jc w:val="left"/>
      </w:pPr>
      <w:r>
        <w:rPr>
          <w:rFonts w:hint="eastAsia"/>
        </w:rPr>
        <w:t>（2）要求以联合体形式参加或者合同分包的，应明确联合协议或者分包意向协议中中小企业合同金额应当达到的比例，并作为供应商资格条件。</w:t>
      </w:r>
    </w:p>
    <w:p w14:paraId="260487EC">
      <w:pPr>
        <w:adjustRightInd w:val="0"/>
        <w:snapToGrid w:val="0"/>
        <w:spacing w:before="120" w:beforeLines="50"/>
        <w:jc w:val="left"/>
      </w:pPr>
      <w:r>
        <w:rPr>
          <w:rFonts w:hint="eastAsia"/>
        </w:rPr>
        <w:t>（3）组成联合体或者接受分包合同的中小企业与联合体内其他企业(成员)、分包企业(供应商)之间不得存在直接控股、管理关系。</w:t>
      </w:r>
    </w:p>
    <w:p w14:paraId="134E220F">
      <w:pPr>
        <w:pStyle w:val="66"/>
        <w:ind w:firstLine="0" w:firstLineChars="0"/>
      </w:pPr>
    </w:p>
    <w:p w14:paraId="4D2EDAA4">
      <w:pPr>
        <w:adjustRightInd w:val="0"/>
        <w:snapToGrid w:val="0"/>
        <w:spacing w:before="120" w:beforeLines="50"/>
        <w:ind w:firstLine="0" w:firstLineChars="0"/>
        <w:jc w:val="center"/>
        <w:outlineLvl w:val="2"/>
        <w:rPr>
          <w:rFonts w:ascii="Times New Roman" w:hAnsi="Times New Roman" w:eastAsia="黑体" w:cs="Times New Roman"/>
          <w:b/>
          <w:sz w:val="28"/>
          <w:szCs w:val="28"/>
        </w:rPr>
      </w:pPr>
      <w:bookmarkStart w:id="103" w:name="_Toc15912"/>
      <w:bookmarkStart w:id="104" w:name="_Toc9941"/>
      <w:bookmarkStart w:id="105" w:name="_Toc10387"/>
      <w:bookmarkStart w:id="106" w:name="_Toc29485"/>
      <w:r>
        <w:rPr>
          <w:rFonts w:ascii="Times New Roman" w:hAnsi="Times New Roman" w:eastAsia="黑体" w:cs="Times New Roman"/>
          <w:b/>
          <w:sz w:val="28"/>
          <w:szCs w:val="28"/>
        </w:rPr>
        <w:t>二、磋商文件</w:t>
      </w:r>
      <w:bookmarkEnd w:id="103"/>
      <w:bookmarkEnd w:id="104"/>
      <w:bookmarkEnd w:id="105"/>
      <w:bookmarkEnd w:id="106"/>
    </w:p>
    <w:p w14:paraId="6639B54D">
      <w:pPr>
        <w:adjustRightInd w:val="0"/>
        <w:snapToGrid w:val="0"/>
        <w:spacing w:before="120" w:beforeLines="50"/>
        <w:ind w:firstLine="0" w:firstLineChars="0"/>
        <w:jc w:val="left"/>
        <w:outlineLvl w:val="3"/>
        <w:rPr>
          <w:b/>
          <w:bCs/>
          <w:sz w:val="24"/>
        </w:rPr>
      </w:pPr>
      <w:r>
        <w:rPr>
          <w:rFonts w:hint="eastAsia"/>
          <w:b/>
          <w:bCs/>
          <w:sz w:val="24"/>
        </w:rPr>
        <w:t>10．磋商文件的组成</w:t>
      </w:r>
    </w:p>
    <w:p w14:paraId="2AE65512">
      <w:pPr>
        <w:pStyle w:val="22"/>
        <w:adjustRightInd w:val="0"/>
        <w:snapToGrid w:val="0"/>
        <w:spacing w:before="120" w:beforeLines="50"/>
        <w:jc w:val="left"/>
        <w:rPr>
          <w:rFonts w:hAnsi="宋体" w:cs="宋体"/>
        </w:rPr>
      </w:pPr>
      <w:r>
        <w:rPr>
          <w:rFonts w:hint="eastAsia" w:hAnsi="宋体" w:cs="宋体"/>
        </w:rPr>
        <w:t>10.1磋商文件由下列文件组成：</w:t>
      </w:r>
    </w:p>
    <w:p w14:paraId="3F692824">
      <w:pPr>
        <w:pStyle w:val="22"/>
        <w:adjustRightInd w:val="0"/>
        <w:snapToGrid w:val="0"/>
        <w:spacing w:before="120" w:beforeLines="50"/>
        <w:jc w:val="left"/>
        <w:rPr>
          <w:rFonts w:hAnsi="宋体" w:cs="宋体"/>
        </w:rPr>
      </w:pPr>
      <w:r>
        <w:rPr>
          <w:rFonts w:hint="eastAsia" w:hAnsi="宋体" w:cs="宋体"/>
        </w:rPr>
        <w:t>第一章磋商邀请</w:t>
      </w:r>
    </w:p>
    <w:p w14:paraId="0EF5567F">
      <w:pPr>
        <w:pStyle w:val="22"/>
        <w:adjustRightInd w:val="0"/>
        <w:snapToGrid w:val="0"/>
        <w:spacing w:before="120" w:beforeLines="50"/>
        <w:jc w:val="left"/>
        <w:rPr>
          <w:rFonts w:hAnsi="宋体" w:cs="宋体"/>
        </w:rPr>
      </w:pPr>
      <w:r>
        <w:rPr>
          <w:rFonts w:hint="eastAsia" w:hAnsi="宋体" w:cs="宋体"/>
        </w:rPr>
        <w:t>第二章磋商须知</w:t>
      </w:r>
    </w:p>
    <w:p w14:paraId="348CBC69">
      <w:pPr>
        <w:pStyle w:val="22"/>
        <w:adjustRightInd w:val="0"/>
        <w:snapToGrid w:val="0"/>
        <w:spacing w:before="120" w:beforeLines="50"/>
        <w:jc w:val="left"/>
        <w:rPr>
          <w:rFonts w:hAnsi="宋体" w:cs="宋体"/>
        </w:rPr>
      </w:pPr>
      <w:r>
        <w:rPr>
          <w:rFonts w:hint="eastAsia" w:hAnsi="宋体" w:cs="宋体"/>
        </w:rPr>
        <w:t>第三章政府采购合同格式条款</w:t>
      </w:r>
    </w:p>
    <w:p w14:paraId="6B533DC1">
      <w:pPr>
        <w:pStyle w:val="22"/>
        <w:adjustRightInd w:val="0"/>
        <w:snapToGrid w:val="0"/>
        <w:spacing w:before="120" w:beforeLines="50"/>
        <w:jc w:val="left"/>
        <w:rPr>
          <w:rFonts w:hAnsi="宋体" w:cs="宋体"/>
        </w:rPr>
      </w:pPr>
      <w:r>
        <w:rPr>
          <w:rFonts w:hint="eastAsia" w:hAnsi="宋体" w:cs="宋体"/>
        </w:rPr>
        <w:t>第四章采购需求</w:t>
      </w:r>
    </w:p>
    <w:p w14:paraId="547F0697">
      <w:pPr>
        <w:pStyle w:val="22"/>
        <w:adjustRightInd w:val="0"/>
        <w:snapToGrid w:val="0"/>
        <w:spacing w:before="120" w:beforeLines="50"/>
        <w:jc w:val="left"/>
        <w:rPr>
          <w:rFonts w:hAnsi="宋体" w:cs="宋体"/>
        </w:rPr>
      </w:pPr>
      <w:r>
        <w:rPr>
          <w:rFonts w:hint="eastAsia" w:hAnsi="宋体" w:cs="宋体"/>
        </w:rPr>
        <w:t>第五章响应文件组成</w:t>
      </w:r>
    </w:p>
    <w:p w14:paraId="0AC92DAA">
      <w:pPr>
        <w:pStyle w:val="22"/>
        <w:adjustRightInd w:val="0"/>
        <w:snapToGrid w:val="0"/>
        <w:spacing w:before="120" w:beforeLines="50"/>
        <w:jc w:val="left"/>
        <w:rPr>
          <w:rFonts w:hAnsi="宋体" w:cs="宋体"/>
          <w:kern w:val="0"/>
        </w:rPr>
      </w:pPr>
      <w:r>
        <w:rPr>
          <w:rFonts w:hint="eastAsia" w:hAnsi="宋体" w:cs="宋体"/>
        </w:rPr>
        <w:t>10.2</w:t>
      </w:r>
      <w:r>
        <w:rPr>
          <w:rFonts w:hint="eastAsia" w:hAnsi="宋体" w:cs="宋体"/>
          <w:kern w:val="0"/>
        </w:rPr>
        <w:t>磋商小组根据与供应商磋商情况可能实质性变动的内容，包括采购需求中的技术、服务要求以及合同条款，</w:t>
      </w:r>
      <w:r>
        <w:rPr>
          <w:rFonts w:hint="eastAsia" w:hAnsi="宋体" w:cs="宋体"/>
        </w:rPr>
        <w:t>在</w:t>
      </w:r>
      <w:r>
        <w:rPr>
          <w:rFonts w:hint="eastAsia" w:hAnsi="宋体" w:cs="宋体"/>
          <w:b/>
        </w:rPr>
        <w:t>磋商须知前附表</w:t>
      </w:r>
      <w:r>
        <w:rPr>
          <w:rFonts w:hint="eastAsia" w:hAnsi="宋体" w:cs="宋体"/>
        </w:rPr>
        <w:t>中明确。</w:t>
      </w:r>
    </w:p>
    <w:p w14:paraId="101538F9">
      <w:pPr>
        <w:adjustRightInd w:val="0"/>
        <w:snapToGrid w:val="0"/>
        <w:spacing w:before="120" w:beforeLines="50"/>
        <w:jc w:val="left"/>
        <w:rPr>
          <w:szCs w:val="21"/>
        </w:rPr>
      </w:pPr>
      <w:r>
        <w:rPr>
          <w:rFonts w:hint="eastAsia"/>
        </w:rPr>
        <w:t>10.3</w:t>
      </w:r>
      <w:r>
        <w:rPr>
          <w:rFonts w:hint="eastAsia"/>
          <w:szCs w:val="21"/>
        </w:rPr>
        <w:t>供应商应仔细阅读</w:t>
      </w:r>
      <w:r>
        <w:rPr>
          <w:rFonts w:hint="eastAsia"/>
          <w:bCs/>
          <w:szCs w:val="21"/>
        </w:rPr>
        <w:t>磋商</w:t>
      </w:r>
      <w:r>
        <w:rPr>
          <w:rFonts w:hint="eastAsia"/>
          <w:szCs w:val="21"/>
        </w:rPr>
        <w:t>文件的全部内容，按照</w:t>
      </w:r>
      <w:r>
        <w:rPr>
          <w:rFonts w:hint="eastAsia"/>
          <w:bCs/>
          <w:szCs w:val="21"/>
        </w:rPr>
        <w:t>磋商</w:t>
      </w:r>
      <w:r>
        <w:rPr>
          <w:rFonts w:hint="eastAsia"/>
          <w:szCs w:val="21"/>
        </w:rPr>
        <w:t>文件要求编制响应文件。任何对</w:t>
      </w:r>
      <w:r>
        <w:rPr>
          <w:rFonts w:hint="eastAsia"/>
          <w:bCs/>
          <w:szCs w:val="21"/>
        </w:rPr>
        <w:t>磋商</w:t>
      </w:r>
      <w:r>
        <w:rPr>
          <w:rFonts w:hint="eastAsia"/>
          <w:szCs w:val="21"/>
        </w:rPr>
        <w:t>文件的忽略或误解不能作为响应文件存在缺陷或瑕疵的理由，其风险由供应商承担。</w:t>
      </w:r>
    </w:p>
    <w:p w14:paraId="4C405F33">
      <w:pPr>
        <w:adjustRightInd w:val="0"/>
        <w:snapToGrid w:val="0"/>
        <w:spacing w:before="120" w:beforeLines="50"/>
        <w:ind w:firstLine="0" w:firstLineChars="0"/>
        <w:jc w:val="left"/>
        <w:outlineLvl w:val="3"/>
        <w:rPr>
          <w:b/>
          <w:bCs/>
          <w:sz w:val="24"/>
        </w:rPr>
      </w:pPr>
      <w:r>
        <w:rPr>
          <w:rFonts w:hint="eastAsia"/>
          <w:b/>
          <w:bCs/>
          <w:sz w:val="24"/>
        </w:rPr>
        <w:t>11.磋商文件的提供期限</w:t>
      </w:r>
    </w:p>
    <w:p w14:paraId="0EB9BA17">
      <w:pPr>
        <w:adjustRightInd w:val="0"/>
        <w:snapToGrid w:val="0"/>
        <w:spacing w:before="120" w:beforeLines="50"/>
        <w:jc w:val="left"/>
        <w:rPr>
          <w:szCs w:val="21"/>
        </w:rPr>
      </w:pPr>
      <w:r>
        <w:rPr>
          <w:rFonts w:hint="eastAsia"/>
          <w:szCs w:val="21"/>
        </w:rPr>
        <w:t>11.1磋商文件的提供期限自开始发出之日起不得少于五个工作日。具体提供期限见</w:t>
      </w:r>
      <w:r>
        <w:rPr>
          <w:rFonts w:hint="eastAsia"/>
          <w:b/>
          <w:szCs w:val="21"/>
        </w:rPr>
        <w:t>磋商文件前附表</w:t>
      </w:r>
      <w:r>
        <w:rPr>
          <w:rFonts w:hint="eastAsia"/>
          <w:szCs w:val="21"/>
        </w:rPr>
        <w:t>。</w:t>
      </w:r>
    </w:p>
    <w:p w14:paraId="6DE6AD23">
      <w:pPr>
        <w:adjustRightInd w:val="0"/>
        <w:snapToGrid w:val="0"/>
        <w:spacing w:before="120" w:beforeLines="50"/>
        <w:jc w:val="left"/>
        <w:rPr>
          <w:szCs w:val="21"/>
        </w:rPr>
      </w:pPr>
      <w:r>
        <w:rPr>
          <w:rFonts w:hint="eastAsia"/>
          <w:szCs w:val="21"/>
        </w:rPr>
        <w:t>11.2供应商应持</w:t>
      </w:r>
      <w:r>
        <w:rPr>
          <w:rFonts w:hint="eastAsia"/>
          <w:b/>
          <w:szCs w:val="21"/>
        </w:rPr>
        <w:t>磋商文件前附表</w:t>
      </w:r>
      <w:r>
        <w:rPr>
          <w:rFonts w:hint="eastAsia"/>
          <w:szCs w:val="21"/>
        </w:rPr>
        <w:t>规定的资料领取或购买磋商文件。</w:t>
      </w:r>
    </w:p>
    <w:p w14:paraId="447B0A76">
      <w:pPr>
        <w:adjustRightInd w:val="0"/>
        <w:snapToGrid w:val="0"/>
        <w:spacing w:before="120" w:beforeLines="50"/>
        <w:ind w:firstLine="0" w:firstLineChars="0"/>
        <w:jc w:val="left"/>
        <w:outlineLvl w:val="3"/>
        <w:rPr>
          <w:b/>
          <w:bCs/>
          <w:sz w:val="24"/>
        </w:rPr>
      </w:pPr>
      <w:r>
        <w:rPr>
          <w:rFonts w:hint="eastAsia"/>
          <w:b/>
          <w:bCs/>
          <w:sz w:val="24"/>
        </w:rPr>
        <w:t>12.提交首次响应文件的截止时间</w:t>
      </w:r>
    </w:p>
    <w:p w14:paraId="098B4571">
      <w:pPr>
        <w:pStyle w:val="22"/>
        <w:adjustRightInd w:val="0"/>
        <w:snapToGrid w:val="0"/>
        <w:spacing w:before="120" w:beforeLines="50"/>
        <w:jc w:val="left"/>
        <w:rPr>
          <w:rFonts w:hAnsi="宋体" w:cs="宋体"/>
        </w:rPr>
      </w:pPr>
      <w:r>
        <w:rPr>
          <w:rFonts w:hint="eastAsia" w:hAnsi="宋体" w:cs="宋体"/>
        </w:rPr>
        <w:t>12.1</w:t>
      </w:r>
      <w:r>
        <w:rPr>
          <w:rFonts w:hint="eastAsia" w:hAnsi="宋体" w:cs="宋体"/>
          <w:kern w:val="0"/>
        </w:rPr>
        <w:t>供应商提交首次响应文件截止</w:t>
      </w:r>
      <w:r>
        <w:rPr>
          <w:rFonts w:hint="eastAsia" w:hAnsi="宋体" w:cs="宋体"/>
        </w:rPr>
        <w:t>时间见</w:t>
      </w:r>
      <w:r>
        <w:rPr>
          <w:rFonts w:hint="eastAsia" w:hAnsi="宋体" w:cs="宋体"/>
          <w:b/>
        </w:rPr>
        <w:t>磋商须知前附表</w:t>
      </w:r>
      <w:r>
        <w:rPr>
          <w:rFonts w:hint="eastAsia" w:hAnsi="宋体" w:cs="宋体"/>
        </w:rPr>
        <w:t>。</w:t>
      </w:r>
    </w:p>
    <w:p w14:paraId="16CCA6F4">
      <w:pPr>
        <w:adjustRightInd w:val="0"/>
        <w:snapToGrid w:val="0"/>
        <w:spacing w:before="120" w:beforeLines="50"/>
        <w:ind w:firstLine="0" w:firstLineChars="0"/>
        <w:jc w:val="left"/>
        <w:outlineLvl w:val="3"/>
        <w:rPr>
          <w:b/>
          <w:bCs/>
          <w:sz w:val="24"/>
        </w:rPr>
      </w:pPr>
      <w:r>
        <w:rPr>
          <w:rFonts w:hint="eastAsia"/>
          <w:b/>
          <w:bCs/>
          <w:sz w:val="24"/>
        </w:rPr>
        <w:t>13.磋商文件的澄清</w:t>
      </w:r>
      <w:r>
        <w:rPr>
          <w:rFonts w:hint="eastAsia"/>
          <w:b/>
          <w:bCs/>
          <w:sz w:val="24"/>
          <w:lang w:val="zh-CN"/>
        </w:rPr>
        <w:t>或者</w:t>
      </w:r>
      <w:r>
        <w:rPr>
          <w:rFonts w:hint="eastAsia"/>
          <w:b/>
          <w:bCs/>
          <w:sz w:val="24"/>
        </w:rPr>
        <w:t>修改</w:t>
      </w:r>
    </w:p>
    <w:p w14:paraId="0B746E05">
      <w:pPr>
        <w:adjustRightInd w:val="0"/>
        <w:snapToGrid w:val="0"/>
        <w:spacing w:before="120" w:beforeLines="50"/>
        <w:jc w:val="left"/>
        <w:rPr>
          <w:kern w:val="0"/>
          <w:szCs w:val="21"/>
        </w:rPr>
      </w:pPr>
      <w:r>
        <w:rPr>
          <w:rFonts w:hint="eastAsia"/>
          <w:szCs w:val="21"/>
        </w:rPr>
        <w:t>13.1在</w:t>
      </w:r>
      <w:r>
        <w:rPr>
          <w:rFonts w:hint="eastAsia"/>
          <w:kern w:val="0"/>
          <w:szCs w:val="21"/>
        </w:rPr>
        <w:t>提交首次响应文件截止之日前，采购人、采购代理机构可以对已发出的磋商文件进行必要的澄清或者修改。</w:t>
      </w:r>
    </w:p>
    <w:p w14:paraId="7CA54A00">
      <w:pPr>
        <w:adjustRightInd w:val="0"/>
        <w:snapToGrid w:val="0"/>
        <w:spacing w:before="120" w:beforeLines="50"/>
        <w:jc w:val="left"/>
        <w:rPr>
          <w:kern w:val="0"/>
          <w:szCs w:val="21"/>
        </w:rPr>
      </w:pPr>
      <w:r>
        <w:rPr>
          <w:rFonts w:hint="eastAsia"/>
          <w:szCs w:val="21"/>
        </w:rPr>
        <w:t>13.2</w:t>
      </w:r>
      <w:r>
        <w:rPr>
          <w:rFonts w:hint="eastAsia"/>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57D31226">
      <w:pPr>
        <w:pStyle w:val="22"/>
        <w:adjustRightInd w:val="0"/>
        <w:snapToGrid w:val="0"/>
        <w:spacing w:before="120" w:beforeLines="50"/>
        <w:jc w:val="left"/>
        <w:rPr>
          <w:rFonts w:hAnsi="宋体" w:cs="宋体"/>
        </w:rPr>
      </w:pPr>
      <w:r>
        <w:rPr>
          <w:rFonts w:hint="eastAsia" w:hAnsi="宋体" w:cs="宋体"/>
        </w:rPr>
        <w:t>13.2</w:t>
      </w:r>
      <w:r>
        <w:rPr>
          <w:rFonts w:hint="eastAsia" w:hAnsi="宋体" w:cs="宋体"/>
          <w:kern w:val="0"/>
        </w:rPr>
        <w:t>提交首次响应文件截止时间前对磋商文件澄清或者修改内容，为磋商文件的组成部分。</w:t>
      </w:r>
    </w:p>
    <w:p w14:paraId="01B47A18">
      <w:pPr>
        <w:adjustRightInd w:val="0"/>
        <w:snapToGrid w:val="0"/>
        <w:spacing w:before="120" w:beforeLines="50"/>
        <w:ind w:firstLine="0" w:firstLineChars="0"/>
        <w:jc w:val="center"/>
        <w:outlineLvl w:val="2"/>
        <w:rPr>
          <w:rFonts w:ascii="Times New Roman" w:hAnsi="Times New Roman" w:eastAsia="黑体" w:cs="Times New Roman"/>
          <w:bCs/>
          <w:sz w:val="28"/>
          <w:szCs w:val="28"/>
        </w:rPr>
      </w:pPr>
      <w:bookmarkStart w:id="107" w:name="_Toc5264"/>
      <w:bookmarkStart w:id="108" w:name="_Toc15921"/>
      <w:bookmarkStart w:id="109" w:name="_Toc25739"/>
      <w:bookmarkStart w:id="110" w:name="_Toc25292"/>
      <w:r>
        <w:rPr>
          <w:rFonts w:ascii="Times New Roman" w:hAnsi="Times New Roman" w:eastAsia="黑体" w:cs="Times New Roman"/>
          <w:bCs/>
          <w:sz w:val="28"/>
          <w:szCs w:val="28"/>
        </w:rPr>
        <w:t>三、响应文件</w:t>
      </w:r>
      <w:bookmarkEnd w:id="107"/>
      <w:bookmarkEnd w:id="108"/>
      <w:bookmarkEnd w:id="109"/>
      <w:bookmarkEnd w:id="110"/>
    </w:p>
    <w:p w14:paraId="5F2180EA">
      <w:pPr>
        <w:adjustRightInd w:val="0"/>
        <w:snapToGrid w:val="0"/>
        <w:spacing w:before="120" w:beforeLines="50"/>
        <w:ind w:firstLine="0" w:firstLineChars="0"/>
        <w:jc w:val="left"/>
        <w:outlineLvl w:val="3"/>
        <w:rPr>
          <w:b/>
          <w:bCs/>
          <w:sz w:val="24"/>
        </w:rPr>
      </w:pPr>
      <w:r>
        <w:rPr>
          <w:rFonts w:hint="eastAsia"/>
          <w:b/>
          <w:bCs/>
          <w:sz w:val="24"/>
        </w:rPr>
        <w:t>14.一般要求</w:t>
      </w:r>
    </w:p>
    <w:p w14:paraId="3A92C5B9">
      <w:pPr>
        <w:adjustRightInd w:val="0"/>
        <w:snapToGrid w:val="0"/>
        <w:spacing w:before="120" w:beforeLines="50"/>
        <w:jc w:val="left"/>
        <w:rPr>
          <w:bCs/>
          <w:szCs w:val="21"/>
        </w:rPr>
      </w:pPr>
      <w:r>
        <w:rPr>
          <w:rFonts w:hint="eastAsia"/>
          <w:bCs/>
          <w:szCs w:val="21"/>
        </w:rPr>
        <w:t>14.1供应商应仔细阅读磋商文件的所有内容，按磋商文件的要求编制响应文件，并保证所提供的全部资料的真实性，以使其响应文件对磋商文件做出实质性的响应。</w:t>
      </w:r>
    </w:p>
    <w:p w14:paraId="5DB192FE">
      <w:pPr>
        <w:adjustRightInd w:val="0"/>
        <w:snapToGrid w:val="0"/>
        <w:spacing w:before="120" w:beforeLines="50"/>
        <w:jc w:val="left"/>
        <w:rPr>
          <w:bCs/>
          <w:szCs w:val="21"/>
        </w:rPr>
      </w:pPr>
      <w:r>
        <w:rPr>
          <w:rFonts w:hint="eastAsia"/>
          <w:bCs/>
          <w:szCs w:val="21"/>
        </w:rPr>
        <w:t>14.2</w:t>
      </w:r>
      <w:r>
        <w:rPr>
          <w:rFonts w:hint="eastAsia"/>
          <w:szCs w:val="21"/>
        </w:rPr>
        <w:t>供应商提交的响应文件及供应商与采购人或采购代理机构、磋商小组就有关磋商的所有来往函电均使用中文。供应商可以提交其它语言的资料，但应附中文注释，在有差异时以中文为准。</w:t>
      </w:r>
    </w:p>
    <w:p w14:paraId="2287C779">
      <w:pPr>
        <w:pStyle w:val="22"/>
        <w:adjustRightInd w:val="0"/>
        <w:snapToGrid w:val="0"/>
        <w:spacing w:before="120" w:beforeLines="50"/>
        <w:jc w:val="left"/>
        <w:rPr>
          <w:rFonts w:hAnsi="宋体" w:cs="宋体"/>
        </w:rPr>
      </w:pPr>
      <w:r>
        <w:rPr>
          <w:rFonts w:hint="eastAsia" w:hAnsi="宋体" w:cs="宋体"/>
          <w:bCs/>
        </w:rPr>
        <w:t>14.3</w:t>
      </w:r>
      <w:r>
        <w:rPr>
          <w:rFonts w:hint="eastAsia" w:hAnsi="宋体" w:cs="宋体"/>
        </w:rPr>
        <w:t>计量单位应使用我国法定计量单位，未列明时应默认为我国法定计量单位。</w:t>
      </w:r>
    </w:p>
    <w:p w14:paraId="11EB271F">
      <w:pPr>
        <w:pStyle w:val="22"/>
        <w:adjustRightInd w:val="0"/>
        <w:snapToGrid w:val="0"/>
        <w:spacing w:before="120" w:beforeLines="50"/>
        <w:jc w:val="left"/>
        <w:rPr>
          <w:rFonts w:hAnsi="宋体" w:cs="宋体"/>
        </w:rPr>
      </w:pPr>
      <w:r>
        <w:rPr>
          <w:rFonts w:hint="eastAsia" w:hAnsi="宋体" w:cs="宋体"/>
        </w:rPr>
        <w:t>14.4响应文件应采用书面形式，电报、传真、电子邮件形式的响应文件概不接受。</w:t>
      </w:r>
    </w:p>
    <w:p w14:paraId="40A3DB0D">
      <w:pPr>
        <w:adjustRightInd w:val="0"/>
        <w:snapToGrid w:val="0"/>
        <w:spacing w:before="120" w:beforeLines="50"/>
        <w:jc w:val="left"/>
        <w:rPr>
          <w:szCs w:val="21"/>
        </w:rPr>
      </w:pPr>
      <w:r>
        <w:rPr>
          <w:rFonts w:hint="eastAsia"/>
          <w:szCs w:val="21"/>
        </w:rPr>
        <w:t>14.5供应商应按磋商文件中提供的响应文件格式填写。</w:t>
      </w:r>
    </w:p>
    <w:p w14:paraId="0CCF712F">
      <w:pPr>
        <w:adjustRightInd w:val="0"/>
        <w:snapToGrid w:val="0"/>
        <w:spacing w:before="120" w:beforeLines="50"/>
        <w:ind w:firstLine="0" w:firstLineChars="0"/>
        <w:jc w:val="left"/>
        <w:outlineLvl w:val="3"/>
        <w:rPr>
          <w:b/>
          <w:bCs/>
          <w:sz w:val="24"/>
        </w:rPr>
      </w:pPr>
      <w:r>
        <w:rPr>
          <w:rFonts w:hint="eastAsia"/>
          <w:b/>
          <w:bCs/>
          <w:sz w:val="24"/>
        </w:rPr>
        <w:t>15.响应文件的组成</w:t>
      </w:r>
    </w:p>
    <w:p w14:paraId="485E3120">
      <w:pPr>
        <w:adjustRightInd w:val="0"/>
        <w:snapToGrid w:val="0"/>
        <w:spacing w:before="120" w:beforeLines="50"/>
        <w:jc w:val="left"/>
        <w:rPr>
          <w:szCs w:val="21"/>
        </w:rPr>
      </w:pPr>
      <w:bookmarkStart w:id="111" w:name="_Toc18878"/>
      <w:r>
        <w:rPr>
          <w:rFonts w:hint="eastAsia"/>
        </w:rPr>
        <w:t>15.1响应文件包括下列内容：</w:t>
      </w:r>
      <w:bookmarkEnd w:id="111"/>
    </w:p>
    <w:p w14:paraId="39379D6A">
      <w:pPr>
        <w:pStyle w:val="22"/>
        <w:adjustRightInd w:val="0"/>
        <w:snapToGrid w:val="0"/>
        <w:spacing w:before="120" w:beforeLines="50"/>
        <w:jc w:val="left"/>
        <w:rPr>
          <w:rFonts w:hAnsi="宋体" w:cs="宋体"/>
        </w:rPr>
      </w:pPr>
      <w:r>
        <w:rPr>
          <w:rFonts w:hint="eastAsia" w:hAnsi="宋体" w:cs="宋体"/>
        </w:rPr>
        <w:t>（1）磋商响应声明</w:t>
      </w:r>
    </w:p>
    <w:p w14:paraId="262501BC">
      <w:pPr>
        <w:pStyle w:val="22"/>
        <w:adjustRightInd w:val="0"/>
        <w:snapToGrid w:val="0"/>
        <w:spacing w:before="120" w:beforeLines="50"/>
        <w:jc w:val="left"/>
        <w:rPr>
          <w:rFonts w:hAnsi="宋体" w:cs="宋体"/>
        </w:rPr>
      </w:pPr>
      <w:r>
        <w:rPr>
          <w:rFonts w:hint="eastAsia" w:hAnsi="宋体" w:cs="宋体"/>
        </w:rPr>
        <w:t>（2）保证金（不需要提供）</w:t>
      </w:r>
    </w:p>
    <w:p w14:paraId="7CA737F5">
      <w:pPr>
        <w:pStyle w:val="22"/>
        <w:adjustRightInd w:val="0"/>
        <w:snapToGrid w:val="0"/>
        <w:spacing w:before="120" w:beforeLines="50"/>
        <w:jc w:val="left"/>
        <w:rPr>
          <w:rFonts w:hAnsi="宋体" w:cs="宋体"/>
        </w:rPr>
      </w:pPr>
      <w:r>
        <w:rPr>
          <w:rFonts w:hint="eastAsia" w:hAnsi="宋体" w:cs="宋体"/>
        </w:rPr>
        <w:t>（3）供应商的资格证明文件</w:t>
      </w:r>
    </w:p>
    <w:p w14:paraId="14B4C85C">
      <w:pPr>
        <w:pStyle w:val="22"/>
        <w:adjustRightInd w:val="0"/>
        <w:snapToGrid w:val="0"/>
        <w:spacing w:before="120" w:beforeLines="50"/>
        <w:jc w:val="left"/>
        <w:rPr>
          <w:rFonts w:hAnsi="宋体" w:cs="宋体"/>
        </w:rPr>
      </w:pPr>
      <w:r>
        <w:rPr>
          <w:rFonts w:hint="eastAsia" w:hAnsi="宋体" w:cs="宋体"/>
        </w:rPr>
        <w:t>（4）货物说明或者施工组织设计或者服务方案(根据项目属性编制)</w:t>
      </w:r>
    </w:p>
    <w:p w14:paraId="3D261B5C">
      <w:pPr>
        <w:pStyle w:val="22"/>
        <w:adjustRightInd w:val="0"/>
        <w:snapToGrid w:val="0"/>
        <w:spacing w:before="120" w:beforeLines="50"/>
        <w:jc w:val="left"/>
        <w:rPr>
          <w:rFonts w:hAnsi="宋体" w:cs="宋体"/>
        </w:rPr>
      </w:pPr>
      <w:r>
        <w:rPr>
          <w:rFonts w:hint="eastAsia" w:hAnsi="宋体" w:cs="宋体"/>
        </w:rPr>
        <w:t>（5）技术/商务响应与偏离表</w:t>
      </w:r>
    </w:p>
    <w:p w14:paraId="52288741">
      <w:pPr>
        <w:pStyle w:val="22"/>
        <w:adjustRightInd w:val="0"/>
        <w:snapToGrid w:val="0"/>
        <w:spacing w:before="120" w:beforeLines="50"/>
        <w:jc w:val="left"/>
        <w:rPr>
          <w:rFonts w:hAnsi="宋体" w:cs="宋体"/>
        </w:rPr>
      </w:pPr>
      <w:r>
        <w:rPr>
          <w:rFonts w:hint="eastAsia" w:hAnsi="宋体" w:cs="宋体"/>
        </w:rPr>
        <w:t>（6）提供享受政府采购政策的证明材料和清单表</w:t>
      </w:r>
    </w:p>
    <w:p w14:paraId="695E0EF7">
      <w:pPr>
        <w:pStyle w:val="22"/>
        <w:adjustRightInd w:val="0"/>
        <w:snapToGrid w:val="0"/>
        <w:spacing w:before="120" w:beforeLines="50"/>
        <w:jc w:val="left"/>
        <w:rPr>
          <w:rFonts w:hAnsi="宋体" w:cs="宋体"/>
        </w:rPr>
      </w:pPr>
      <w:r>
        <w:rPr>
          <w:rFonts w:hint="eastAsia" w:hAnsi="宋体" w:cs="宋体"/>
        </w:rPr>
        <w:t>（7）报价一览表及报价文件，以及规定格式的首次报价的报价一览表及报价文件的电子文件</w:t>
      </w:r>
    </w:p>
    <w:p w14:paraId="34988672">
      <w:pPr>
        <w:pStyle w:val="22"/>
        <w:adjustRightInd w:val="0"/>
        <w:snapToGrid w:val="0"/>
        <w:spacing w:before="120" w:beforeLines="50"/>
        <w:jc w:val="left"/>
        <w:rPr>
          <w:rFonts w:hAnsi="宋体" w:cs="宋体"/>
        </w:rPr>
      </w:pPr>
      <w:r>
        <w:rPr>
          <w:rFonts w:hint="eastAsia" w:hAnsi="宋体" w:cs="宋体"/>
        </w:rPr>
        <w:t>（8）供应商认为需提供的其他资料</w:t>
      </w:r>
    </w:p>
    <w:p w14:paraId="31CE68C3">
      <w:pPr>
        <w:adjustRightInd w:val="0"/>
        <w:snapToGrid w:val="0"/>
        <w:spacing w:before="120" w:beforeLines="50"/>
        <w:jc w:val="left"/>
      </w:pPr>
      <w:r>
        <w:rPr>
          <w:rFonts w:hint="eastAsia"/>
        </w:rPr>
        <w:t>15.2在磋商过程中，</w:t>
      </w:r>
      <w:r>
        <w:rPr>
          <w:rFonts w:hint="eastAsia"/>
          <w:szCs w:val="21"/>
        </w:rPr>
        <w:t>供应商</w:t>
      </w:r>
      <w:r>
        <w:rPr>
          <w:rFonts w:hint="eastAsia"/>
        </w:rPr>
        <w:t>根据</w:t>
      </w:r>
      <w:r>
        <w:rPr>
          <w:rFonts w:hint="eastAsia"/>
          <w:kern w:val="0"/>
          <w:szCs w:val="21"/>
        </w:rPr>
        <w:t>磋商小组</w:t>
      </w:r>
      <w:r>
        <w:rPr>
          <w:rFonts w:hint="eastAsia"/>
          <w:bCs/>
          <w:szCs w:val="21"/>
        </w:rPr>
        <w:t>书面形式要求</w:t>
      </w:r>
      <w:r>
        <w:rPr>
          <w:rFonts w:hint="eastAsia"/>
          <w:kern w:val="0"/>
          <w:szCs w:val="21"/>
        </w:rPr>
        <w:t>提交的</w:t>
      </w:r>
      <w:r>
        <w:rPr>
          <w:rFonts w:hint="eastAsia"/>
        </w:rPr>
        <w:t>最后报价(或者</w:t>
      </w:r>
      <w:r>
        <w:rPr>
          <w:rFonts w:hint="eastAsia"/>
          <w:bCs/>
          <w:szCs w:val="21"/>
        </w:rPr>
        <w:t>重</w:t>
      </w:r>
      <w:r>
        <w:rPr>
          <w:rFonts w:hint="eastAsia"/>
          <w:kern w:val="0"/>
          <w:szCs w:val="21"/>
        </w:rPr>
        <w:t>新提交的响应文件和</w:t>
      </w:r>
      <w:r>
        <w:rPr>
          <w:rFonts w:hint="eastAsia"/>
        </w:rPr>
        <w:t>最后报价)是</w:t>
      </w:r>
      <w:r>
        <w:rPr>
          <w:rFonts w:hint="eastAsia"/>
          <w:szCs w:val="21"/>
        </w:rPr>
        <w:t>响应文件</w:t>
      </w:r>
      <w:r>
        <w:rPr>
          <w:rFonts w:hint="eastAsia"/>
        </w:rPr>
        <w:t>的有效组成部分。</w:t>
      </w:r>
    </w:p>
    <w:p w14:paraId="089C71D4">
      <w:pPr>
        <w:adjustRightInd w:val="0"/>
        <w:snapToGrid w:val="0"/>
        <w:spacing w:before="120" w:beforeLines="50"/>
        <w:jc w:val="left"/>
        <w:rPr>
          <w:b/>
        </w:rPr>
      </w:pPr>
      <w:r>
        <w:rPr>
          <w:rFonts w:hint="eastAsia"/>
        </w:rPr>
        <w:t>15.3</w:t>
      </w:r>
      <w:r>
        <w:rPr>
          <w:rFonts w:hint="eastAsia"/>
          <w:kern w:val="0"/>
          <w:szCs w:val="21"/>
        </w:rPr>
        <w:t>磋商文件规定可能发生实质性变动的，供应商应当在</w:t>
      </w:r>
      <w:r>
        <w:rPr>
          <w:rFonts w:hint="eastAsia"/>
        </w:rPr>
        <w:t>《技术/商务响应与偏离表》中对应内容注明。</w:t>
      </w:r>
    </w:p>
    <w:p w14:paraId="0A29C58B">
      <w:pPr>
        <w:adjustRightInd w:val="0"/>
        <w:snapToGrid w:val="0"/>
        <w:spacing w:before="120" w:beforeLines="50"/>
        <w:jc w:val="left"/>
        <w:rPr>
          <w:szCs w:val="21"/>
        </w:rPr>
      </w:pPr>
      <w:r>
        <w:rPr>
          <w:rFonts w:hint="eastAsia"/>
        </w:rPr>
        <w:t>15.4</w:t>
      </w:r>
      <w:r>
        <w:rPr>
          <w:rFonts w:hint="eastAsia"/>
          <w:szCs w:val="21"/>
        </w:rPr>
        <w:t>根据《政府采购法》第四十二条的规定，供应商无论成交与否，其响应文件不予退还。</w:t>
      </w:r>
    </w:p>
    <w:p w14:paraId="616C010F">
      <w:pPr>
        <w:adjustRightInd w:val="0"/>
        <w:snapToGrid w:val="0"/>
        <w:spacing w:before="120" w:beforeLines="50"/>
        <w:ind w:firstLine="0" w:firstLineChars="0"/>
        <w:jc w:val="left"/>
        <w:outlineLvl w:val="3"/>
        <w:rPr>
          <w:b/>
          <w:bCs/>
          <w:sz w:val="24"/>
        </w:rPr>
      </w:pPr>
      <w:r>
        <w:rPr>
          <w:rFonts w:hint="eastAsia"/>
          <w:b/>
          <w:bCs/>
          <w:sz w:val="24"/>
        </w:rPr>
        <w:t>16.报价</w:t>
      </w:r>
    </w:p>
    <w:p w14:paraId="32FDD3D9">
      <w:pPr>
        <w:adjustRightInd w:val="0"/>
        <w:snapToGrid w:val="0"/>
        <w:spacing w:before="120" w:beforeLines="50"/>
        <w:jc w:val="left"/>
        <w:rPr>
          <w:szCs w:val="21"/>
        </w:rPr>
      </w:pPr>
      <w:r>
        <w:rPr>
          <w:rFonts w:hint="eastAsia"/>
          <w:szCs w:val="21"/>
        </w:rPr>
        <w:t>16.1供应商应当根据磋商文件要求和范围，以</w:t>
      </w:r>
      <w:r>
        <w:rPr>
          <w:rFonts w:hint="eastAsia"/>
          <w:bCs/>
          <w:szCs w:val="21"/>
        </w:rPr>
        <w:t>人民币</w:t>
      </w:r>
      <w:r>
        <w:rPr>
          <w:rFonts w:hint="eastAsia"/>
          <w:szCs w:val="21"/>
        </w:rPr>
        <w:t>报价，以元为单位，保留小数点后两位。</w:t>
      </w:r>
    </w:p>
    <w:p w14:paraId="74BF5569">
      <w:pPr>
        <w:pStyle w:val="140"/>
        <w:adjustRightInd w:val="0"/>
        <w:snapToGrid w:val="0"/>
        <w:spacing w:before="120" w:beforeLines="50"/>
        <w:jc w:val="left"/>
      </w:pPr>
      <w:r>
        <w:rPr>
          <w:rFonts w:hint="eastAsia"/>
        </w:rPr>
        <w:t>16.2供应商应按第五章响应文件组成格式填写。</w:t>
      </w:r>
    </w:p>
    <w:p w14:paraId="027CA1D0">
      <w:pPr>
        <w:pStyle w:val="22"/>
        <w:adjustRightInd w:val="0"/>
        <w:snapToGrid w:val="0"/>
        <w:spacing w:before="120" w:beforeLines="50"/>
        <w:jc w:val="left"/>
        <w:rPr>
          <w:rFonts w:hAnsi="宋体" w:cs="宋体"/>
        </w:rPr>
      </w:pPr>
      <w:r>
        <w:rPr>
          <w:rFonts w:hint="eastAsia" w:hAnsi="宋体" w:cs="宋体"/>
        </w:rPr>
        <w:t>16.3响应文件中标明的价格在合同执行过程中是固定不变的，不得以任何理由予以变更。以可变动价格提交的报价将被认为是非实质响应而被拒绝。</w:t>
      </w:r>
    </w:p>
    <w:p w14:paraId="6D4100E0">
      <w:pPr>
        <w:pStyle w:val="22"/>
        <w:adjustRightInd w:val="0"/>
        <w:snapToGrid w:val="0"/>
        <w:spacing w:before="120" w:beforeLines="50"/>
        <w:jc w:val="left"/>
        <w:rPr>
          <w:rFonts w:hAnsi="宋体" w:cs="宋体"/>
        </w:rPr>
      </w:pPr>
      <w:r>
        <w:rPr>
          <w:rFonts w:hint="eastAsia" w:hAnsi="宋体" w:cs="宋体"/>
        </w:rPr>
        <w:t>16.4</w:t>
      </w:r>
      <w:r>
        <w:rPr>
          <w:rFonts w:hint="eastAsia" w:hAnsi="宋体" w:cs="宋体"/>
          <w:kern w:val="0"/>
          <w:lang w:val="zh-CN"/>
        </w:rPr>
        <w:t>供应商</w:t>
      </w:r>
      <w:r>
        <w:rPr>
          <w:rFonts w:hint="eastAsia" w:hAnsi="宋体" w:cs="宋体"/>
        </w:rPr>
        <w:t>的报价不得超过采购项目预算，采购项目预算或其计算方法见</w:t>
      </w:r>
      <w:r>
        <w:rPr>
          <w:rFonts w:hint="eastAsia" w:hAnsi="宋体" w:cs="宋体"/>
          <w:b/>
        </w:rPr>
        <w:t>磋商须知前附表</w:t>
      </w:r>
      <w:r>
        <w:rPr>
          <w:rFonts w:hint="eastAsia" w:hAnsi="宋体" w:cs="宋体"/>
        </w:rPr>
        <w:t>。</w:t>
      </w:r>
    </w:p>
    <w:p w14:paraId="2E5D9F38">
      <w:pPr>
        <w:adjustRightInd w:val="0"/>
        <w:snapToGrid w:val="0"/>
        <w:spacing w:before="120" w:beforeLines="50"/>
        <w:ind w:firstLine="482"/>
        <w:jc w:val="left"/>
        <w:outlineLvl w:val="3"/>
        <w:rPr>
          <w:b/>
          <w:bCs/>
          <w:sz w:val="24"/>
        </w:rPr>
      </w:pPr>
      <w:r>
        <w:rPr>
          <w:rFonts w:hint="eastAsia"/>
          <w:b/>
          <w:bCs/>
          <w:sz w:val="24"/>
        </w:rPr>
        <w:t>17.供应商符合磋商文件规定的证明文件</w:t>
      </w:r>
    </w:p>
    <w:p w14:paraId="4E14F87C">
      <w:pPr>
        <w:adjustRightInd w:val="0"/>
        <w:snapToGrid w:val="0"/>
        <w:spacing w:before="120" w:beforeLines="50"/>
        <w:jc w:val="left"/>
      </w:pPr>
      <w:r>
        <w:rPr>
          <w:rFonts w:hint="eastAsia"/>
        </w:rPr>
        <w:t>17.1供应商应提交满足本章第3.1款规定的资格条件要求的证明文件,该证明文件作为响应文件的一部分。</w:t>
      </w:r>
    </w:p>
    <w:p w14:paraId="13DA75EF">
      <w:pPr>
        <w:adjustRightInd w:val="0"/>
        <w:snapToGrid w:val="0"/>
        <w:spacing w:before="120" w:beforeLines="50"/>
        <w:jc w:val="left"/>
      </w:pPr>
      <w:r>
        <w:rPr>
          <w:rFonts w:hint="eastAsia"/>
        </w:rPr>
        <w:t>17.2如果供应商为联合体，则应提交联合体各方资格证明文件、联合体协议。否则，在评审时将其视为无效响应。</w:t>
      </w:r>
    </w:p>
    <w:p w14:paraId="0E8FC8FE">
      <w:pPr>
        <w:adjustRightInd w:val="0"/>
        <w:snapToGrid w:val="0"/>
        <w:spacing w:before="120" w:beforeLines="50"/>
        <w:jc w:val="left"/>
        <w:rPr>
          <w:szCs w:val="21"/>
        </w:rPr>
      </w:pPr>
      <w:r>
        <w:rPr>
          <w:rFonts w:hint="eastAsia"/>
          <w:szCs w:val="21"/>
        </w:rPr>
        <w:t>17.3除</w:t>
      </w:r>
      <w:r>
        <w:rPr>
          <w:rFonts w:hint="eastAsia"/>
          <w:b/>
          <w:szCs w:val="21"/>
        </w:rPr>
        <w:t>磋商须知前附表</w:t>
      </w:r>
      <w:r>
        <w:rPr>
          <w:rFonts w:hint="eastAsia"/>
          <w:szCs w:val="21"/>
        </w:rPr>
        <w:t>另有规定外，供应商提供的货物及服务不是供应商制造或拥有的，则必须提供经销、或代理采购货物、或采购货物提供售后服务的证明文件。</w:t>
      </w:r>
    </w:p>
    <w:p w14:paraId="4F48222C">
      <w:pPr>
        <w:adjustRightInd w:val="0"/>
        <w:snapToGrid w:val="0"/>
        <w:spacing w:before="120" w:beforeLines="50"/>
        <w:ind w:firstLine="0" w:firstLineChars="0"/>
        <w:outlineLvl w:val="3"/>
        <w:rPr>
          <w:b/>
          <w:bCs/>
          <w:sz w:val="24"/>
        </w:rPr>
      </w:pPr>
      <w:r>
        <w:rPr>
          <w:rFonts w:hint="eastAsia"/>
          <w:b/>
          <w:bCs/>
          <w:sz w:val="24"/>
        </w:rPr>
        <w:t>18．样品提供</w:t>
      </w:r>
    </w:p>
    <w:p w14:paraId="79CF84E6">
      <w:pPr>
        <w:adjustRightInd w:val="0"/>
        <w:snapToGrid w:val="0"/>
        <w:spacing w:before="120" w:beforeLines="50"/>
        <w:jc w:val="left"/>
        <w:rPr>
          <w:szCs w:val="21"/>
        </w:rPr>
      </w:pPr>
      <w:r>
        <w:rPr>
          <w:rFonts w:hint="eastAsia"/>
          <w:szCs w:val="21"/>
        </w:rPr>
        <w:t>18.1</w:t>
      </w:r>
      <w:r>
        <w:rPr>
          <w:rFonts w:hint="eastAsia"/>
          <w:b/>
        </w:rPr>
        <w:t>磋商须知前附表</w:t>
      </w:r>
      <w:r>
        <w:rPr>
          <w:rFonts w:hint="eastAsia"/>
          <w:szCs w:val="21"/>
        </w:rPr>
        <w:t>规定</w:t>
      </w:r>
      <w:r>
        <w:rPr>
          <w:rFonts w:hint="eastAsia"/>
          <w:bCs/>
        </w:rPr>
        <w:t>供应商</w:t>
      </w:r>
      <w:r>
        <w:rPr>
          <w:rFonts w:hint="eastAsia"/>
          <w:szCs w:val="21"/>
        </w:rPr>
        <w:t>在</w:t>
      </w:r>
      <w:r>
        <w:rPr>
          <w:rFonts w:hint="eastAsia"/>
        </w:rPr>
        <w:t>磋商</w:t>
      </w:r>
      <w:r>
        <w:rPr>
          <w:rFonts w:hint="eastAsia"/>
          <w:szCs w:val="21"/>
        </w:rPr>
        <w:t>时提供样品的，</w:t>
      </w:r>
      <w:r>
        <w:rPr>
          <w:rFonts w:hint="eastAsia"/>
          <w:bCs/>
        </w:rPr>
        <w:t>供应商</w:t>
      </w:r>
      <w:r>
        <w:rPr>
          <w:rFonts w:hint="eastAsia"/>
          <w:szCs w:val="21"/>
        </w:rPr>
        <w:t>有以下情形之一的，在评审时将其视为无效响应。</w:t>
      </w:r>
    </w:p>
    <w:p w14:paraId="50CE33EE">
      <w:pPr>
        <w:adjustRightInd w:val="0"/>
        <w:snapToGrid w:val="0"/>
        <w:spacing w:before="120" w:beforeLines="50"/>
        <w:jc w:val="left"/>
        <w:rPr>
          <w:szCs w:val="21"/>
        </w:rPr>
      </w:pPr>
      <w:r>
        <w:rPr>
          <w:rFonts w:hint="eastAsia"/>
          <w:szCs w:val="21"/>
        </w:rPr>
        <w:t>（1）未在</w:t>
      </w:r>
      <w:r>
        <w:rPr>
          <w:rFonts w:hint="eastAsia"/>
          <w:b/>
        </w:rPr>
        <w:t>磋商须知前附表</w:t>
      </w:r>
      <w:r>
        <w:rPr>
          <w:rFonts w:hint="eastAsia"/>
          <w:szCs w:val="21"/>
        </w:rPr>
        <w:t>规定的提交时间、地点提交的；</w:t>
      </w:r>
    </w:p>
    <w:p w14:paraId="0AE051A9">
      <w:pPr>
        <w:adjustRightInd w:val="0"/>
        <w:snapToGrid w:val="0"/>
        <w:spacing w:before="120" w:beforeLines="50"/>
        <w:jc w:val="left"/>
        <w:rPr>
          <w:szCs w:val="21"/>
        </w:rPr>
      </w:pPr>
      <w:r>
        <w:rPr>
          <w:rFonts w:hint="eastAsia"/>
          <w:szCs w:val="21"/>
        </w:rPr>
        <w:t>（2）</w:t>
      </w:r>
      <w:r>
        <w:rPr>
          <w:rFonts w:hint="eastAsia"/>
          <w:bCs/>
        </w:rPr>
        <w:t>供应商</w:t>
      </w:r>
      <w:r>
        <w:rPr>
          <w:rFonts w:hint="eastAsia"/>
          <w:szCs w:val="21"/>
        </w:rPr>
        <w:t>提供的样品与响应文件中提供样品的型号、规格不一致的。</w:t>
      </w:r>
    </w:p>
    <w:p w14:paraId="4F466DBF">
      <w:pPr>
        <w:adjustRightInd w:val="0"/>
        <w:snapToGrid w:val="0"/>
        <w:spacing w:before="120" w:beforeLines="50"/>
        <w:ind w:firstLine="0" w:firstLineChars="0"/>
        <w:outlineLvl w:val="3"/>
        <w:rPr>
          <w:b/>
          <w:bCs/>
          <w:sz w:val="24"/>
        </w:rPr>
      </w:pPr>
      <w:r>
        <w:rPr>
          <w:rFonts w:hint="eastAsia"/>
          <w:b/>
          <w:bCs/>
          <w:sz w:val="24"/>
        </w:rPr>
        <w:t>19.磋商保证金</w:t>
      </w:r>
    </w:p>
    <w:p w14:paraId="4A3CC4CE">
      <w:pPr>
        <w:pStyle w:val="22"/>
        <w:adjustRightInd w:val="0"/>
        <w:snapToGrid w:val="0"/>
        <w:spacing w:before="120" w:beforeLines="50"/>
        <w:jc w:val="left"/>
        <w:rPr>
          <w:rFonts w:hAnsi="宋体" w:cs="宋体"/>
          <w:bCs/>
        </w:rPr>
      </w:pPr>
      <w:r>
        <w:rPr>
          <w:rFonts w:hint="eastAsia" w:hAnsi="宋体" w:cs="宋体"/>
        </w:rPr>
        <w:t>19.1</w:t>
      </w:r>
      <w:r>
        <w:rPr>
          <w:rFonts w:hint="eastAsia" w:hAnsi="宋体" w:cs="宋体"/>
          <w:b/>
        </w:rPr>
        <w:t>磋商须知前附表</w:t>
      </w:r>
      <w:r>
        <w:rPr>
          <w:rFonts w:hint="eastAsia" w:hAnsi="宋体" w:cs="宋体"/>
        </w:rPr>
        <w:t>规定交纳磋商</w:t>
      </w:r>
      <w:r>
        <w:rPr>
          <w:rFonts w:hint="eastAsia" w:hAnsi="宋体" w:cs="宋体"/>
          <w:bCs/>
        </w:rPr>
        <w:t>保证金的</w:t>
      </w:r>
      <w:r>
        <w:rPr>
          <w:rFonts w:hint="eastAsia" w:hAnsi="宋体" w:cs="宋体"/>
        </w:rPr>
        <w:t>，应按</w:t>
      </w:r>
      <w:r>
        <w:rPr>
          <w:rFonts w:hint="eastAsia" w:hAnsi="宋体" w:cs="宋体"/>
          <w:b/>
        </w:rPr>
        <w:t>磋商须知前附表</w:t>
      </w:r>
      <w:r>
        <w:rPr>
          <w:rFonts w:hint="eastAsia" w:hAnsi="宋体" w:cs="宋体"/>
        </w:rPr>
        <w:t>规定的磋商</w:t>
      </w:r>
      <w:r>
        <w:rPr>
          <w:rFonts w:hint="eastAsia" w:hAnsi="宋体" w:cs="宋体"/>
          <w:bCs/>
        </w:rPr>
        <w:t>保证金形式交纳，不得以现金方式交纳</w:t>
      </w:r>
      <w:r>
        <w:rPr>
          <w:rFonts w:hint="eastAsia" w:hAnsi="宋体" w:cs="宋体"/>
        </w:rPr>
        <w:t>，在</w:t>
      </w:r>
      <w:r>
        <w:rPr>
          <w:rFonts w:hint="eastAsia" w:hAnsi="宋体" w:cs="宋体"/>
          <w:kern w:val="0"/>
        </w:rPr>
        <w:t>提交首次响应文件截止时间</w:t>
      </w:r>
      <w:r>
        <w:rPr>
          <w:rFonts w:hint="eastAsia" w:hAnsi="宋体" w:cs="宋体"/>
        </w:rPr>
        <w:t>前，</w:t>
      </w:r>
      <w:r>
        <w:rPr>
          <w:rFonts w:hint="eastAsia" w:hAnsi="宋体" w:cs="宋体"/>
          <w:bCs/>
        </w:rPr>
        <w:t>向采购代理机构交纳不超过</w:t>
      </w:r>
      <w:r>
        <w:rPr>
          <w:rFonts w:hint="eastAsia" w:hAnsi="宋体" w:cs="宋体"/>
          <w:kern w:val="0"/>
          <w:lang w:val="zh-CN"/>
        </w:rPr>
        <w:t>采购项目预算2﹪</w:t>
      </w:r>
      <w:r>
        <w:rPr>
          <w:rFonts w:hint="eastAsia" w:hAnsi="宋体" w:cs="宋体"/>
          <w:bCs/>
        </w:rPr>
        <w:t>的磋商保证金(数额采用四舍五入，计算至元)</w:t>
      </w:r>
      <w:r>
        <w:rPr>
          <w:rFonts w:hint="eastAsia" w:hAnsi="宋体" w:cs="宋体"/>
        </w:rPr>
        <w:t>。磋商</w:t>
      </w:r>
      <w:r>
        <w:rPr>
          <w:rFonts w:hint="eastAsia" w:hAnsi="宋体" w:cs="宋体"/>
          <w:bCs/>
        </w:rPr>
        <w:t>保证金有效期应当与</w:t>
      </w:r>
      <w:r>
        <w:rPr>
          <w:rFonts w:hint="eastAsia" w:hAnsi="宋体" w:cs="宋体"/>
        </w:rPr>
        <w:t>本章第20.1</w:t>
      </w:r>
      <w:r>
        <w:rPr>
          <w:rFonts w:hint="eastAsia" w:hAnsi="宋体" w:cs="宋体"/>
          <w:kern w:val="0"/>
          <w:lang w:val="zh-CN"/>
        </w:rPr>
        <w:t>款</w:t>
      </w:r>
      <w:r>
        <w:rPr>
          <w:rFonts w:hint="eastAsia" w:hAnsi="宋体" w:cs="宋体"/>
        </w:rPr>
        <w:t>规定的</w:t>
      </w:r>
      <w:r>
        <w:rPr>
          <w:rFonts w:hint="eastAsia" w:hAnsi="宋体" w:cs="宋体"/>
          <w:bCs/>
        </w:rPr>
        <w:t>响应文件有效期一致。</w:t>
      </w:r>
    </w:p>
    <w:p w14:paraId="5BC9931E">
      <w:pPr>
        <w:adjustRightInd w:val="0"/>
        <w:snapToGrid w:val="0"/>
        <w:spacing w:before="120" w:beforeLines="50"/>
        <w:jc w:val="left"/>
        <w:rPr>
          <w:b/>
          <w:szCs w:val="21"/>
        </w:rPr>
      </w:pPr>
      <w:r>
        <w:rPr>
          <w:rFonts w:hint="eastAsia"/>
          <w:szCs w:val="21"/>
        </w:rPr>
        <w:t>19.2</w:t>
      </w:r>
      <w:r>
        <w:rPr>
          <w:rFonts w:hint="eastAsia"/>
          <w:kern w:val="0"/>
          <w:szCs w:val="21"/>
          <w:lang w:val="zh-CN"/>
        </w:rPr>
        <w:t>供应商为联合体的，可以由联合体中的一方或者共同交纳磋商保证金，其交纳的磋商保证金，对联合体各方均具有约束力。</w:t>
      </w:r>
    </w:p>
    <w:p w14:paraId="521E3658">
      <w:pPr>
        <w:pStyle w:val="22"/>
        <w:adjustRightInd w:val="0"/>
        <w:snapToGrid w:val="0"/>
        <w:spacing w:before="120" w:beforeLines="50"/>
        <w:jc w:val="left"/>
        <w:rPr>
          <w:rFonts w:hAnsi="宋体" w:cs="宋体"/>
        </w:rPr>
      </w:pPr>
      <w:r>
        <w:rPr>
          <w:rFonts w:hint="eastAsia" w:hAnsi="宋体" w:cs="宋体"/>
        </w:rPr>
        <w:t>19.3供应商未按照磋商文件要求提交磋商保证金的，响应无效。</w:t>
      </w:r>
    </w:p>
    <w:p w14:paraId="50069D8D">
      <w:pPr>
        <w:pStyle w:val="22"/>
        <w:tabs>
          <w:tab w:val="left" w:pos="6300"/>
        </w:tabs>
        <w:adjustRightInd w:val="0"/>
        <w:snapToGrid w:val="0"/>
        <w:spacing w:before="120" w:beforeLines="50"/>
        <w:jc w:val="left"/>
        <w:rPr>
          <w:rFonts w:hAnsi="宋体" w:cs="宋体"/>
        </w:rPr>
      </w:pPr>
      <w:r>
        <w:rPr>
          <w:rFonts w:hint="eastAsia" w:hAnsi="宋体" w:cs="宋体"/>
        </w:rPr>
        <w:t>19.4采购代理机构在成交通知书发出后5个工作日内退还未成交供应商的磋商保证金；在采购合同签定后5个工作日内退还成交供应商的磋商保证金，但因供应商自身原因导致无法及时退还的除外。</w:t>
      </w:r>
    </w:p>
    <w:p w14:paraId="66F278F1">
      <w:pPr>
        <w:pStyle w:val="22"/>
        <w:adjustRightInd w:val="0"/>
        <w:snapToGrid w:val="0"/>
        <w:spacing w:before="120" w:beforeLines="50"/>
        <w:jc w:val="left"/>
        <w:rPr>
          <w:rFonts w:hAnsi="宋体" w:cs="宋体"/>
          <w:kern w:val="0"/>
        </w:rPr>
      </w:pPr>
      <w:r>
        <w:rPr>
          <w:rFonts w:hint="eastAsia" w:hAnsi="宋体" w:cs="宋体"/>
        </w:rPr>
        <w:t>19.5</w:t>
      </w:r>
      <w:r>
        <w:rPr>
          <w:rFonts w:hint="eastAsia" w:hAnsi="宋体" w:cs="宋体"/>
          <w:kern w:val="0"/>
        </w:rPr>
        <w:t>有下列情形之一的，磋商保证金不予退还，并上缴本级财政国库：</w:t>
      </w:r>
    </w:p>
    <w:p w14:paraId="651D6058">
      <w:pPr>
        <w:widowControl/>
        <w:adjustRightInd w:val="0"/>
        <w:snapToGrid w:val="0"/>
        <w:spacing w:before="120" w:beforeLines="50"/>
        <w:jc w:val="left"/>
        <w:rPr>
          <w:kern w:val="0"/>
          <w:szCs w:val="21"/>
        </w:rPr>
      </w:pPr>
      <w:r>
        <w:rPr>
          <w:rFonts w:hint="eastAsia"/>
          <w:kern w:val="0"/>
          <w:szCs w:val="21"/>
        </w:rPr>
        <w:t>（1）供应商在提交首次响应文件截止时间后撤回响应文件的；</w:t>
      </w:r>
    </w:p>
    <w:p w14:paraId="3034AEE1">
      <w:pPr>
        <w:widowControl/>
        <w:adjustRightInd w:val="0"/>
        <w:snapToGrid w:val="0"/>
        <w:spacing w:before="120" w:beforeLines="50"/>
        <w:jc w:val="left"/>
        <w:rPr>
          <w:kern w:val="0"/>
        </w:rPr>
      </w:pPr>
      <w:r>
        <w:rPr>
          <w:rFonts w:hint="eastAsia"/>
          <w:kern w:val="0"/>
        </w:rPr>
        <w:t>（2）供应商在响应文件中提供虚假资料的；</w:t>
      </w:r>
    </w:p>
    <w:p w14:paraId="23F0D5E0">
      <w:pPr>
        <w:widowControl/>
        <w:adjustRightInd w:val="0"/>
        <w:snapToGrid w:val="0"/>
        <w:spacing w:before="120" w:beforeLines="50"/>
        <w:jc w:val="left"/>
        <w:rPr>
          <w:kern w:val="0"/>
          <w:szCs w:val="21"/>
        </w:rPr>
      </w:pPr>
      <w:r>
        <w:rPr>
          <w:rFonts w:hint="eastAsia"/>
          <w:kern w:val="0"/>
        </w:rPr>
        <w:t>（3）</w:t>
      </w:r>
      <w:r>
        <w:rPr>
          <w:rFonts w:hint="eastAsia"/>
        </w:rPr>
        <w:t>确定成交结果后，无正当理由放弃成交资格的；</w:t>
      </w:r>
    </w:p>
    <w:p w14:paraId="49EFE6C3">
      <w:pPr>
        <w:widowControl/>
        <w:adjustRightInd w:val="0"/>
        <w:snapToGrid w:val="0"/>
        <w:spacing w:before="120" w:beforeLines="50"/>
        <w:jc w:val="left"/>
        <w:rPr>
          <w:kern w:val="0"/>
        </w:rPr>
      </w:pPr>
      <w:r>
        <w:rPr>
          <w:rFonts w:hint="eastAsia"/>
          <w:kern w:val="0"/>
        </w:rPr>
        <w:t>（4）除因不可抗力或磋商文件认可的情形以外，成交供应商不与采购人签订合同的；</w:t>
      </w:r>
    </w:p>
    <w:p w14:paraId="6703039A">
      <w:pPr>
        <w:widowControl/>
        <w:adjustRightInd w:val="0"/>
        <w:snapToGrid w:val="0"/>
        <w:spacing w:before="120" w:beforeLines="50"/>
        <w:jc w:val="left"/>
        <w:rPr>
          <w:kern w:val="0"/>
          <w:szCs w:val="21"/>
        </w:rPr>
      </w:pPr>
      <w:r>
        <w:rPr>
          <w:rFonts w:hint="eastAsia"/>
          <w:kern w:val="0"/>
          <w:szCs w:val="21"/>
        </w:rPr>
        <w:t>（5）供应商与采购人、其他供应商或者采购代理机构恶意串通的；</w:t>
      </w:r>
    </w:p>
    <w:p w14:paraId="7884B380">
      <w:pPr>
        <w:widowControl/>
        <w:adjustRightInd w:val="0"/>
        <w:snapToGrid w:val="0"/>
        <w:spacing w:before="120" w:beforeLines="50"/>
        <w:jc w:val="left"/>
        <w:rPr>
          <w:kern w:val="0"/>
          <w:szCs w:val="21"/>
        </w:rPr>
      </w:pPr>
      <w:r>
        <w:rPr>
          <w:rFonts w:hint="eastAsia"/>
          <w:kern w:val="0"/>
          <w:szCs w:val="21"/>
        </w:rPr>
        <w:t>（6）磋商文件规定的其他情形。</w:t>
      </w:r>
    </w:p>
    <w:p w14:paraId="4B060B52">
      <w:pPr>
        <w:adjustRightInd w:val="0"/>
        <w:snapToGrid w:val="0"/>
        <w:spacing w:before="120" w:beforeLines="50"/>
        <w:ind w:firstLine="0" w:firstLineChars="0"/>
        <w:outlineLvl w:val="3"/>
        <w:rPr>
          <w:b/>
          <w:bCs/>
          <w:sz w:val="24"/>
        </w:rPr>
      </w:pPr>
      <w:r>
        <w:rPr>
          <w:rFonts w:hint="eastAsia"/>
          <w:b/>
          <w:bCs/>
          <w:sz w:val="24"/>
        </w:rPr>
        <w:t>20.响应文件有效期</w:t>
      </w:r>
    </w:p>
    <w:p w14:paraId="704C0202">
      <w:pPr>
        <w:adjustRightInd w:val="0"/>
        <w:snapToGrid w:val="0"/>
        <w:spacing w:before="120" w:beforeLines="50"/>
        <w:jc w:val="left"/>
      </w:pPr>
      <w:r>
        <w:rPr>
          <w:rFonts w:hint="eastAsia"/>
        </w:rPr>
        <w:t>20.1响应文件</w:t>
      </w:r>
      <w:r>
        <w:rPr>
          <w:rFonts w:hint="eastAsia"/>
          <w:szCs w:val="21"/>
        </w:rPr>
        <w:t>有效期见</w:t>
      </w:r>
      <w:r>
        <w:rPr>
          <w:rFonts w:hint="eastAsia"/>
          <w:b/>
        </w:rPr>
        <w:t>磋商须知前附表</w:t>
      </w:r>
      <w:r>
        <w:rPr>
          <w:rFonts w:hint="eastAsia"/>
          <w:szCs w:val="21"/>
        </w:rPr>
        <w:t>，在此期间</w:t>
      </w:r>
      <w:r>
        <w:rPr>
          <w:rFonts w:hint="eastAsia"/>
        </w:rPr>
        <w:t>响应</w:t>
      </w:r>
      <w:r>
        <w:rPr>
          <w:rFonts w:hint="eastAsia"/>
          <w:szCs w:val="21"/>
        </w:rPr>
        <w:t>文件对供应商具有法律约束力，</w:t>
      </w:r>
      <w:r>
        <w:rPr>
          <w:rFonts w:hint="eastAsia"/>
        </w:rPr>
        <w:t>从</w:t>
      </w:r>
      <w:r>
        <w:rPr>
          <w:rFonts w:hint="eastAsia"/>
          <w:kern w:val="0"/>
          <w:szCs w:val="21"/>
        </w:rPr>
        <w:t>提交首次响应文件截止时间</w:t>
      </w:r>
      <w:r>
        <w:rPr>
          <w:rFonts w:hint="eastAsia"/>
        </w:rPr>
        <w:t>之日起计算。响应文件有效期不足的将被视为</w:t>
      </w:r>
      <w:r>
        <w:rPr>
          <w:rFonts w:hint="eastAsia"/>
          <w:b/>
          <w:bCs/>
        </w:rPr>
        <w:t>无效响应</w:t>
      </w:r>
      <w:r>
        <w:rPr>
          <w:rFonts w:hint="eastAsia"/>
        </w:rPr>
        <w:t>。</w:t>
      </w:r>
    </w:p>
    <w:p w14:paraId="26C89E34">
      <w:pPr>
        <w:adjustRightInd w:val="0"/>
        <w:snapToGrid w:val="0"/>
        <w:spacing w:before="120" w:beforeLines="50"/>
        <w:ind w:firstLine="0" w:firstLineChars="0"/>
        <w:outlineLvl w:val="3"/>
        <w:rPr>
          <w:b/>
          <w:bCs/>
          <w:sz w:val="24"/>
        </w:rPr>
      </w:pPr>
      <w:r>
        <w:rPr>
          <w:rFonts w:hint="eastAsia"/>
          <w:b/>
          <w:bCs/>
          <w:sz w:val="24"/>
        </w:rPr>
        <w:t>21.响应文件的签署及规定</w:t>
      </w:r>
    </w:p>
    <w:p w14:paraId="0647CC61">
      <w:pPr>
        <w:pStyle w:val="22"/>
        <w:adjustRightInd w:val="0"/>
        <w:snapToGrid w:val="0"/>
        <w:spacing w:before="120" w:beforeLines="50"/>
        <w:jc w:val="left"/>
        <w:rPr>
          <w:rFonts w:hAnsi="宋体" w:cs="宋体"/>
        </w:rPr>
      </w:pPr>
      <w:r>
        <w:rPr>
          <w:rFonts w:hint="eastAsia" w:hAnsi="宋体" w:cs="宋体"/>
        </w:rPr>
        <w:t>21.1响应文件的正本和副本应胶装成册，正本一份，副本份数见</w:t>
      </w:r>
      <w:r>
        <w:rPr>
          <w:rFonts w:hint="eastAsia" w:hAnsi="宋体" w:cs="宋体"/>
          <w:b/>
        </w:rPr>
        <w:t>磋商须知前附表</w:t>
      </w:r>
      <w:r>
        <w:rPr>
          <w:rFonts w:hint="eastAsia" w:hAnsi="宋体" w:cs="宋体"/>
        </w:rPr>
        <w:t>。正本和副本的封面上应标记“正本”或“副本”的字样，当正本和副本有差异时，以正本为准。</w:t>
      </w:r>
    </w:p>
    <w:p w14:paraId="4C730457">
      <w:pPr>
        <w:pStyle w:val="22"/>
        <w:adjustRightInd w:val="0"/>
        <w:snapToGrid w:val="0"/>
        <w:spacing w:before="120" w:beforeLines="50"/>
        <w:jc w:val="left"/>
        <w:rPr>
          <w:rFonts w:hAnsi="宋体" w:cs="宋体"/>
        </w:rPr>
      </w:pPr>
      <w:r>
        <w:rPr>
          <w:rFonts w:hint="eastAsia" w:hAnsi="宋体" w:cs="宋体"/>
        </w:rPr>
        <w:t>21.2响应文件正本和副本应按磋商文件要求签章处盖单位章和由法定代表人或其委托代理人签字；任何加行、涂改、增删，应有法定代表人或其委托代理人在旁边签字。否则，将导致响应文件无效。</w:t>
      </w:r>
    </w:p>
    <w:p w14:paraId="6094206D">
      <w:pPr>
        <w:pStyle w:val="22"/>
        <w:adjustRightInd w:val="0"/>
        <w:snapToGrid w:val="0"/>
        <w:spacing w:before="120" w:beforeLines="50"/>
        <w:jc w:val="left"/>
        <w:rPr>
          <w:rFonts w:hAnsi="宋体" w:cs="宋体"/>
        </w:rPr>
      </w:pPr>
      <w:r>
        <w:rPr>
          <w:rFonts w:hint="eastAsia" w:hAnsi="宋体" w:cs="宋体"/>
        </w:rPr>
        <w:t>21.3在磋商过程中，供应商按磋商文件规定和磋商小组要求</w:t>
      </w:r>
      <w:r>
        <w:rPr>
          <w:rFonts w:hint="eastAsia" w:hAnsi="宋体" w:cs="宋体"/>
          <w:kern w:val="0"/>
        </w:rPr>
        <w:t>提交的</w:t>
      </w:r>
      <w:r>
        <w:rPr>
          <w:rFonts w:hint="eastAsia" w:hAnsi="宋体" w:cs="宋体"/>
        </w:rPr>
        <w:t>最后报价(或者</w:t>
      </w:r>
      <w:r>
        <w:rPr>
          <w:rFonts w:hint="eastAsia" w:hAnsi="宋体" w:cs="宋体"/>
          <w:bCs/>
        </w:rPr>
        <w:t>重</w:t>
      </w:r>
      <w:r>
        <w:rPr>
          <w:rFonts w:hint="eastAsia" w:hAnsi="宋体" w:cs="宋体"/>
          <w:kern w:val="0"/>
        </w:rPr>
        <w:t>新提交的响应文件和</w:t>
      </w:r>
      <w:r>
        <w:rPr>
          <w:rFonts w:hint="eastAsia" w:hAnsi="宋体" w:cs="宋体"/>
        </w:rPr>
        <w:t>最后报价)，一式两份，可打印或用不退色墨水书写，但需经法定代表人或其委托代理人签字，</w:t>
      </w:r>
      <w:r>
        <w:rPr>
          <w:rFonts w:hint="eastAsia" w:hAnsi="宋体" w:cs="宋体"/>
          <w:kern w:val="0"/>
        </w:rPr>
        <w:t>或者加盖供应商单位章</w:t>
      </w:r>
      <w:r>
        <w:rPr>
          <w:rFonts w:hint="eastAsia" w:hAnsi="宋体" w:cs="宋体"/>
        </w:rPr>
        <w:t>。否则，将导致响应文件无效。</w:t>
      </w:r>
    </w:p>
    <w:p w14:paraId="262A0EE1">
      <w:pPr>
        <w:adjustRightInd w:val="0"/>
        <w:snapToGrid w:val="0"/>
        <w:spacing w:before="120" w:beforeLines="50"/>
        <w:ind w:firstLine="0" w:firstLineChars="0"/>
        <w:jc w:val="center"/>
        <w:outlineLvl w:val="2"/>
        <w:rPr>
          <w:rFonts w:ascii="Times New Roman" w:hAnsi="Times New Roman" w:eastAsia="黑体" w:cs="Times New Roman"/>
          <w:bCs/>
          <w:sz w:val="28"/>
          <w:szCs w:val="28"/>
        </w:rPr>
      </w:pPr>
      <w:bookmarkStart w:id="112" w:name="_Toc21508"/>
      <w:bookmarkStart w:id="113" w:name="_Toc24494"/>
      <w:bookmarkStart w:id="114" w:name="_Toc32465"/>
      <w:bookmarkStart w:id="115" w:name="_Toc9737"/>
      <w:r>
        <w:rPr>
          <w:rFonts w:ascii="Times New Roman" w:hAnsi="Times New Roman" w:eastAsia="黑体" w:cs="Times New Roman"/>
          <w:bCs/>
          <w:sz w:val="28"/>
          <w:szCs w:val="28"/>
        </w:rPr>
        <w:t>四、响应文件的递交</w:t>
      </w:r>
      <w:bookmarkEnd w:id="112"/>
      <w:bookmarkEnd w:id="113"/>
      <w:bookmarkEnd w:id="114"/>
      <w:bookmarkEnd w:id="115"/>
    </w:p>
    <w:p w14:paraId="3F51FCA4">
      <w:pPr>
        <w:adjustRightInd w:val="0"/>
        <w:snapToGrid w:val="0"/>
        <w:spacing w:before="120" w:beforeLines="50"/>
        <w:ind w:firstLine="0" w:firstLineChars="0"/>
        <w:outlineLvl w:val="3"/>
        <w:rPr>
          <w:b/>
          <w:bCs/>
          <w:sz w:val="24"/>
        </w:rPr>
      </w:pPr>
      <w:r>
        <w:rPr>
          <w:rFonts w:hint="eastAsia"/>
          <w:b/>
          <w:bCs/>
          <w:sz w:val="24"/>
        </w:rPr>
        <w:t>22.响应文件的密封和标记</w:t>
      </w:r>
    </w:p>
    <w:p w14:paraId="3ECCF067">
      <w:pPr>
        <w:pStyle w:val="22"/>
        <w:adjustRightInd w:val="0"/>
        <w:snapToGrid w:val="0"/>
        <w:spacing w:before="120" w:beforeLines="50"/>
        <w:jc w:val="left"/>
        <w:rPr>
          <w:rFonts w:hAnsi="宋体" w:cs="宋体"/>
        </w:rPr>
      </w:pPr>
      <w:r>
        <w:rPr>
          <w:rFonts w:hint="eastAsia" w:hAnsi="宋体" w:cs="宋体"/>
        </w:rPr>
        <w:t>22.1响应文件应密封包装，加贴封条，并在封套的封口处盖供应商单位章或者由法定代表人或其委托代理人签字。</w:t>
      </w:r>
    </w:p>
    <w:p w14:paraId="6B928D75">
      <w:pPr>
        <w:adjustRightInd w:val="0"/>
        <w:snapToGrid w:val="0"/>
        <w:spacing w:before="120" w:beforeLines="50"/>
        <w:jc w:val="left"/>
        <w:rPr>
          <w:szCs w:val="21"/>
        </w:rPr>
      </w:pPr>
      <w:r>
        <w:rPr>
          <w:rFonts w:hint="eastAsia"/>
          <w:szCs w:val="21"/>
        </w:rPr>
        <w:t>22.2响应文件封套上应写明的内容见</w:t>
      </w:r>
      <w:r>
        <w:rPr>
          <w:rFonts w:hint="eastAsia"/>
          <w:b/>
          <w:szCs w:val="21"/>
        </w:rPr>
        <w:t>磋商须知前附表。</w:t>
      </w:r>
    </w:p>
    <w:p w14:paraId="6D65738E">
      <w:pPr>
        <w:adjustRightInd w:val="0"/>
        <w:snapToGrid w:val="0"/>
        <w:spacing w:before="120" w:beforeLines="50"/>
        <w:jc w:val="left"/>
        <w:rPr>
          <w:szCs w:val="21"/>
        </w:rPr>
      </w:pPr>
      <w:r>
        <w:rPr>
          <w:rFonts w:hint="eastAsia"/>
          <w:szCs w:val="21"/>
        </w:rPr>
        <w:t>22.3响应文件如果未按上述规定密封和加写标记，采购人或采购代理机构将拒绝接收。</w:t>
      </w:r>
    </w:p>
    <w:p w14:paraId="5A252F3A">
      <w:pPr>
        <w:adjustRightInd w:val="0"/>
        <w:snapToGrid w:val="0"/>
        <w:spacing w:before="120" w:beforeLines="50"/>
        <w:ind w:firstLine="0" w:firstLineChars="0"/>
        <w:outlineLvl w:val="3"/>
        <w:rPr>
          <w:b/>
          <w:bCs/>
          <w:sz w:val="24"/>
        </w:rPr>
      </w:pPr>
      <w:r>
        <w:rPr>
          <w:rFonts w:hint="eastAsia"/>
          <w:b/>
          <w:bCs/>
          <w:sz w:val="24"/>
        </w:rPr>
        <w:t>23.响应文件的</w:t>
      </w:r>
      <w:r>
        <w:rPr>
          <w:rFonts w:hint="eastAsia"/>
          <w:b/>
          <w:bCs/>
          <w:sz w:val="24"/>
          <w:lang w:val="zh-CN"/>
        </w:rPr>
        <w:t>补充、修改或者撤回</w:t>
      </w:r>
    </w:p>
    <w:p w14:paraId="7D9B371F">
      <w:pPr>
        <w:pStyle w:val="22"/>
        <w:adjustRightInd w:val="0"/>
        <w:snapToGrid w:val="0"/>
        <w:spacing w:before="120" w:beforeLines="50"/>
        <w:jc w:val="left"/>
        <w:rPr>
          <w:rFonts w:hAnsi="宋体" w:cs="宋体"/>
        </w:rPr>
      </w:pPr>
      <w:r>
        <w:rPr>
          <w:rFonts w:hint="eastAsia" w:hAnsi="宋体" w:cs="宋体"/>
        </w:rPr>
        <w:t>23.1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cs="宋体"/>
        </w:rPr>
        <w:t>该通知应有供应商法定代表人或其委托代理人签字。</w:t>
      </w:r>
    </w:p>
    <w:p w14:paraId="2E0F8BA0">
      <w:pPr>
        <w:pStyle w:val="22"/>
        <w:adjustRightInd w:val="0"/>
        <w:snapToGrid w:val="0"/>
        <w:spacing w:before="120" w:beforeLines="50"/>
        <w:jc w:val="left"/>
        <w:rPr>
          <w:rFonts w:hAnsi="宋体" w:cs="宋体"/>
        </w:rPr>
      </w:pPr>
      <w:r>
        <w:rPr>
          <w:rFonts w:hint="eastAsia" w:hAnsi="宋体" w:cs="宋体"/>
        </w:rPr>
        <w:t>23.2</w:t>
      </w:r>
      <w:r>
        <w:rPr>
          <w:rFonts w:hint="eastAsia" w:hAnsi="宋体" w:cs="宋体"/>
          <w:kern w:val="0"/>
          <w:lang w:val="zh-CN"/>
        </w:rPr>
        <w:t>补充、修改的内容与响应文件不一致时，以补充、修改的内容为准。</w:t>
      </w:r>
    </w:p>
    <w:p w14:paraId="78FF1EF7">
      <w:pPr>
        <w:adjustRightInd w:val="0"/>
        <w:snapToGrid w:val="0"/>
        <w:spacing w:before="120" w:beforeLines="50"/>
        <w:ind w:firstLine="0" w:firstLineChars="0"/>
        <w:outlineLvl w:val="3"/>
        <w:rPr>
          <w:b/>
          <w:bCs/>
          <w:sz w:val="24"/>
        </w:rPr>
      </w:pPr>
      <w:r>
        <w:rPr>
          <w:rFonts w:hint="eastAsia"/>
          <w:b/>
          <w:bCs/>
          <w:sz w:val="24"/>
        </w:rPr>
        <w:t>24.响应文件的递交与接收</w:t>
      </w:r>
    </w:p>
    <w:p w14:paraId="13D81098">
      <w:pPr>
        <w:adjustRightInd w:val="0"/>
        <w:snapToGrid w:val="0"/>
        <w:spacing w:before="120" w:beforeLines="50"/>
        <w:jc w:val="left"/>
        <w:rPr>
          <w:szCs w:val="21"/>
        </w:rPr>
      </w:pPr>
      <w:r>
        <w:rPr>
          <w:rFonts w:hint="eastAsia"/>
          <w:szCs w:val="21"/>
        </w:rPr>
        <w:t>24.1供应商应在</w:t>
      </w:r>
      <w:r>
        <w:rPr>
          <w:rFonts w:hint="eastAsia"/>
          <w:kern w:val="0"/>
          <w:szCs w:val="21"/>
        </w:rPr>
        <w:t>提交首次响应文件截止时间</w:t>
      </w:r>
      <w:r>
        <w:rPr>
          <w:rFonts w:hint="eastAsia"/>
          <w:szCs w:val="21"/>
        </w:rPr>
        <w:t>前，将响应文件送达</w:t>
      </w:r>
      <w:r>
        <w:rPr>
          <w:rFonts w:hint="eastAsia"/>
          <w:b/>
          <w:szCs w:val="21"/>
        </w:rPr>
        <w:t>磋商须知前附表</w:t>
      </w:r>
      <w:r>
        <w:rPr>
          <w:rFonts w:hint="eastAsia"/>
          <w:szCs w:val="21"/>
        </w:rPr>
        <w:t>中指定的地点。</w:t>
      </w:r>
      <w:r>
        <w:rPr>
          <w:rFonts w:hint="eastAsia"/>
          <w:kern w:val="0"/>
        </w:rPr>
        <w:t>在截止时间后送达的响应文件，采购人、采购代理机构或者磋商小组应当拒收。</w:t>
      </w:r>
    </w:p>
    <w:p w14:paraId="32700B19">
      <w:pPr>
        <w:pStyle w:val="22"/>
        <w:adjustRightInd w:val="0"/>
        <w:snapToGrid w:val="0"/>
        <w:spacing w:before="120" w:beforeLines="50"/>
        <w:jc w:val="left"/>
        <w:rPr>
          <w:rFonts w:hAnsi="宋体" w:cs="宋体"/>
        </w:rPr>
      </w:pPr>
      <w:r>
        <w:rPr>
          <w:rFonts w:hint="eastAsia" w:hAnsi="宋体" w:cs="宋体"/>
        </w:rPr>
        <w:t>24.2</w:t>
      </w:r>
      <w:r>
        <w:rPr>
          <w:rFonts w:hint="eastAsia" w:hAnsi="宋体" w:cs="宋体"/>
          <w:kern w:val="0"/>
        </w:rPr>
        <w:t>在提交首次响应文件截止时间后，</w:t>
      </w:r>
      <w:r>
        <w:rPr>
          <w:rFonts w:hint="eastAsia" w:hAnsi="宋体" w:cs="宋体"/>
        </w:rPr>
        <w:t>由</w:t>
      </w:r>
      <w:r>
        <w:rPr>
          <w:rFonts w:hint="eastAsia" w:hAnsi="宋体" w:cs="宋体"/>
          <w:bCs/>
        </w:rPr>
        <w:t>供应商代表</w:t>
      </w:r>
      <w:r>
        <w:rPr>
          <w:rFonts w:hint="eastAsia" w:hAnsi="宋体" w:cs="宋体"/>
        </w:rPr>
        <w:t>当场查验</w:t>
      </w:r>
      <w:r>
        <w:rPr>
          <w:rFonts w:hint="eastAsia" w:hAnsi="宋体" w:cs="宋体"/>
          <w:bCs/>
        </w:rPr>
        <w:t>响应文件</w:t>
      </w:r>
      <w:r>
        <w:rPr>
          <w:rFonts w:hint="eastAsia" w:hAnsi="宋体" w:cs="宋体"/>
        </w:rPr>
        <w:t>的密封状况，采购人或</w:t>
      </w:r>
      <w:r>
        <w:rPr>
          <w:rFonts w:hint="eastAsia" w:hAnsi="宋体" w:cs="宋体"/>
          <w:bCs/>
        </w:rPr>
        <w:t>采购代理机构</w:t>
      </w:r>
      <w:r>
        <w:rPr>
          <w:rFonts w:hint="eastAsia" w:hAnsi="宋体" w:cs="宋体"/>
        </w:rPr>
        <w:t>不当场拆封</w:t>
      </w:r>
      <w:r>
        <w:rPr>
          <w:rFonts w:hint="eastAsia" w:hAnsi="宋体" w:cs="宋体"/>
          <w:bCs/>
        </w:rPr>
        <w:t>响应文件</w:t>
      </w:r>
      <w:r>
        <w:rPr>
          <w:rFonts w:hint="eastAsia" w:hAnsi="宋体" w:cs="宋体"/>
        </w:rPr>
        <w:t>。</w:t>
      </w:r>
    </w:p>
    <w:p w14:paraId="7091FC09">
      <w:pPr>
        <w:adjustRightInd w:val="0"/>
        <w:snapToGrid w:val="0"/>
        <w:spacing w:before="120" w:beforeLines="50"/>
        <w:ind w:firstLine="0" w:firstLineChars="0"/>
        <w:jc w:val="center"/>
        <w:outlineLvl w:val="2"/>
        <w:rPr>
          <w:rFonts w:ascii="Times New Roman" w:hAnsi="Times New Roman" w:eastAsia="黑体" w:cs="Times New Roman"/>
          <w:bCs/>
          <w:sz w:val="28"/>
          <w:szCs w:val="28"/>
        </w:rPr>
      </w:pPr>
      <w:bookmarkStart w:id="116" w:name="_Toc26729"/>
      <w:bookmarkStart w:id="117" w:name="_Toc4039"/>
      <w:bookmarkStart w:id="118" w:name="_Toc32542"/>
      <w:bookmarkStart w:id="119" w:name="_Toc12434"/>
      <w:r>
        <w:rPr>
          <w:rFonts w:ascii="Times New Roman" w:hAnsi="Times New Roman" w:eastAsia="黑体" w:cs="Times New Roman"/>
          <w:bCs/>
          <w:sz w:val="28"/>
          <w:szCs w:val="28"/>
        </w:rPr>
        <w:t>五、响应文件的磋商与评审</w:t>
      </w:r>
      <w:bookmarkEnd w:id="116"/>
      <w:bookmarkEnd w:id="117"/>
      <w:bookmarkEnd w:id="118"/>
      <w:bookmarkEnd w:id="119"/>
    </w:p>
    <w:p w14:paraId="204399BD">
      <w:pPr>
        <w:adjustRightInd w:val="0"/>
        <w:snapToGrid w:val="0"/>
        <w:spacing w:before="120" w:beforeLines="50"/>
        <w:ind w:firstLine="0" w:firstLineChars="0"/>
        <w:outlineLvl w:val="3"/>
        <w:rPr>
          <w:b/>
          <w:bCs/>
          <w:sz w:val="24"/>
        </w:rPr>
      </w:pPr>
      <w:r>
        <w:rPr>
          <w:rFonts w:hint="eastAsia"/>
          <w:b/>
          <w:bCs/>
          <w:sz w:val="24"/>
        </w:rPr>
        <w:t>25.磋商程序</w:t>
      </w:r>
    </w:p>
    <w:p w14:paraId="230B38A6">
      <w:pPr>
        <w:widowControl/>
        <w:adjustRightInd w:val="0"/>
        <w:snapToGrid w:val="0"/>
        <w:spacing w:before="120" w:beforeLines="50"/>
        <w:jc w:val="left"/>
        <w:rPr>
          <w:bCs/>
          <w:szCs w:val="21"/>
        </w:rPr>
      </w:pPr>
      <w:r>
        <w:rPr>
          <w:rFonts w:hint="eastAsia"/>
          <w:kern w:val="0"/>
          <w:szCs w:val="21"/>
        </w:rPr>
        <w:t>25.1磋商程序：响应文件审查、磋商（包括澄清）、响应文件评审、</w:t>
      </w:r>
      <w:r>
        <w:rPr>
          <w:rFonts w:hint="eastAsia"/>
          <w:bCs/>
          <w:szCs w:val="21"/>
        </w:rPr>
        <w:t>提出成交供应商。其中，</w:t>
      </w:r>
      <w:r>
        <w:rPr>
          <w:rFonts w:hint="eastAsia"/>
          <w:kern w:val="0"/>
          <w:szCs w:val="21"/>
        </w:rPr>
        <w:t>磋商按</w:t>
      </w:r>
      <w:r>
        <w:rPr>
          <w:rFonts w:hint="eastAsia"/>
          <w:szCs w:val="21"/>
        </w:rPr>
        <w:t>本章</w:t>
      </w:r>
      <w:r>
        <w:rPr>
          <w:rFonts w:hint="eastAsia"/>
        </w:rPr>
        <w:t>第30.1</w:t>
      </w:r>
      <w:r>
        <w:rPr>
          <w:rFonts w:hint="eastAsia"/>
          <w:kern w:val="0"/>
          <w:szCs w:val="21"/>
          <w:lang w:val="zh-CN"/>
        </w:rPr>
        <w:t>款或者</w:t>
      </w:r>
      <w:r>
        <w:rPr>
          <w:rFonts w:hint="eastAsia"/>
        </w:rPr>
        <w:t>第30.2</w:t>
      </w:r>
      <w:r>
        <w:rPr>
          <w:rFonts w:hint="eastAsia"/>
          <w:kern w:val="0"/>
          <w:szCs w:val="21"/>
          <w:lang w:val="zh-CN"/>
        </w:rPr>
        <w:t>款</w:t>
      </w:r>
      <w:r>
        <w:rPr>
          <w:rFonts w:hint="eastAsia"/>
        </w:rPr>
        <w:t>情形</w:t>
      </w:r>
      <w:r>
        <w:rPr>
          <w:rFonts w:hint="eastAsia"/>
          <w:bCs/>
          <w:szCs w:val="21"/>
        </w:rPr>
        <w:t>进行。</w:t>
      </w:r>
    </w:p>
    <w:p w14:paraId="07BD2D54">
      <w:pPr>
        <w:adjustRightInd w:val="0"/>
        <w:snapToGrid w:val="0"/>
        <w:spacing w:before="120" w:beforeLines="50"/>
        <w:ind w:firstLine="0" w:firstLineChars="0"/>
        <w:outlineLvl w:val="3"/>
        <w:rPr>
          <w:b/>
          <w:bCs/>
          <w:sz w:val="24"/>
        </w:rPr>
      </w:pPr>
      <w:r>
        <w:rPr>
          <w:rFonts w:hint="eastAsia"/>
          <w:b/>
          <w:bCs/>
          <w:sz w:val="24"/>
        </w:rPr>
        <w:t>26.响应文件审查</w:t>
      </w:r>
    </w:p>
    <w:p w14:paraId="21CD5599">
      <w:pPr>
        <w:adjustRightInd w:val="0"/>
        <w:snapToGrid w:val="0"/>
        <w:spacing w:before="120" w:beforeLines="50"/>
        <w:jc w:val="left"/>
        <w:rPr>
          <w:szCs w:val="21"/>
        </w:rPr>
      </w:pPr>
      <w:r>
        <w:rPr>
          <w:rFonts w:hint="eastAsia"/>
          <w:szCs w:val="21"/>
        </w:rPr>
        <w:t>26.1资格性审查：根据本章第3.1项规定的供应商资格条件要求，对</w:t>
      </w:r>
      <w:r>
        <w:rPr>
          <w:rFonts w:hint="eastAsia"/>
        </w:rPr>
        <w:t>响应</w:t>
      </w:r>
      <w:r>
        <w:rPr>
          <w:rFonts w:hint="eastAsia"/>
          <w:szCs w:val="21"/>
        </w:rPr>
        <w:t>文件的资格证明等进行审查，以确定供应商是否具备磋商资格条件。</w:t>
      </w:r>
    </w:p>
    <w:p w14:paraId="122D5B5B">
      <w:pPr>
        <w:adjustRightInd w:val="0"/>
        <w:snapToGrid w:val="0"/>
        <w:spacing w:before="120" w:beforeLines="50"/>
        <w:jc w:val="left"/>
        <w:rPr>
          <w:szCs w:val="21"/>
        </w:rPr>
      </w:pPr>
      <w:r>
        <w:rPr>
          <w:rFonts w:hint="eastAsia"/>
          <w:szCs w:val="21"/>
        </w:rPr>
        <w:t>26.2符合性审查:对响应文件(包括首次提交的响应文件、重新提交的响应文件)的有效性、完整性和响应程度进行审查，以确定是否对磋商文件的实质性要求作出响应。</w:t>
      </w:r>
    </w:p>
    <w:p w14:paraId="4FC2CA29">
      <w:pPr>
        <w:adjustRightInd w:val="0"/>
        <w:snapToGrid w:val="0"/>
        <w:spacing w:before="120" w:beforeLines="50"/>
        <w:jc w:val="left"/>
        <w:rPr>
          <w:szCs w:val="21"/>
        </w:rPr>
      </w:pPr>
      <w:r>
        <w:rPr>
          <w:rFonts w:hint="eastAsia"/>
          <w:szCs w:val="21"/>
        </w:rPr>
        <w:t>26.3响应文件审查结束后，磋商小组所有成员集中与单一供应商分别进行磋商，并给予所有参加磋商的供应商平等的磋商机会。供应商应派其法定代表人或委托代理人参加磋商。</w:t>
      </w:r>
    </w:p>
    <w:p w14:paraId="6648F9EA">
      <w:pPr>
        <w:adjustRightInd w:val="0"/>
        <w:snapToGrid w:val="0"/>
        <w:spacing w:before="120" w:beforeLines="50"/>
        <w:ind w:firstLine="0" w:firstLineChars="0"/>
        <w:outlineLvl w:val="3"/>
        <w:rPr>
          <w:b/>
          <w:bCs/>
          <w:sz w:val="24"/>
        </w:rPr>
      </w:pPr>
      <w:r>
        <w:rPr>
          <w:rFonts w:hint="eastAsia"/>
          <w:b/>
          <w:bCs/>
          <w:sz w:val="24"/>
        </w:rPr>
        <w:t>27.实质性响应</w:t>
      </w:r>
    </w:p>
    <w:p w14:paraId="729397A4">
      <w:pPr>
        <w:pStyle w:val="22"/>
        <w:adjustRightInd w:val="0"/>
        <w:snapToGrid w:val="0"/>
        <w:spacing w:before="120" w:beforeLines="50"/>
        <w:jc w:val="left"/>
        <w:rPr>
          <w:rFonts w:hAnsi="宋体" w:cs="宋体"/>
          <w:kern w:val="0"/>
          <w:u w:val="single"/>
        </w:rPr>
      </w:pPr>
      <w:r>
        <w:rPr>
          <w:rFonts w:hint="eastAsia" w:hAnsi="宋体" w:cs="宋体"/>
          <w:kern w:val="0"/>
        </w:rPr>
        <w:t>27.1</w:t>
      </w:r>
      <w:r>
        <w:rPr>
          <w:rFonts w:hint="eastAsia" w:hAnsi="宋体" w:cs="宋体"/>
        </w:rPr>
        <w:t>实质性响应是指响应文件(包括首次响应文件、重新提交的响应文件)与磋商文件要求的所有条款、条件和规格相符，没有偏离。偏离指不满足、或不响应磋商文件的要求。</w:t>
      </w:r>
    </w:p>
    <w:p w14:paraId="1C83D5BE">
      <w:pPr>
        <w:tabs>
          <w:tab w:val="left" w:pos="0"/>
          <w:tab w:val="left" w:pos="7560"/>
          <w:tab w:val="left" w:pos="7740"/>
          <w:tab w:val="left" w:pos="7920"/>
        </w:tabs>
        <w:adjustRightInd w:val="0"/>
        <w:snapToGrid w:val="0"/>
        <w:spacing w:before="120" w:beforeLines="50"/>
        <w:jc w:val="left"/>
        <w:rPr>
          <w:szCs w:val="21"/>
        </w:rPr>
      </w:pPr>
      <w:r>
        <w:rPr>
          <w:rFonts w:hint="eastAsia"/>
          <w:szCs w:val="21"/>
        </w:rPr>
        <w:t>27.2</w:t>
      </w:r>
      <w:r>
        <w:rPr>
          <w:rFonts w:hint="eastAsia"/>
        </w:rPr>
        <w:t>响应文件是否实质性响应磋商文件要求由磋商小组依据磋商文件规定认定。</w:t>
      </w:r>
      <w:r>
        <w:rPr>
          <w:rFonts w:hint="eastAsia"/>
          <w:kern w:val="0"/>
          <w:szCs w:val="21"/>
        </w:rPr>
        <w:t>磋商小组</w:t>
      </w:r>
      <w:r>
        <w:rPr>
          <w:rFonts w:hint="eastAsia"/>
          <w:szCs w:val="21"/>
        </w:rPr>
        <w:t>决定</w:t>
      </w:r>
      <w:r>
        <w:rPr>
          <w:rFonts w:hint="eastAsia"/>
        </w:rPr>
        <w:t>响应文件</w:t>
      </w:r>
      <w:r>
        <w:rPr>
          <w:rFonts w:hint="eastAsia"/>
          <w:szCs w:val="21"/>
        </w:rPr>
        <w:t>的响应性只根据</w:t>
      </w:r>
      <w:r>
        <w:rPr>
          <w:rFonts w:hint="eastAsia"/>
        </w:rPr>
        <w:t>响应文件</w:t>
      </w:r>
      <w:r>
        <w:rPr>
          <w:rFonts w:hint="eastAsia"/>
          <w:szCs w:val="21"/>
        </w:rPr>
        <w:t>本身的真实无误的内容，而不依据外部的证据。</w:t>
      </w:r>
    </w:p>
    <w:p w14:paraId="6BD639A2">
      <w:pPr>
        <w:adjustRightInd w:val="0"/>
        <w:snapToGrid w:val="0"/>
        <w:spacing w:before="120" w:beforeLines="50"/>
        <w:ind w:firstLine="0" w:firstLineChars="0"/>
        <w:outlineLvl w:val="3"/>
        <w:rPr>
          <w:b/>
          <w:bCs/>
          <w:sz w:val="24"/>
        </w:rPr>
      </w:pPr>
      <w:r>
        <w:rPr>
          <w:rFonts w:hint="eastAsia"/>
          <w:b/>
          <w:bCs/>
          <w:sz w:val="24"/>
        </w:rPr>
        <w:t>28.无效响应</w:t>
      </w:r>
    </w:p>
    <w:p w14:paraId="33FBC0ED">
      <w:pPr>
        <w:pStyle w:val="22"/>
        <w:adjustRightInd w:val="0"/>
        <w:snapToGrid w:val="0"/>
        <w:spacing w:before="120" w:beforeLines="50"/>
        <w:jc w:val="left"/>
        <w:rPr>
          <w:rFonts w:hAnsi="宋体" w:cs="宋体"/>
          <w:b/>
          <w:kern w:val="0"/>
        </w:rPr>
      </w:pPr>
      <w:r>
        <w:rPr>
          <w:rFonts w:hint="eastAsia" w:hAnsi="宋体" w:cs="宋体"/>
          <w:kern w:val="0"/>
        </w:rPr>
        <w:t>28.1</w:t>
      </w:r>
      <w:r>
        <w:rPr>
          <w:rFonts w:hint="eastAsia" w:hAnsi="宋体" w:cs="宋体"/>
        </w:rPr>
        <w:t>磋商小组在对资格性和符合性进行审查时，有下列情况之一的，属</w:t>
      </w:r>
      <w:r>
        <w:rPr>
          <w:rFonts w:hint="eastAsia" w:hAnsi="宋体" w:cs="宋体"/>
          <w:b/>
          <w:bCs/>
        </w:rPr>
        <w:t>无效响应</w:t>
      </w:r>
      <w:r>
        <w:rPr>
          <w:rFonts w:hint="eastAsia" w:hAnsi="宋体" w:cs="宋体"/>
        </w:rPr>
        <w:t>，</w:t>
      </w:r>
      <w:r>
        <w:rPr>
          <w:rFonts w:hint="eastAsia" w:hAnsi="宋体" w:cs="宋体"/>
          <w:kern w:val="0"/>
        </w:rPr>
        <w:t>磋商小组应当告知有关供应商</w:t>
      </w:r>
      <w:r>
        <w:rPr>
          <w:rFonts w:hint="eastAsia" w:hAnsi="宋体" w:cs="宋体"/>
        </w:rPr>
        <w:t>：</w:t>
      </w:r>
    </w:p>
    <w:p w14:paraId="093C5297">
      <w:pPr>
        <w:adjustRightInd w:val="0"/>
        <w:snapToGrid w:val="0"/>
        <w:spacing w:before="120" w:beforeLines="50"/>
        <w:jc w:val="left"/>
        <w:rPr>
          <w:szCs w:val="21"/>
        </w:rPr>
      </w:pPr>
      <w:r>
        <w:rPr>
          <w:rFonts w:hint="eastAsia"/>
          <w:szCs w:val="21"/>
        </w:rPr>
        <w:t>（1）供应商不具备本章第3.1款规定的供应商资格条件要求，或存在本章第3.3款情形的；</w:t>
      </w:r>
    </w:p>
    <w:p w14:paraId="76DCDD64">
      <w:pPr>
        <w:adjustRightInd w:val="0"/>
        <w:snapToGrid w:val="0"/>
        <w:spacing w:before="120" w:beforeLines="50"/>
        <w:jc w:val="left"/>
        <w:rPr>
          <w:szCs w:val="21"/>
        </w:rPr>
      </w:pPr>
      <w:r>
        <w:rPr>
          <w:rFonts w:hint="eastAsia"/>
          <w:szCs w:val="21"/>
        </w:rPr>
        <w:t>（2）联合体不符合本章第3.2款规定的；</w:t>
      </w:r>
    </w:p>
    <w:p w14:paraId="68D448B9">
      <w:pPr>
        <w:adjustRightInd w:val="0"/>
        <w:snapToGrid w:val="0"/>
        <w:spacing w:before="120" w:beforeLines="50"/>
        <w:jc w:val="left"/>
        <w:rPr>
          <w:szCs w:val="21"/>
        </w:rPr>
      </w:pPr>
      <w:r>
        <w:rPr>
          <w:rFonts w:hint="eastAsia"/>
          <w:szCs w:val="21"/>
        </w:rPr>
        <w:t>（3）应交未交磋商保证金或金额不足、磋商保证金缴纳形式不符合磋商文件要求的；</w:t>
      </w:r>
    </w:p>
    <w:p w14:paraId="38316B2B">
      <w:pPr>
        <w:adjustRightInd w:val="0"/>
        <w:snapToGrid w:val="0"/>
        <w:spacing w:before="120" w:beforeLines="50"/>
        <w:jc w:val="left"/>
        <w:rPr>
          <w:szCs w:val="21"/>
        </w:rPr>
      </w:pPr>
      <w:r>
        <w:rPr>
          <w:rFonts w:hint="eastAsia"/>
          <w:szCs w:val="21"/>
        </w:rPr>
        <w:t>（4）响应文件未按照磋商文件要求签署、盖章的；</w:t>
      </w:r>
    </w:p>
    <w:p w14:paraId="474D0538">
      <w:pPr>
        <w:adjustRightInd w:val="0"/>
        <w:snapToGrid w:val="0"/>
        <w:spacing w:before="120" w:beforeLines="50"/>
        <w:jc w:val="left"/>
        <w:rPr>
          <w:szCs w:val="21"/>
        </w:rPr>
      </w:pPr>
      <w:r>
        <w:rPr>
          <w:rFonts w:hint="eastAsia"/>
          <w:szCs w:val="21"/>
        </w:rPr>
        <w:t>（4）响应文件不满足本章第27.1款规定的实质性要求的；</w:t>
      </w:r>
    </w:p>
    <w:p w14:paraId="16B94ABA">
      <w:pPr>
        <w:adjustRightInd w:val="0"/>
        <w:snapToGrid w:val="0"/>
        <w:spacing w:before="120" w:beforeLines="50"/>
        <w:jc w:val="left"/>
        <w:rPr>
          <w:szCs w:val="21"/>
        </w:rPr>
      </w:pPr>
      <w:r>
        <w:rPr>
          <w:rFonts w:hint="eastAsia"/>
          <w:szCs w:val="21"/>
        </w:rPr>
        <w:t>（5）报价超过采购项目预算的；</w:t>
      </w:r>
    </w:p>
    <w:p w14:paraId="230050E3">
      <w:pPr>
        <w:adjustRightInd w:val="0"/>
        <w:snapToGrid w:val="0"/>
        <w:spacing w:before="120" w:beforeLines="50"/>
        <w:jc w:val="left"/>
        <w:rPr>
          <w:szCs w:val="21"/>
        </w:rPr>
      </w:pPr>
      <w:r>
        <w:rPr>
          <w:rFonts w:hint="eastAsia"/>
          <w:szCs w:val="21"/>
        </w:rPr>
        <w:t>（6）响应文件有效期不足的；</w:t>
      </w:r>
    </w:p>
    <w:p w14:paraId="7FE088C1">
      <w:pPr>
        <w:adjustRightInd w:val="0"/>
        <w:snapToGrid w:val="0"/>
        <w:spacing w:before="120" w:beforeLines="50"/>
        <w:jc w:val="left"/>
        <w:rPr>
          <w:szCs w:val="21"/>
        </w:rPr>
      </w:pPr>
      <w:r>
        <w:rPr>
          <w:rFonts w:hint="eastAsia"/>
          <w:szCs w:val="21"/>
        </w:rPr>
        <w:t>（7）响应文件不符合法律、规章、规范性文件和磋商文件规定及要求的。</w:t>
      </w:r>
    </w:p>
    <w:p w14:paraId="3E61ED37">
      <w:pPr>
        <w:adjustRightInd w:val="0"/>
        <w:snapToGrid w:val="0"/>
        <w:spacing w:before="120" w:beforeLines="50"/>
        <w:ind w:firstLine="0" w:firstLineChars="0"/>
        <w:outlineLvl w:val="3"/>
        <w:rPr>
          <w:b/>
          <w:bCs/>
          <w:sz w:val="24"/>
        </w:rPr>
      </w:pPr>
      <w:r>
        <w:rPr>
          <w:rFonts w:hint="eastAsia"/>
          <w:b/>
          <w:bCs/>
          <w:sz w:val="24"/>
        </w:rPr>
        <w:t>29.澄清</w:t>
      </w:r>
    </w:p>
    <w:p w14:paraId="35AD0BC6">
      <w:pPr>
        <w:widowControl/>
        <w:adjustRightInd w:val="0"/>
        <w:snapToGrid w:val="0"/>
        <w:spacing w:before="120" w:beforeLines="50"/>
        <w:jc w:val="left"/>
        <w:rPr>
          <w:kern w:val="0"/>
          <w:szCs w:val="21"/>
        </w:rPr>
      </w:pPr>
      <w:r>
        <w:rPr>
          <w:rFonts w:hint="eastAsia"/>
          <w:kern w:val="0"/>
          <w:szCs w:val="21"/>
        </w:rPr>
        <w:t>29.1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AF5C509">
      <w:pPr>
        <w:widowControl/>
        <w:adjustRightInd w:val="0"/>
        <w:snapToGrid w:val="0"/>
        <w:spacing w:before="120" w:beforeLines="50"/>
        <w:jc w:val="left"/>
        <w:rPr>
          <w:kern w:val="0"/>
          <w:szCs w:val="21"/>
        </w:rPr>
      </w:pPr>
      <w:r>
        <w:rPr>
          <w:rFonts w:hint="eastAsia"/>
          <w:kern w:val="0"/>
          <w:szCs w:val="21"/>
        </w:rPr>
        <w:t>29.2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5EDBE152">
      <w:pPr>
        <w:adjustRightInd w:val="0"/>
        <w:snapToGrid w:val="0"/>
        <w:spacing w:before="120" w:beforeLines="50"/>
        <w:ind w:firstLine="0" w:firstLineChars="0"/>
        <w:outlineLvl w:val="3"/>
        <w:rPr>
          <w:b/>
          <w:bCs/>
          <w:sz w:val="24"/>
        </w:rPr>
      </w:pPr>
      <w:r>
        <w:rPr>
          <w:rFonts w:hint="eastAsia"/>
          <w:b/>
          <w:bCs/>
          <w:sz w:val="24"/>
        </w:rPr>
        <w:t>30.磋商</w:t>
      </w:r>
    </w:p>
    <w:p w14:paraId="217F4A1D">
      <w:pPr>
        <w:widowControl/>
        <w:adjustRightInd w:val="0"/>
        <w:snapToGrid w:val="0"/>
        <w:spacing w:before="120" w:beforeLines="50"/>
        <w:jc w:val="left"/>
        <w:rPr>
          <w:kern w:val="0"/>
          <w:szCs w:val="21"/>
          <w:lang w:val="zh-CN"/>
        </w:rPr>
      </w:pPr>
      <w:r>
        <w:rPr>
          <w:rFonts w:hint="eastAsia"/>
          <w:kern w:val="0"/>
          <w:szCs w:val="21"/>
        </w:rPr>
        <w:t>30.1</w:t>
      </w:r>
      <w:r>
        <w:rPr>
          <w:rFonts w:hint="eastAsia"/>
        </w:rPr>
        <w:t>本章第10.2项</w:t>
      </w:r>
      <w:r>
        <w:rPr>
          <w:rFonts w:hint="eastAsia"/>
          <w:kern w:val="0"/>
          <w:szCs w:val="21"/>
        </w:rPr>
        <w:t>未明确磋商文件实质性变动内容的，或者磋商文件明确了可能发生实质性变动内容，但在磋商过程中，</w:t>
      </w:r>
      <w:r>
        <w:rPr>
          <w:rFonts w:hint="eastAsia"/>
          <w:bCs/>
          <w:szCs w:val="21"/>
        </w:rPr>
        <w:t>磋商小组</w:t>
      </w:r>
      <w:r>
        <w:rPr>
          <w:rFonts w:hint="eastAsia"/>
          <w:kern w:val="0"/>
          <w:szCs w:val="21"/>
        </w:rPr>
        <w:t>根据磋商情况</w:t>
      </w:r>
      <w:r>
        <w:rPr>
          <w:rFonts w:hint="eastAsia"/>
          <w:bCs/>
          <w:szCs w:val="21"/>
        </w:rPr>
        <w:t>认为</w:t>
      </w:r>
      <w:r>
        <w:rPr>
          <w:rFonts w:hint="eastAsia"/>
          <w:kern w:val="0"/>
          <w:szCs w:val="21"/>
        </w:rPr>
        <w:t>磋商文件无需发生实质性变动的，磋商小组应当直接与响应文件审查合格的供应商就价格组织多轮磋商。</w:t>
      </w:r>
    </w:p>
    <w:p w14:paraId="3F64E2E0">
      <w:pPr>
        <w:widowControl/>
        <w:tabs>
          <w:tab w:val="left" w:pos="1080"/>
          <w:tab w:val="left" w:pos="1260"/>
        </w:tabs>
        <w:adjustRightInd w:val="0"/>
        <w:snapToGrid w:val="0"/>
        <w:spacing w:before="120" w:beforeLines="50"/>
        <w:jc w:val="left"/>
        <w:rPr>
          <w:kern w:val="0"/>
          <w:szCs w:val="21"/>
        </w:rPr>
      </w:pPr>
      <w:r>
        <w:rPr>
          <w:rFonts w:hint="eastAsia"/>
          <w:kern w:val="0"/>
          <w:szCs w:val="21"/>
        </w:rPr>
        <w:t>（1）磋商结束后，磋商小组应当要求所有继续参加磋商的供应商在磋商小组规定时间内提交最后报价。</w:t>
      </w:r>
    </w:p>
    <w:p w14:paraId="63B79479">
      <w:pPr>
        <w:widowControl/>
        <w:tabs>
          <w:tab w:val="left" w:pos="1080"/>
          <w:tab w:val="left" w:pos="1260"/>
        </w:tabs>
        <w:adjustRightInd w:val="0"/>
        <w:snapToGrid w:val="0"/>
        <w:spacing w:before="120" w:beforeLines="50"/>
        <w:jc w:val="left"/>
        <w:rPr>
          <w:kern w:val="0"/>
          <w:szCs w:val="21"/>
        </w:rPr>
      </w:pPr>
      <w:r>
        <w:rPr>
          <w:rFonts w:hint="eastAsia"/>
          <w:kern w:val="0"/>
          <w:szCs w:val="21"/>
        </w:rPr>
        <w:t>（2）磋商文件明确可能发生实质性变动，但在磋商过程中</w:t>
      </w:r>
      <w:r>
        <w:rPr>
          <w:rFonts w:hint="eastAsia"/>
          <w:bCs/>
          <w:szCs w:val="21"/>
        </w:rPr>
        <w:t>磋商小组</w:t>
      </w:r>
      <w:r>
        <w:rPr>
          <w:rFonts w:hint="eastAsia"/>
          <w:kern w:val="0"/>
          <w:szCs w:val="21"/>
        </w:rPr>
        <w:t>根据磋商情况</w:t>
      </w:r>
      <w:r>
        <w:rPr>
          <w:rFonts w:hint="eastAsia"/>
          <w:bCs/>
          <w:szCs w:val="21"/>
        </w:rPr>
        <w:t>认为</w:t>
      </w:r>
      <w:r>
        <w:rPr>
          <w:rFonts w:hint="eastAsia"/>
          <w:kern w:val="0"/>
          <w:szCs w:val="21"/>
        </w:rPr>
        <w:t>磋商文件无需发生实质性变动的，磋商小组不另行通知。</w:t>
      </w:r>
    </w:p>
    <w:p w14:paraId="1191998A">
      <w:pPr>
        <w:widowControl/>
        <w:adjustRightInd w:val="0"/>
        <w:snapToGrid w:val="0"/>
        <w:spacing w:before="120" w:beforeLines="50"/>
        <w:jc w:val="left"/>
        <w:rPr>
          <w:kern w:val="0"/>
          <w:szCs w:val="21"/>
        </w:rPr>
      </w:pPr>
      <w:r>
        <w:rPr>
          <w:rFonts w:hint="eastAsia"/>
          <w:kern w:val="0"/>
          <w:szCs w:val="21"/>
        </w:rPr>
        <w:t>30.2</w:t>
      </w:r>
      <w:r>
        <w:rPr>
          <w:rFonts w:hint="eastAsia"/>
        </w:rPr>
        <w:t>本章第10.2</w:t>
      </w:r>
      <w:r>
        <w:rPr>
          <w:rFonts w:hint="eastAsia"/>
          <w:kern w:val="0"/>
          <w:szCs w:val="21"/>
          <w:lang w:val="zh-CN"/>
        </w:rPr>
        <w:t>款</w:t>
      </w:r>
      <w:r>
        <w:rPr>
          <w:rFonts w:hint="eastAsia"/>
          <w:kern w:val="0"/>
          <w:szCs w:val="21"/>
        </w:rPr>
        <w:t>明确磋商文件实质性变动内容的，</w:t>
      </w:r>
      <w:r>
        <w:rPr>
          <w:rFonts w:hint="eastAsia"/>
          <w:bCs/>
          <w:szCs w:val="21"/>
        </w:rPr>
        <w:t>磋商小组</w:t>
      </w:r>
      <w:r>
        <w:rPr>
          <w:rFonts w:hint="eastAsia"/>
          <w:kern w:val="0"/>
          <w:szCs w:val="21"/>
        </w:rPr>
        <w:t>可以组织多轮磋商。</w:t>
      </w:r>
      <w:r>
        <w:rPr>
          <w:rFonts w:hint="eastAsia"/>
          <w:bCs/>
          <w:szCs w:val="21"/>
        </w:rPr>
        <w:t>在每一轮磋商中，磋商小组</w:t>
      </w:r>
      <w:r>
        <w:rPr>
          <w:rFonts w:hint="eastAsia"/>
          <w:kern w:val="0"/>
          <w:szCs w:val="21"/>
        </w:rPr>
        <w:t>可以根据磋商文件规定和磋商情况，</w:t>
      </w:r>
      <w:r>
        <w:rPr>
          <w:rFonts w:hint="eastAsia"/>
          <w:bCs/>
          <w:szCs w:val="21"/>
        </w:rPr>
        <w:t>对磋商文件的</w:t>
      </w:r>
      <w:r>
        <w:rPr>
          <w:rFonts w:hint="eastAsia"/>
          <w:kern w:val="0"/>
          <w:szCs w:val="21"/>
        </w:rPr>
        <w:t>采购需求中的技术、服务要求以及合同草案条款</w:t>
      </w:r>
      <w:r>
        <w:rPr>
          <w:rFonts w:hint="eastAsia"/>
          <w:bCs/>
          <w:szCs w:val="21"/>
        </w:rPr>
        <w:t>作实质性变动(磋商文件的实质性变动内容为磋商文件的组成部分)，并以书面形式要求</w:t>
      </w:r>
      <w:r>
        <w:rPr>
          <w:rFonts w:hint="eastAsia"/>
          <w:kern w:val="0"/>
          <w:szCs w:val="21"/>
        </w:rPr>
        <w:t>响应文件审查合格</w:t>
      </w:r>
      <w:r>
        <w:rPr>
          <w:rFonts w:hint="eastAsia"/>
          <w:bCs/>
          <w:szCs w:val="21"/>
        </w:rPr>
        <w:t>的供应商，在规定的</w:t>
      </w:r>
      <w:r>
        <w:rPr>
          <w:rFonts w:hint="eastAsia"/>
          <w:kern w:val="0"/>
          <w:szCs w:val="21"/>
        </w:rPr>
        <w:t>截止时间前</w:t>
      </w:r>
      <w:r>
        <w:rPr>
          <w:rFonts w:hint="eastAsia"/>
          <w:bCs/>
          <w:szCs w:val="21"/>
        </w:rPr>
        <w:t>重</w:t>
      </w:r>
      <w:r>
        <w:rPr>
          <w:rFonts w:hint="eastAsia"/>
          <w:kern w:val="0"/>
          <w:szCs w:val="21"/>
        </w:rPr>
        <w:t>新提交响应文件</w:t>
      </w:r>
      <w:r>
        <w:rPr>
          <w:rFonts w:hint="eastAsia"/>
          <w:bCs/>
          <w:szCs w:val="21"/>
        </w:rPr>
        <w:t>。</w:t>
      </w:r>
      <w:r>
        <w:rPr>
          <w:rFonts w:hint="eastAsia"/>
          <w:kern w:val="0"/>
          <w:szCs w:val="21"/>
        </w:rPr>
        <w:t>磋商小组应当</w:t>
      </w:r>
      <w:r>
        <w:rPr>
          <w:rFonts w:hint="eastAsia"/>
          <w:szCs w:val="21"/>
        </w:rPr>
        <w:t>根据本章第26.2</w:t>
      </w:r>
      <w:r>
        <w:rPr>
          <w:rFonts w:hint="eastAsia"/>
          <w:kern w:val="0"/>
          <w:szCs w:val="21"/>
          <w:lang w:val="zh-CN"/>
        </w:rPr>
        <w:t>款</w:t>
      </w:r>
      <w:r>
        <w:rPr>
          <w:rFonts w:hint="eastAsia"/>
          <w:szCs w:val="21"/>
        </w:rPr>
        <w:t>规定</w:t>
      </w:r>
      <w:r>
        <w:rPr>
          <w:rFonts w:hint="eastAsia"/>
          <w:kern w:val="0"/>
          <w:szCs w:val="21"/>
        </w:rPr>
        <w:t>对供应商重新提交的响应文件进行审查。供应商重新提交的响应文件审查不合格的，不得进入下一轮磋商，也不得要求提交最后报价。</w:t>
      </w:r>
    </w:p>
    <w:p w14:paraId="7327767A">
      <w:pPr>
        <w:adjustRightInd w:val="0"/>
        <w:snapToGrid w:val="0"/>
        <w:spacing w:before="120" w:beforeLines="50"/>
        <w:jc w:val="left"/>
        <w:rPr>
          <w:kern w:val="0"/>
          <w:szCs w:val="21"/>
        </w:rPr>
      </w:pPr>
      <w:r>
        <w:rPr>
          <w:rFonts w:hint="eastAsia"/>
          <w:kern w:val="0"/>
          <w:szCs w:val="21"/>
        </w:rPr>
        <w:t>（1）磋商文件能够详细列明采购需求的技术、服务要求的，磋商结束后，磋商小组应当要求所有继续参加磋商的供应商在规定时间内提交最后报价。</w:t>
      </w:r>
    </w:p>
    <w:p w14:paraId="460EBAB4">
      <w:pPr>
        <w:widowControl/>
        <w:adjustRightInd w:val="0"/>
        <w:snapToGrid w:val="0"/>
        <w:spacing w:before="120" w:beforeLines="50"/>
        <w:jc w:val="left"/>
        <w:rPr>
          <w:kern w:val="0"/>
          <w:szCs w:val="21"/>
        </w:rPr>
      </w:pPr>
      <w:r>
        <w:rPr>
          <w:rFonts w:hint="eastAsia"/>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00A7238">
      <w:pPr>
        <w:widowControl/>
        <w:adjustRightInd w:val="0"/>
        <w:snapToGrid w:val="0"/>
        <w:spacing w:before="120" w:beforeLines="50"/>
        <w:jc w:val="left"/>
        <w:rPr>
          <w:bCs/>
          <w:szCs w:val="21"/>
        </w:rPr>
      </w:pPr>
      <w:r>
        <w:rPr>
          <w:rFonts w:hint="eastAsia"/>
          <w:bCs/>
          <w:szCs w:val="21"/>
        </w:rPr>
        <w:t>30.3</w:t>
      </w:r>
      <w:r>
        <w:rPr>
          <w:rFonts w:hint="eastAsia"/>
          <w:bCs/>
        </w:rPr>
        <w:t>重</w:t>
      </w:r>
      <w:r>
        <w:rPr>
          <w:rFonts w:hint="eastAsia"/>
          <w:kern w:val="0"/>
        </w:rPr>
        <w:t>新提交的响应文件</w:t>
      </w:r>
      <w:r>
        <w:rPr>
          <w:rFonts w:hint="eastAsia"/>
        </w:rPr>
        <w:t>或者最后报价应按</w:t>
      </w:r>
      <w:r>
        <w:rPr>
          <w:rFonts w:hint="eastAsia"/>
          <w:kern w:val="0"/>
          <w:szCs w:val="21"/>
        </w:rPr>
        <w:t>本章第</w:t>
      </w:r>
      <w:r>
        <w:rPr>
          <w:rFonts w:hint="eastAsia"/>
        </w:rPr>
        <w:t>21.3</w:t>
      </w:r>
      <w:r>
        <w:rPr>
          <w:rFonts w:hint="eastAsia"/>
          <w:kern w:val="0"/>
          <w:szCs w:val="21"/>
          <w:lang w:val="zh-CN"/>
        </w:rPr>
        <w:t>款</w:t>
      </w:r>
      <w:r>
        <w:rPr>
          <w:rFonts w:hint="eastAsia"/>
        </w:rPr>
        <w:t>规定，</w:t>
      </w:r>
      <w:r>
        <w:rPr>
          <w:rFonts w:hint="eastAsia"/>
          <w:kern w:val="0"/>
          <w:szCs w:val="21"/>
        </w:rPr>
        <w:t>由其法定代表人或其委托代理人签字或者加盖</w:t>
      </w:r>
      <w:r>
        <w:rPr>
          <w:rFonts w:hint="eastAsia"/>
          <w:kern w:val="0"/>
        </w:rPr>
        <w:t>供应商单位</w:t>
      </w:r>
      <w:r>
        <w:rPr>
          <w:rFonts w:hint="eastAsia"/>
          <w:kern w:val="0"/>
          <w:szCs w:val="21"/>
        </w:rPr>
        <w:t>章，在规定时间内密封递交给磋商小组</w:t>
      </w:r>
      <w:r>
        <w:rPr>
          <w:rFonts w:hint="eastAsia"/>
          <w:bCs/>
          <w:szCs w:val="21"/>
        </w:rPr>
        <w:t>。</w:t>
      </w:r>
    </w:p>
    <w:p w14:paraId="5B14209A">
      <w:pPr>
        <w:widowControl/>
        <w:adjustRightInd w:val="0"/>
        <w:snapToGrid w:val="0"/>
        <w:spacing w:before="120" w:beforeLines="50"/>
        <w:jc w:val="left"/>
        <w:rPr>
          <w:kern w:val="0"/>
          <w:szCs w:val="21"/>
        </w:rPr>
      </w:pPr>
      <w:r>
        <w:rPr>
          <w:rFonts w:hint="eastAsia"/>
          <w:kern w:val="0"/>
          <w:szCs w:val="21"/>
        </w:rPr>
        <w:t>30.4</w:t>
      </w:r>
      <w:r>
        <w:rPr>
          <w:rFonts w:hint="eastAsia"/>
          <w:kern w:val="0"/>
          <w:szCs w:val="21"/>
          <w:lang w:val="zh-CN"/>
        </w:rPr>
        <w:t>供应商的</w:t>
      </w:r>
      <w:r>
        <w:rPr>
          <w:rFonts w:hint="eastAsia"/>
          <w:bCs/>
          <w:szCs w:val="21"/>
        </w:rPr>
        <w:t>最</w:t>
      </w:r>
      <w:r>
        <w:rPr>
          <w:rFonts w:hint="eastAsia"/>
          <w:kern w:val="0"/>
          <w:szCs w:val="21"/>
          <w:lang w:val="zh-CN"/>
        </w:rPr>
        <w:t>后</w:t>
      </w:r>
      <w:r>
        <w:rPr>
          <w:rFonts w:hint="eastAsia"/>
          <w:bCs/>
          <w:szCs w:val="21"/>
        </w:rPr>
        <w:t>报价及</w:t>
      </w:r>
      <w:r>
        <w:rPr>
          <w:rFonts w:hint="eastAsia"/>
          <w:kern w:val="0"/>
          <w:szCs w:val="21"/>
        </w:rPr>
        <w:t>政府采购政策规定的价格扣除情况，磋商小组应召集所有参加最后报价的供应商当场开封</w:t>
      </w:r>
      <w:r>
        <w:rPr>
          <w:rFonts w:hint="eastAsia"/>
          <w:bCs/>
          <w:szCs w:val="21"/>
        </w:rPr>
        <w:t>公布，并由供应商代表签字确认。</w:t>
      </w:r>
    </w:p>
    <w:p w14:paraId="22F3B718">
      <w:pPr>
        <w:widowControl/>
        <w:adjustRightInd w:val="0"/>
        <w:snapToGrid w:val="0"/>
        <w:spacing w:before="120" w:beforeLines="50"/>
        <w:jc w:val="left"/>
        <w:rPr>
          <w:kern w:val="0"/>
          <w:szCs w:val="21"/>
        </w:rPr>
      </w:pPr>
      <w:r>
        <w:rPr>
          <w:rFonts w:hint="eastAsia"/>
          <w:kern w:val="0"/>
          <w:szCs w:val="21"/>
        </w:rPr>
        <w:t>30.5提交首次响应文件的供应商，在提交最后报价之前，可以根据磋商情况退出磋商，</w:t>
      </w:r>
      <w:r>
        <w:rPr>
          <w:rFonts w:hint="eastAsia"/>
          <w:kern w:val="0"/>
        </w:rPr>
        <w:t>并书面通知采购代理机构或者磋商小组。</w:t>
      </w:r>
      <w:r>
        <w:rPr>
          <w:rFonts w:hint="eastAsia"/>
        </w:rPr>
        <w:t>该通知由供应商法定代表人或其委托代理人签字。</w:t>
      </w:r>
      <w:r>
        <w:rPr>
          <w:rFonts w:hint="eastAsia"/>
          <w:kern w:val="0"/>
          <w:szCs w:val="21"/>
        </w:rPr>
        <w:t>采购代理机构</w:t>
      </w:r>
      <w:r>
        <w:rPr>
          <w:rFonts w:hint="eastAsia"/>
          <w:kern w:val="0"/>
        </w:rPr>
        <w:t>按</w:t>
      </w:r>
      <w:r>
        <w:rPr>
          <w:rFonts w:hint="eastAsia"/>
          <w:kern w:val="0"/>
          <w:szCs w:val="21"/>
        </w:rPr>
        <w:t>本章第</w:t>
      </w:r>
      <w:r>
        <w:rPr>
          <w:rFonts w:hint="eastAsia"/>
        </w:rPr>
        <w:t>19.4</w:t>
      </w:r>
      <w:r>
        <w:rPr>
          <w:rFonts w:hint="eastAsia"/>
          <w:kern w:val="0"/>
          <w:szCs w:val="21"/>
          <w:lang w:val="zh-CN"/>
        </w:rPr>
        <w:t>款</w:t>
      </w:r>
      <w:r>
        <w:rPr>
          <w:rFonts w:hint="eastAsia"/>
        </w:rPr>
        <w:t>规定</w:t>
      </w:r>
      <w:r>
        <w:rPr>
          <w:rFonts w:hint="eastAsia"/>
          <w:kern w:val="0"/>
          <w:szCs w:val="21"/>
        </w:rPr>
        <w:t>退还退出磋商的供应商的磋商保证金。</w:t>
      </w:r>
    </w:p>
    <w:p w14:paraId="4AF07B05">
      <w:pPr>
        <w:adjustRightInd w:val="0"/>
        <w:snapToGrid w:val="0"/>
        <w:spacing w:before="120" w:beforeLines="50"/>
        <w:jc w:val="left"/>
        <w:rPr>
          <w:kern w:val="0"/>
          <w:szCs w:val="21"/>
        </w:rPr>
      </w:pPr>
      <w:r>
        <w:rPr>
          <w:rFonts w:hint="eastAsia"/>
          <w:bCs/>
          <w:szCs w:val="21"/>
        </w:rPr>
        <w:t>30.6</w:t>
      </w:r>
      <w:r>
        <w:rPr>
          <w:rFonts w:hint="eastAsia"/>
          <w:kern w:val="0"/>
          <w:szCs w:val="21"/>
        </w:rPr>
        <w:t>提交首次响应文件的供应商，未按磋商文件规定及磋商小组要求提交最后报价(或者</w:t>
      </w:r>
      <w:r>
        <w:rPr>
          <w:rFonts w:hint="eastAsia"/>
          <w:bCs/>
          <w:szCs w:val="21"/>
        </w:rPr>
        <w:t>重</w:t>
      </w:r>
      <w:r>
        <w:rPr>
          <w:rFonts w:hint="eastAsia"/>
          <w:kern w:val="0"/>
          <w:szCs w:val="21"/>
        </w:rPr>
        <w:t>新提交的响应文件和最后报价)，且又</w:t>
      </w:r>
      <w:r>
        <w:rPr>
          <w:rFonts w:hint="eastAsia"/>
          <w:kern w:val="0"/>
        </w:rPr>
        <w:t>未按</w:t>
      </w:r>
      <w:r>
        <w:rPr>
          <w:rFonts w:hint="eastAsia"/>
          <w:kern w:val="0"/>
          <w:szCs w:val="21"/>
        </w:rPr>
        <w:t>本章第</w:t>
      </w:r>
      <w:r>
        <w:rPr>
          <w:rFonts w:hint="eastAsia"/>
        </w:rPr>
        <w:t>30.5</w:t>
      </w:r>
      <w:r>
        <w:rPr>
          <w:rFonts w:hint="eastAsia"/>
          <w:kern w:val="0"/>
          <w:szCs w:val="21"/>
          <w:lang w:val="zh-CN"/>
        </w:rPr>
        <w:t>款</w:t>
      </w:r>
      <w:r>
        <w:rPr>
          <w:rFonts w:hint="eastAsia"/>
        </w:rPr>
        <w:t>规定</w:t>
      </w:r>
      <w:r>
        <w:rPr>
          <w:rFonts w:hint="eastAsia"/>
          <w:kern w:val="0"/>
          <w:szCs w:val="21"/>
        </w:rPr>
        <w:t>退出磋商的，供应商的磋商保证金不予退还。</w:t>
      </w:r>
    </w:p>
    <w:p w14:paraId="2AC20249">
      <w:pPr>
        <w:adjustRightInd w:val="0"/>
        <w:snapToGrid w:val="0"/>
        <w:spacing w:before="120" w:beforeLines="50"/>
        <w:jc w:val="left"/>
        <w:rPr>
          <w:kern w:val="0"/>
          <w:szCs w:val="21"/>
        </w:rPr>
      </w:pPr>
      <w:r>
        <w:rPr>
          <w:rFonts w:hint="eastAsia"/>
          <w:kern w:val="0"/>
          <w:szCs w:val="21"/>
        </w:rPr>
        <w:t>30.7磋商文件在磋商过程中未发生实质性变动的，参加磋商供应商的次轮报价不得高于上轮报价，否则视为无效响应。</w:t>
      </w:r>
    </w:p>
    <w:p w14:paraId="1E9AB18B">
      <w:pPr>
        <w:adjustRightInd w:val="0"/>
        <w:snapToGrid w:val="0"/>
        <w:spacing w:before="120" w:beforeLines="50"/>
        <w:ind w:firstLine="0" w:firstLineChars="0"/>
        <w:outlineLvl w:val="3"/>
        <w:rPr>
          <w:b/>
          <w:bCs/>
          <w:sz w:val="24"/>
        </w:rPr>
      </w:pPr>
      <w:r>
        <w:rPr>
          <w:rFonts w:hint="eastAsia"/>
          <w:b/>
          <w:bCs/>
          <w:sz w:val="24"/>
        </w:rPr>
        <w:t>31.响应文件评审</w:t>
      </w:r>
    </w:p>
    <w:p w14:paraId="02137924">
      <w:pPr>
        <w:widowControl/>
        <w:adjustRightInd w:val="0"/>
        <w:snapToGrid w:val="0"/>
        <w:spacing w:before="120" w:beforeLines="50"/>
        <w:jc w:val="left"/>
        <w:rPr>
          <w:bCs/>
          <w:szCs w:val="21"/>
        </w:rPr>
      </w:pPr>
      <w:r>
        <w:rPr>
          <w:rFonts w:hint="eastAsia"/>
          <w:bCs/>
          <w:szCs w:val="21"/>
        </w:rPr>
        <w:t>31.1经磋商确定最终采购需求和提交最后报价的供应商后，由磋商小组采用综合评分法对提交最后报价的供应商的响应文件和最后报价进行综合评价。</w:t>
      </w:r>
    </w:p>
    <w:p w14:paraId="106527A9">
      <w:pPr>
        <w:widowControl/>
        <w:adjustRightInd w:val="0"/>
        <w:snapToGrid w:val="0"/>
        <w:spacing w:before="120" w:beforeLines="50"/>
        <w:jc w:val="left"/>
        <w:rPr>
          <w:bCs/>
          <w:szCs w:val="21"/>
        </w:rPr>
      </w:pPr>
      <w:r>
        <w:rPr>
          <w:rFonts w:hint="eastAsia"/>
          <w:bCs/>
          <w:szCs w:val="21"/>
        </w:rPr>
        <w:t>31.2综合评分法，是指响应文件满足磋商文件全部实质性要求且按评审因素的量化指标评审得分最高的供应商为成交候选供应商的评审方法。本采购项目的评审因素和标准见</w:t>
      </w:r>
      <w:r>
        <w:rPr>
          <w:rFonts w:hint="eastAsia"/>
          <w:b/>
          <w:bCs/>
          <w:szCs w:val="21"/>
        </w:rPr>
        <w:t>磋商须知前附表。</w:t>
      </w:r>
    </w:p>
    <w:p w14:paraId="772019A6">
      <w:pPr>
        <w:widowControl/>
        <w:adjustRightInd w:val="0"/>
        <w:snapToGrid w:val="0"/>
        <w:spacing w:before="120" w:beforeLines="50"/>
        <w:jc w:val="left"/>
        <w:rPr>
          <w:bCs/>
          <w:szCs w:val="21"/>
        </w:rPr>
      </w:pPr>
      <w:r>
        <w:rPr>
          <w:rFonts w:hint="eastAsia"/>
          <w:kern w:val="0"/>
          <w:szCs w:val="21"/>
        </w:rPr>
        <w:t>31.3</w:t>
      </w:r>
      <w:r>
        <w:rPr>
          <w:rFonts w:hint="eastAsia"/>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b/>
          <w:szCs w:val="21"/>
        </w:rPr>
        <w:t>磋商须知前附表</w:t>
      </w:r>
      <w:r>
        <w:rPr>
          <w:rFonts w:hint="eastAsia"/>
          <w:szCs w:val="21"/>
        </w:rPr>
        <w:t>。</w:t>
      </w:r>
    </w:p>
    <w:p w14:paraId="36795655">
      <w:pPr>
        <w:widowControl/>
        <w:adjustRightInd w:val="0"/>
        <w:snapToGrid w:val="0"/>
        <w:spacing w:before="120" w:beforeLines="50"/>
        <w:jc w:val="left"/>
        <w:rPr>
          <w:kern w:val="0"/>
          <w:szCs w:val="21"/>
        </w:rPr>
      </w:pPr>
      <w:r>
        <w:rPr>
          <w:rFonts w:hint="eastAsia"/>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3DF2DB88">
      <w:pPr>
        <w:widowControl/>
        <w:adjustRightInd w:val="0"/>
        <w:snapToGrid w:val="0"/>
        <w:spacing w:before="120" w:beforeLines="50"/>
        <w:jc w:val="left"/>
        <w:rPr>
          <w:kern w:val="0"/>
          <w:szCs w:val="21"/>
        </w:rPr>
      </w:pPr>
      <w:r>
        <w:rPr>
          <w:rFonts w:hint="eastAsia"/>
          <w:kern w:val="0"/>
          <w:szCs w:val="21"/>
        </w:rPr>
        <w:t>磋商报价得分=（磋商基准价/最后磋商报价）×价格权值</w:t>
      </w:r>
    </w:p>
    <w:p w14:paraId="1DA47957">
      <w:pPr>
        <w:widowControl/>
        <w:adjustRightInd w:val="0"/>
        <w:snapToGrid w:val="0"/>
        <w:spacing w:before="120" w:beforeLines="50"/>
        <w:jc w:val="left"/>
        <w:rPr>
          <w:kern w:val="0"/>
          <w:szCs w:val="21"/>
        </w:rPr>
      </w:pPr>
      <w:r>
        <w:rPr>
          <w:rFonts w:hint="eastAsia"/>
          <w:kern w:val="0"/>
          <w:szCs w:val="21"/>
        </w:rPr>
        <w:t>项目评审过程中，不得去掉最后报价中的最高报价和最低报价。</w:t>
      </w:r>
    </w:p>
    <w:p w14:paraId="4F7453C3">
      <w:pPr>
        <w:widowControl/>
        <w:adjustRightInd w:val="0"/>
        <w:snapToGrid w:val="0"/>
        <w:spacing w:before="120" w:beforeLines="50"/>
        <w:jc w:val="left"/>
        <w:rPr>
          <w:szCs w:val="21"/>
        </w:rPr>
      </w:pPr>
      <w:r>
        <w:rPr>
          <w:rFonts w:hint="eastAsia"/>
          <w:bCs/>
          <w:szCs w:val="21"/>
        </w:rPr>
        <w:t>31.5</w:t>
      </w:r>
      <w:r>
        <w:rPr>
          <w:rFonts w:hint="eastAsia"/>
          <w:szCs w:val="21"/>
        </w:rPr>
        <w:t>涉及政府采购政策优惠对供应商分值进行调整的，</w:t>
      </w:r>
      <w:r>
        <w:rPr>
          <w:rFonts w:hint="eastAsia"/>
          <w:bCs/>
          <w:szCs w:val="21"/>
        </w:rPr>
        <w:t>按</w:t>
      </w:r>
      <w:r>
        <w:rPr>
          <w:rFonts w:hint="eastAsia"/>
          <w:b/>
          <w:szCs w:val="21"/>
        </w:rPr>
        <w:t>磋商须知前附表</w:t>
      </w:r>
      <w:r>
        <w:rPr>
          <w:rFonts w:hint="eastAsia"/>
          <w:bCs/>
          <w:szCs w:val="21"/>
        </w:rPr>
        <w:t>规定</w:t>
      </w:r>
      <w:r>
        <w:rPr>
          <w:rFonts w:hint="eastAsia"/>
          <w:szCs w:val="21"/>
        </w:rPr>
        <w:t>调整供应商的技术、商务、价格</w:t>
      </w:r>
      <w:r>
        <w:rPr>
          <w:rFonts w:hint="eastAsia"/>
          <w:kern w:val="0"/>
          <w:szCs w:val="21"/>
        </w:rPr>
        <w:t>得分或总得分</w:t>
      </w:r>
      <w:r>
        <w:rPr>
          <w:rFonts w:hint="eastAsia"/>
          <w:szCs w:val="21"/>
        </w:rPr>
        <w:t>。</w:t>
      </w:r>
    </w:p>
    <w:p w14:paraId="71BFA534">
      <w:pPr>
        <w:adjustRightInd w:val="0"/>
        <w:snapToGrid w:val="0"/>
        <w:spacing w:before="120" w:beforeLines="50"/>
        <w:jc w:val="left"/>
        <w:rPr>
          <w:szCs w:val="21"/>
        </w:rPr>
      </w:pPr>
      <w:r>
        <w:rPr>
          <w:rFonts w:hint="eastAsia"/>
          <w:szCs w:val="21"/>
        </w:rPr>
        <w:t>31.6涉及多处或部分获得政府采购政策优惠的，其多处或部分享受政府采购优惠政策的计算方法按磋商文件第二章9.4款有关规定计算。</w:t>
      </w:r>
    </w:p>
    <w:p w14:paraId="784213DC">
      <w:pPr>
        <w:widowControl/>
        <w:adjustRightInd w:val="0"/>
        <w:snapToGrid w:val="0"/>
        <w:spacing w:before="120" w:beforeLines="50"/>
        <w:jc w:val="left"/>
        <w:rPr>
          <w:szCs w:val="21"/>
        </w:rPr>
      </w:pPr>
      <w:r>
        <w:rPr>
          <w:rFonts w:hint="eastAsia"/>
          <w:kern w:val="0"/>
          <w:szCs w:val="21"/>
        </w:rPr>
        <w:t>31.7</w:t>
      </w:r>
      <w:r>
        <w:rPr>
          <w:rFonts w:hint="eastAsia"/>
          <w:szCs w:val="21"/>
        </w:rPr>
        <w:t>评审时，磋商小组各成员应当独立对每个供应商的</w:t>
      </w:r>
      <w:r>
        <w:rPr>
          <w:rFonts w:hint="eastAsia"/>
          <w:bCs/>
          <w:szCs w:val="21"/>
        </w:rPr>
        <w:t>响应文件</w:t>
      </w:r>
      <w:r>
        <w:rPr>
          <w:rFonts w:hint="eastAsia"/>
          <w:szCs w:val="21"/>
        </w:rPr>
        <w:t>进行评价、评分，并按照政府采购优惠政策对最后报价进行价格扣除和技术、商务、价格加分后，汇总各供应商的总得分。</w:t>
      </w:r>
    </w:p>
    <w:p w14:paraId="1669BF34">
      <w:pPr>
        <w:adjustRightInd w:val="0"/>
        <w:snapToGrid w:val="0"/>
        <w:spacing w:before="120" w:beforeLines="50"/>
        <w:ind w:firstLine="0" w:firstLineChars="0"/>
        <w:outlineLvl w:val="3"/>
        <w:rPr>
          <w:b/>
          <w:bCs/>
          <w:sz w:val="24"/>
        </w:rPr>
      </w:pPr>
      <w:r>
        <w:rPr>
          <w:rFonts w:hint="eastAsia"/>
          <w:b/>
          <w:bCs/>
          <w:sz w:val="24"/>
        </w:rPr>
        <w:t>32.提出成交供应商</w:t>
      </w:r>
    </w:p>
    <w:p w14:paraId="25FD4278">
      <w:pPr>
        <w:widowControl/>
        <w:adjustRightInd w:val="0"/>
        <w:snapToGrid w:val="0"/>
        <w:spacing w:before="120" w:beforeLines="50"/>
        <w:jc w:val="left"/>
        <w:rPr>
          <w:kern w:val="0"/>
          <w:szCs w:val="21"/>
        </w:rPr>
      </w:pPr>
      <w:r>
        <w:rPr>
          <w:rFonts w:hint="eastAsia"/>
          <w:kern w:val="0"/>
          <w:szCs w:val="21"/>
        </w:rPr>
        <w:t>32.1</w:t>
      </w:r>
      <w:r>
        <w:rPr>
          <w:rFonts w:hint="eastAsia"/>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bCs/>
          <w:szCs w:val="21"/>
        </w:rPr>
        <w:t>可以推荐2家成交候选供应商。</w:t>
      </w:r>
    </w:p>
    <w:p w14:paraId="3EF19588">
      <w:pPr>
        <w:adjustRightInd w:val="0"/>
        <w:snapToGrid w:val="0"/>
        <w:spacing w:before="120" w:beforeLines="50"/>
        <w:ind w:firstLine="0" w:firstLineChars="0"/>
        <w:outlineLvl w:val="3"/>
        <w:rPr>
          <w:b/>
          <w:bCs/>
          <w:sz w:val="24"/>
        </w:rPr>
      </w:pPr>
      <w:r>
        <w:rPr>
          <w:rFonts w:hint="eastAsia"/>
          <w:b/>
          <w:bCs/>
          <w:sz w:val="24"/>
        </w:rPr>
        <w:t>33.确定成交供应商</w:t>
      </w:r>
    </w:p>
    <w:p w14:paraId="21DEC159">
      <w:pPr>
        <w:widowControl/>
        <w:adjustRightInd w:val="0"/>
        <w:snapToGrid w:val="0"/>
        <w:jc w:val="left"/>
        <w:rPr>
          <w:kern w:val="0"/>
          <w:szCs w:val="21"/>
        </w:rPr>
      </w:pPr>
      <w:r>
        <w:rPr>
          <w:rFonts w:hint="eastAsia"/>
          <w:kern w:val="0"/>
          <w:szCs w:val="21"/>
        </w:rPr>
        <w:t>33.1采购代理机构应当在评审结束后2个工作日内将评审报告送采购人确认。</w:t>
      </w:r>
    </w:p>
    <w:p w14:paraId="4FF8B079">
      <w:pPr>
        <w:widowControl/>
        <w:adjustRightInd w:val="0"/>
        <w:snapToGrid w:val="0"/>
        <w:jc w:val="left"/>
        <w:rPr>
          <w:kern w:val="0"/>
          <w:szCs w:val="21"/>
        </w:rPr>
      </w:pPr>
      <w:r>
        <w:rPr>
          <w:rFonts w:hint="eastAsia"/>
          <w:kern w:val="0"/>
          <w:szCs w:val="21"/>
        </w:rPr>
        <w:t>33.2采购人应当在收到评审报告后5个工作日内，从评审报告提出的成交候选供应商中，按照排序由高到低的原则确定成交供应商，也可以书面授权磋商小组直接确定成交供应商。</w:t>
      </w:r>
    </w:p>
    <w:p w14:paraId="42C6057A">
      <w:pPr>
        <w:adjustRightInd w:val="0"/>
        <w:snapToGrid w:val="0"/>
        <w:spacing w:before="120" w:beforeLines="50"/>
        <w:ind w:firstLine="0" w:firstLineChars="0"/>
        <w:outlineLvl w:val="3"/>
        <w:rPr>
          <w:b/>
          <w:bCs/>
          <w:sz w:val="24"/>
        </w:rPr>
      </w:pPr>
      <w:r>
        <w:rPr>
          <w:rFonts w:hint="eastAsia"/>
          <w:b/>
          <w:bCs/>
          <w:sz w:val="24"/>
        </w:rPr>
        <w:t>34.磋商终止</w:t>
      </w:r>
    </w:p>
    <w:p w14:paraId="72E3B9EB">
      <w:pPr>
        <w:widowControl/>
        <w:adjustRightInd w:val="0"/>
        <w:snapToGrid w:val="0"/>
        <w:spacing w:before="120" w:beforeLines="50"/>
        <w:jc w:val="left"/>
        <w:rPr>
          <w:kern w:val="0"/>
          <w:szCs w:val="21"/>
        </w:rPr>
      </w:pPr>
      <w:r>
        <w:rPr>
          <w:rFonts w:hint="eastAsia"/>
          <w:bCs/>
          <w:szCs w:val="21"/>
        </w:rPr>
        <w:t>34.1</w:t>
      </w:r>
      <w:r>
        <w:rPr>
          <w:rFonts w:hint="eastAsia"/>
          <w:kern w:val="0"/>
          <w:szCs w:val="21"/>
        </w:rPr>
        <w:t>出现下列情形之一的，采购人或者采购代理机构应当终止竞争性磋商采购活动，</w:t>
      </w:r>
      <w:r>
        <w:rPr>
          <w:rFonts w:hint="eastAsia"/>
        </w:rPr>
        <w:t>在本章第37.1款指定的媒体上</w:t>
      </w:r>
      <w:r>
        <w:rPr>
          <w:rFonts w:hint="eastAsia"/>
          <w:kern w:val="0"/>
          <w:szCs w:val="21"/>
        </w:rPr>
        <w:t>发布项目终止公告并说明原因，重新开展采购活动：</w:t>
      </w:r>
    </w:p>
    <w:p w14:paraId="6FF417A6">
      <w:pPr>
        <w:widowControl/>
        <w:adjustRightInd w:val="0"/>
        <w:snapToGrid w:val="0"/>
        <w:spacing w:before="120" w:beforeLines="50"/>
        <w:jc w:val="left"/>
        <w:rPr>
          <w:kern w:val="0"/>
          <w:szCs w:val="21"/>
        </w:rPr>
      </w:pPr>
      <w:r>
        <w:rPr>
          <w:rFonts w:hint="eastAsia"/>
          <w:kern w:val="0"/>
          <w:szCs w:val="21"/>
        </w:rPr>
        <w:t>（1）因情况变化，不再符合规定的竞争性磋商采购方式适用情形的；</w:t>
      </w:r>
    </w:p>
    <w:p w14:paraId="37B5D103">
      <w:pPr>
        <w:widowControl/>
        <w:adjustRightInd w:val="0"/>
        <w:snapToGrid w:val="0"/>
        <w:spacing w:before="120" w:beforeLines="50"/>
        <w:jc w:val="left"/>
        <w:rPr>
          <w:kern w:val="0"/>
          <w:szCs w:val="21"/>
        </w:rPr>
      </w:pPr>
      <w:r>
        <w:rPr>
          <w:rFonts w:hint="eastAsia"/>
          <w:kern w:val="0"/>
          <w:szCs w:val="21"/>
        </w:rPr>
        <w:t>（2）出现影响采购公正的违法、违规行为的；</w:t>
      </w:r>
    </w:p>
    <w:p w14:paraId="33407A4D">
      <w:pPr>
        <w:widowControl/>
        <w:adjustRightInd w:val="0"/>
        <w:snapToGrid w:val="0"/>
        <w:spacing w:before="120" w:beforeLines="50"/>
        <w:jc w:val="left"/>
        <w:rPr>
          <w:bCs/>
          <w:szCs w:val="21"/>
        </w:rPr>
      </w:pPr>
      <w:r>
        <w:rPr>
          <w:rFonts w:hint="eastAsia"/>
          <w:kern w:val="0"/>
          <w:szCs w:val="21"/>
        </w:rPr>
        <w:t>（3）</w:t>
      </w:r>
      <w:r>
        <w:rPr>
          <w:rFonts w:hint="eastAsia"/>
          <w:bCs/>
          <w:szCs w:val="21"/>
        </w:rPr>
        <w:t>除《政府采购竞争性磋商采购方式管理暂行办法》(财库〔2014〕214号)</w:t>
      </w:r>
      <w:r>
        <w:rPr>
          <w:rFonts w:hint="eastAsia"/>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bCs/>
          <w:szCs w:val="21"/>
        </w:rPr>
        <w:t>情形外，在采购过程中符合要求的供应商或者报价未超过采购预算的供应商不足3家的；</w:t>
      </w:r>
    </w:p>
    <w:p w14:paraId="44F5C42E">
      <w:pPr>
        <w:widowControl/>
        <w:adjustRightInd w:val="0"/>
        <w:snapToGrid w:val="0"/>
        <w:spacing w:before="120" w:beforeLines="50"/>
        <w:jc w:val="left"/>
        <w:rPr>
          <w:bCs/>
          <w:szCs w:val="21"/>
        </w:rPr>
      </w:pPr>
      <w:r>
        <w:rPr>
          <w:rFonts w:hint="eastAsia"/>
          <w:kern w:val="0"/>
          <w:szCs w:val="21"/>
        </w:rPr>
        <w:t>（4）因重大变故，采购任务取消的。</w:t>
      </w:r>
    </w:p>
    <w:p w14:paraId="24E664B0">
      <w:pPr>
        <w:adjustRightInd w:val="0"/>
        <w:snapToGrid w:val="0"/>
        <w:spacing w:before="120" w:beforeLines="50"/>
        <w:ind w:firstLine="0" w:firstLineChars="0"/>
        <w:outlineLvl w:val="3"/>
        <w:rPr>
          <w:b/>
          <w:bCs/>
          <w:sz w:val="24"/>
        </w:rPr>
      </w:pPr>
      <w:r>
        <w:rPr>
          <w:rFonts w:hint="eastAsia"/>
          <w:b/>
          <w:bCs/>
          <w:sz w:val="24"/>
        </w:rPr>
        <w:t>35．重新评审</w:t>
      </w:r>
    </w:p>
    <w:p w14:paraId="3138566A">
      <w:pPr>
        <w:widowControl/>
        <w:adjustRightInd w:val="0"/>
        <w:snapToGrid w:val="0"/>
        <w:spacing w:before="120" w:beforeLines="50"/>
        <w:jc w:val="left"/>
        <w:rPr>
          <w:kern w:val="0"/>
          <w:szCs w:val="21"/>
        </w:rPr>
      </w:pPr>
      <w:r>
        <w:rPr>
          <w:rFonts w:hint="eastAsia"/>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41D93A0F">
      <w:pPr>
        <w:adjustRightInd w:val="0"/>
        <w:snapToGrid w:val="0"/>
        <w:spacing w:before="120" w:beforeLines="50"/>
        <w:ind w:firstLine="0" w:firstLineChars="0"/>
        <w:outlineLvl w:val="3"/>
        <w:rPr>
          <w:b/>
          <w:bCs/>
          <w:sz w:val="24"/>
        </w:rPr>
      </w:pPr>
      <w:r>
        <w:rPr>
          <w:rFonts w:hint="eastAsia"/>
          <w:b/>
          <w:bCs/>
          <w:sz w:val="24"/>
        </w:rPr>
        <w:t>36.保密及串通行为</w:t>
      </w:r>
    </w:p>
    <w:p w14:paraId="47FB0339">
      <w:pPr>
        <w:adjustRightInd w:val="0"/>
        <w:snapToGrid w:val="0"/>
        <w:jc w:val="left"/>
      </w:pPr>
      <w:r>
        <w:rPr>
          <w:rFonts w:hint="eastAsia"/>
        </w:rPr>
        <w:t>36.1磋商小组成员以及与评审工作有关的人员不得泄露评审情况以及评审过程中获悉的国家秘密、商业秘密。</w:t>
      </w:r>
    </w:p>
    <w:p w14:paraId="7D32CA22">
      <w:pPr>
        <w:adjustRightInd w:val="0"/>
        <w:snapToGrid w:val="0"/>
        <w:jc w:val="left"/>
        <w:rPr>
          <w:szCs w:val="21"/>
        </w:rPr>
      </w:pPr>
      <w:r>
        <w:rPr>
          <w:rFonts w:hint="eastAsia"/>
          <w:szCs w:val="21"/>
        </w:rPr>
        <w:t>36.2</w:t>
      </w:r>
      <w:r>
        <w:rPr>
          <w:rFonts w:hint="eastAsia"/>
          <w:kern w:val="0"/>
          <w:szCs w:val="21"/>
        </w:rPr>
        <w:t>供应商</w:t>
      </w:r>
      <w:r>
        <w:rPr>
          <w:rFonts w:hint="eastAsia"/>
          <w:szCs w:val="21"/>
        </w:rPr>
        <w:t>不得与</w:t>
      </w:r>
      <w:r>
        <w:rPr>
          <w:rFonts w:hint="eastAsia"/>
          <w:kern w:val="0"/>
          <w:szCs w:val="21"/>
        </w:rPr>
        <w:t>采购人、采购代理机构、其他供应商恶意</w:t>
      </w:r>
      <w:r>
        <w:rPr>
          <w:rFonts w:hint="eastAsia"/>
          <w:szCs w:val="21"/>
        </w:rPr>
        <w:t>串通；不得向</w:t>
      </w:r>
      <w:r>
        <w:rPr>
          <w:rFonts w:hint="eastAsia"/>
          <w:kern w:val="0"/>
          <w:szCs w:val="21"/>
        </w:rPr>
        <w:t>采购人、采购代理机构</w:t>
      </w:r>
      <w:r>
        <w:rPr>
          <w:rFonts w:hint="eastAsia"/>
          <w:szCs w:val="21"/>
        </w:rPr>
        <w:t>或者磋商小组成员行贿或者提供其他不正当利益；不得提供虚假资料谋取成交；不得以任何方式干扰、影响采购工作。</w:t>
      </w:r>
    </w:p>
    <w:p w14:paraId="3247FC22">
      <w:pPr>
        <w:pStyle w:val="39"/>
        <w:adjustRightInd w:val="0"/>
        <w:snapToGrid w:val="0"/>
        <w:spacing w:before="0" w:beforeAutospacing="0" w:after="0" w:afterAutospacing="0"/>
        <w:rPr>
          <w:sz w:val="21"/>
          <w:szCs w:val="21"/>
          <w:lang w:val="zh-CN"/>
        </w:rPr>
      </w:pPr>
      <w:r>
        <w:rPr>
          <w:rFonts w:hint="eastAsia"/>
          <w:sz w:val="21"/>
          <w:szCs w:val="21"/>
        </w:rPr>
        <w:t>36.3</w:t>
      </w:r>
      <w:r>
        <w:rPr>
          <w:rFonts w:hint="eastAsia"/>
          <w:sz w:val="21"/>
          <w:szCs w:val="21"/>
          <w:lang w:val="zh-CN"/>
        </w:rPr>
        <w:t>有下列情形之一的，属于恶意串通，对供应商依照政府采购法第七十七条第一款的规定追究法律责任：</w:t>
      </w:r>
    </w:p>
    <w:p w14:paraId="78DA5AFA">
      <w:pPr>
        <w:pStyle w:val="39"/>
        <w:adjustRightInd w:val="0"/>
        <w:snapToGrid w:val="0"/>
        <w:spacing w:before="0" w:beforeAutospacing="0" w:after="0" w:afterAutospacing="0"/>
        <w:rPr>
          <w:sz w:val="21"/>
          <w:szCs w:val="21"/>
          <w:lang w:val="zh-CN"/>
        </w:rPr>
      </w:pPr>
      <w:r>
        <w:rPr>
          <w:rFonts w:hint="eastAsia"/>
          <w:sz w:val="21"/>
          <w:szCs w:val="21"/>
          <w:lang w:val="zh-CN"/>
        </w:rPr>
        <w:t>（一）供应商直接或者间接从采购人或者采购代理机构处获得其他供应商的相关情况并修改其投标文件或者响应文件；</w:t>
      </w:r>
    </w:p>
    <w:p w14:paraId="492EC255">
      <w:pPr>
        <w:pStyle w:val="39"/>
        <w:adjustRightInd w:val="0"/>
        <w:snapToGrid w:val="0"/>
        <w:spacing w:before="0" w:beforeAutospacing="0" w:after="0" w:afterAutospacing="0"/>
        <w:rPr>
          <w:sz w:val="21"/>
          <w:szCs w:val="21"/>
          <w:lang w:val="zh-CN"/>
        </w:rPr>
      </w:pPr>
      <w:r>
        <w:rPr>
          <w:rFonts w:hint="eastAsia"/>
          <w:sz w:val="21"/>
          <w:szCs w:val="21"/>
          <w:lang w:val="zh-CN"/>
        </w:rPr>
        <w:t>（二）供应商按照采购人或者采购代理机构的授意撤换、修改投标文件或者响应文件；</w:t>
      </w:r>
    </w:p>
    <w:p w14:paraId="779C2D6D">
      <w:pPr>
        <w:pStyle w:val="39"/>
        <w:adjustRightInd w:val="0"/>
        <w:snapToGrid w:val="0"/>
        <w:spacing w:before="0" w:beforeAutospacing="0" w:after="0" w:afterAutospacing="0"/>
        <w:rPr>
          <w:sz w:val="21"/>
          <w:szCs w:val="21"/>
          <w:lang w:val="zh-CN"/>
        </w:rPr>
      </w:pPr>
      <w:r>
        <w:rPr>
          <w:rFonts w:hint="eastAsia"/>
          <w:sz w:val="21"/>
          <w:szCs w:val="21"/>
          <w:lang w:val="zh-CN"/>
        </w:rPr>
        <w:t>（三）供应商之间协商报价、技术方案等投标文件或者响应文件的实质性内容；</w:t>
      </w:r>
    </w:p>
    <w:p w14:paraId="5EC620B2">
      <w:pPr>
        <w:pStyle w:val="39"/>
        <w:adjustRightInd w:val="0"/>
        <w:snapToGrid w:val="0"/>
        <w:spacing w:before="0" w:beforeAutospacing="0" w:after="0" w:afterAutospacing="0"/>
        <w:rPr>
          <w:sz w:val="21"/>
          <w:szCs w:val="21"/>
          <w:lang w:val="zh-CN"/>
        </w:rPr>
      </w:pPr>
      <w:r>
        <w:rPr>
          <w:rFonts w:hint="eastAsia"/>
          <w:sz w:val="21"/>
          <w:szCs w:val="21"/>
          <w:lang w:val="zh-CN"/>
        </w:rPr>
        <w:t>（四）属于同一集团、协会、商会等组织成员的供应商按照该组织要求协同参加政府采购活动；</w:t>
      </w:r>
    </w:p>
    <w:p w14:paraId="4959CD7B">
      <w:pPr>
        <w:pStyle w:val="39"/>
        <w:adjustRightInd w:val="0"/>
        <w:snapToGrid w:val="0"/>
        <w:spacing w:before="0" w:beforeAutospacing="0" w:after="0" w:afterAutospacing="0"/>
        <w:rPr>
          <w:sz w:val="21"/>
          <w:szCs w:val="21"/>
          <w:lang w:val="zh-CN"/>
        </w:rPr>
      </w:pPr>
      <w:r>
        <w:rPr>
          <w:rFonts w:hint="eastAsia"/>
          <w:sz w:val="21"/>
          <w:szCs w:val="21"/>
          <w:lang w:val="zh-CN"/>
        </w:rPr>
        <w:t>（五）供应商之间事先约定由某一特定供应商中标、成交；</w:t>
      </w:r>
    </w:p>
    <w:p w14:paraId="450967BA">
      <w:pPr>
        <w:pStyle w:val="39"/>
        <w:adjustRightInd w:val="0"/>
        <w:snapToGrid w:val="0"/>
        <w:spacing w:before="0" w:beforeAutospacing="0" w:after="0" w:afterAutospacing="0"/>
        <w:rPr>
          <w:sz w:val="21"/>
          <w:szCs w:val="21"/>
          <w:lang w:val="zh-CN"/>
        </w:rPr>
      </w:pPr>
      <w:r>
        <w:rPr>
          <w:rFonts w:hint="eastAsia"/>
          <w:sz w:val="21"/>
          <w:szCs w:val="21"/>
          <w:lang w:val="zh-CN"/>
        </w:rPr>
        <w:t>（六）供应商之间商定部分供应商放弃参加政府采购活动或者放弃中标、成交；</w:t>
      </w:r>
    </w:p>
    <w:p w14:paraId="4698EC66">
      <w:pPr>
        <w:pStyle w:val="39"/>
        <w:adjustRightInd w:val="0"/>
        <w:snapToGrid w:val="0"/>
        <w:spacing w:before="0" w:beforeAutospacing="0" w:after="0" w:afterAutospacing="0"/>
        <w:rPr>
          <w:rFonts w:ascii="Times New Roman" w:hAnsi="Times New Roman" w:cs="Times New Roman"/>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6370041F">
      <w:pPr>
        <w:adjustRightInd w:val="0"/>
        <w:snapToGrid w:val="0"/>
        <w:spacing w:before="120" w:beforeLines="50"/>
        <w:ind w:firstLine="0" w:firstLineChars="0"/>
        <w:jc w:val="center"/>
        <w:outlineLvl w:val="2"/>
        <w:rPr>
          <w:rFonts w:ascii="Times New Roman" w:hAnsi="Times New Roman" w:eastAsia="黑体" w:cs="Times New Roman"/>
          <w:b/>
          <w:sz w:val="28"/>
          <w:szCs w:val="28"/>
        </w:rPr>
      </w:pPr>
      <w:bookmarkStart w:id="120" w:name="_Toc5587"/>
      <w:bookmarkStart w:id="121" w:name="_Toc30342"/>
      <w:bookmarkStart w:id="122" w:name="_Toc9790"/>
      <w:bookmarkStart w:id="123" w:name="_Toc26751"/>
      <w:r>
        <w:rPr>
          <w:rFonts w:ascii="Times New Roman" w:hAnsi="Times New Roman" w:eastAsia="黑体" w:cs="Times New Roman"/>
          <w:b/>
          <w:sz w:val="28"/>
          <w:szCs w:val="28"/>
        </w:rPr>
        <w:t>六、成交结果信息公布与授予合同</w:t>
      </w:r>
      <w:bookmarkEnd w:id="120"/>
      <w:bookmarkEnd w:id="121"/>
      <w:bookmarkEnd w:id="122"/>
      <w:bookmarkEnd w:id="123"/>
    </w:p>
    <w:p w14:paraId="7E5836E1">
      <w:pPr>
        <w:adjustRightInd w:val="0"/>
        <w:snapToGrid w:val="0"/>
        <w:spacing w:before="120" w:beforeLines="50"/>
        <w:ind w:firstLine="0" w:firstLineChars="0"/>
        <w:outlineLvl w:val="3"/>
        <w:rPr>
          <w:b/>
          <w:bCs/>
          <w:sz w:val="24"/>
        </w:rPr>
      </w:pPr>
      <w:r>
        <w:rPr>
          <w:rFonts w:hint="eastAsia"/>
          <w:b/>
          <w:bCs/>
          <w:sz w:val="24"/>
        </w:rPr>
        <w:t>37.成交信息的公布</w:t>
      </w:r>
    </w:p>
    <w:p w14:paraId="54D369A1">
      <w:pPr>
        <w:pStyle w:val="22"/>
        <w:adjustRightInd w:val="0"/>
        <w:snapToGrid w:val="0"/>
        <w:spacing w:before="120" w:beforeLines="50"/>
        <w:jc w:val="left"/>
        <w:rPr>
          <w:rFonts w:hAnsi="宋体" w:cs="宋体"/>
        </w:rPr>
      </w:pPr>
      <w:r>
        <w:rPr>
          <w:rFonts w:hint="eastAsia" w:hAnsi="宋体" w:cs="宋体"/>
        </w:rPr>
        <w:t>37.1成交供应商确定后2个工作日内，成交结果信息将在</w:t>
      </w:r>
      <w:r>
        <w:rPr>
          <w:rFonts w:hint="eastAsia" w:hAnsi="宋体" w:cs="宋体"/>
          <w:b/>
        </w:rPr>
        <w:t>磋商须知前附表</w:t>
      </w:r>
      <w:r>
        <w:rPr>
          <w:rFonts w:hint="eastAsia" w:hAnsi="宋体" w:cs="宋体"/>
        </w:rPr>
        <w:t>指定的媒体上公布。</w:t>
      </w:r>
    </w:p>
    <w:p w14:paraId="0ADC6160">
      <w:pPr>
        <w:adjustRightInd w:val="0"/>
        <w:snapToGrid w:val="0"/>
        <w:spacing w:before="120" w:beforeLines="50"/>
        <w:ind w:firstLine="0" w:firstLineChars="0"/>
        <w:outlineLvl w:val="3"/>
        <w:rPr>
          <w:b/>
          <w:bCs/>
          <w:sz w:val="24"/>
        </w:rPr>
      </w:pPr>
      <w:r>
        <w:rPr>
          <w:rFonts w:hint="eastAsia"/>
          <w:b/>
          <w:bCs/>
          <w:sz w:val="24"/>
        </w:rPr>
        <w:t>38.询问及质疑</w:t>
      </w:r>
    </w:p>
    <w:p w14:paraId="4149FB66">
      <w:pPr>
        <w:adjustRightInd w:val="0"/>
        <w:snapToGrid w:val="0"/>
        <w:spacing w:before="120" w:beforeLines="50"/>
        <w:jc w:val="left"/>
      </w:pPr>
      <w:r>
        <w:rPr>
          <w:rFonts w:hint="eastAsia"/>
          <w:szCs w:val="21"/>
        </w:rPr>
        <w:t>38.1供应商对政府采购活动事项有疑问的，可以向采购人或采购代理机构提出询问。</w:t>
      </w:r>
    </w:p>
    <w:p w14:paraId="7D2DDD11">
      <w:pPr>
        <w:adjustRightInd w:val="0"/>
        <w:snapToGrid w:val="0"/>
        <w:spacing w:before="120" w:beforeLines="50"/>
        <w:jc w:val="left"/>
        <w:rPr>
          <w:szCs w:val="21"/>
        </w:rPr>
      </w:pPr>
      <w:r>
        <w:rPr>
          <w:rFonts w:hint="eastAsia"/>
          <w:szCs w:val="21"/>
        </w:rPr>
        <w:t>38.2供应商若认为磋商文件、采购过程和成交结果使自己的权益受到损害，可以按法律、行政法规及湖南省财政厅规范性文件规定向采购人或采购代理机构提出质疑。</w:t>
      </w:r>
    </w:p>
    <w:p w14:paraId="22BB7CE9">
      <w:pPr>
        <w:adjustRightInd w:val="0"/>
        <w:snapToGrid w:val="0"/>
        <w:spacing w:before="120" w:beforeLines="50"/>
        <w:ind w:firstLine="0" w:firstLineChars="0"/>
        <w:outlineLvl w:val="3"/>
        <w:rPr>
          <w:b/>
          <w:bCs/>
          <w:sz w:val="24"/>
        </w:rPr>
      </w:pPr>
      <w:r>
        <w:rPr>
          <w:rFonts w:hint="eastAsia"/>
          <w:b/>
          <w:bCs/>
          <w:sz w:val="24"/>
        </w:rPr>
        <w:t>39.成交通知</w:t>
      </w:r>
    </w:p>
    <w:p w14:paraId="5DF0B676">
      <w:pPr>
        <w:pStyle w:val="22"/>
        <w:adjustRightInd w:val="0"/>
        <w:snapToGrid w:val="0"/>
        <w:spacing w:before="120" w:beforeLines="50"/>
        <w:jc w:val="left"/>
        <w:rPr>
          <w:rFonts w:hAnsi="宋体" w:cs="宋体"/>
        </w:rPr>
      </w:pPr>
      <w:r>
        <w:rPr>
          <w:rFonts w:hint="eastAsia" w:hAnsi="宋体" w:cs="宋体"/>
        </w:rPr>
        <w:t>39.1成交供应商确定后，采购人或采购代理机构将以书面形式向成交供应商发出成交通知书。成交通知书对采购人和成交供应商具有同等法律效力。</w:t>
      </w:r>
    </w:p>
    <w:p w14:paraId="0C0C2FBD">
      <w:pPr>
        <w:pStyle w:val="22"/>
        <w:adjustRightInd w:val="0"/>
        <w:snapToGrid w:val="0"/>
        <w:spacing w:before="120" w:beforeLines="50"/>
        <w:jc w:val="left"/>
        <w:rPr>
          <w:rFonts w:hAnsi="宋体" w:cs="宋体"/>
        </w:rPr>
      </w:pPr>
      <w:r>
        <w:rPr>
          <w:rFonts w:hint="eastAsia" w:hAnsi="宋体" w:cs="宋体"/>
        </w:rPr>
        <w:t>39.2成交通知书是合同文件的组成部分。</w:t>
      </w:r>
    </w:p>
    <w:p w14:paraId="75144C97">
      <w:pPr>
        <w:tabs>
          <w:tab w:val="left" w:pos="7560"/>
          <w:tab w:val="left" w:pos="7740"/>
          <w:tab w:val="left" w:pos="7920"/>
        </w:tabs>
        <w:autoSpaceDN w:val="0"/>
        <w:adjustRightInd w:val="0"/>
        <w:snapToGrid w:val="0"/>
        <w:spacing w:before="120" w:beforeLines="50"/>
        <w:jc w:val="left"/>
        <w:rPr>
          <w:szCs w:val="21"/>
        </w:rPr>
      </w:pPr>
      <w:r>
        <w:rPr>
          <w:rFonts w:hint="eastAsia"/>
          <w:kern w:val="0"/>
          <w:szCs w:val="21"/>
        </w:rPr>
        <w:t>39.3</w:t>
      </w:r>
      <w:r>
        <w:rPr>
          <w:rFonts w:hint="eastAsia"/>
          <w:szCs w:val="21"/>
        </w:rPr>
        <w:t>成交供应商在收到采购代理机构的成交通知书后10日内，应按照</w:t>
      </w:r>
      <w:r>
        <w:rPr>
          <w:rFonts w:hint="eastAsia"/>
          <w:b/>
          <w:szCs w:val="21"/>
        </w:rPr>
        <w:t>磋商须知前附表</w:t>
      </w:r>
      <w:r>
        <w:rPr>
          <w:rFonts w:hint="eastAsia"/>
          <w:szCs w:val="21"/>
        </w:rPr>
        <w:t>的规定，向采购人提交履约担保。联合体成交的，履约担保由联合体各方或联合体中牵头人的名义提交。</w:t>
      </w:r>
    </w:p>
    <w:p w14:paraId="2C2AB0ED">
      <w:pPr>
        <w:pStyle w:val="22"/>
        <w:adjustRightInd w:val="0"/>
        <w:snapToGrid w:val="0"/>
        <w:spacing w:before="120" w:beforeLines="50"/>
        <w:jc w:val="left"/>
        <w:rPr>
          <w:rFonts w:hAnsi="宋体" w:cs="宋体"/>
        </w:rPr>
      </w:pPr>
      <w:r>
        <w:rPr>
          <w:rFonts w:hint="eastAsia" w:hAnsi="宋体" w:cs="宋体"/>
        </w:rPr>
        <w:t>39.4成交供应商</w:t>
      </w:r>
      <w:r>
        <w:rPr>
          <w:rFonts w:hint="eastAsia" w:hAnsi="宋体" w:cs="宋体"/>
          <w:spacing w:val="4"/>
        </w:rPr>
        <w:t>没有按照本章第39.3</w:t>
      </w:r>
      <w:r>
        <w:rPr>
          <w:rFonts w:hint="eastAsia" w:hAnsi="宋体" w:cs="宋体"/>
          <w:kern w:val="0"/>
          <w:lang w:val="zh-CN"/>
        </w:rPr>
        <w:t>款</w:t>
      </w:r>
      <w:r>
        <w:rPr>
          <w:rFonts w:hint="eastAsia" w:hAnsi="宋体" w:cs="宋体"/>
          <w:spacing w:val="4"/>
        </w:rPr>
        <w:t>规定</w:t>
      </w:r>
      <w:r>
        <w:rPr>
          <w:rFonts w:hint="eastAsia" w:hAnsi="宋体" w:cs="宋体"/>
        </w:rPr>
        <w:t>提交履约担保的</w:t>
      </w:r>
      <w:r>
        <w:rPr>
          <w:rFonts w:hint="eastAsia" w:hAnsi="宋体" w:cs="宋体"/>
          <w:spacing w:val="4"/>
        </w:rPr>
        <w:t>，视为放弃</w:t>
      </w:r>
      <w:r>
        <w:rPr>
          <w:rFonts w:hint="eastAsia" w:hAnsi="宋体" w:cs="宋体"/>
        </w:rPr>
        <w:t>成交资格</w:t>
      </w:r>
      <w:r>
        <w:rPr>
          <w:rFonts w:hint="eastAsia" w:hAnsi="宋体" w:cs="宋体"/>
          <w:spacing w:val="4"/>
        </w:rPr>
        <w:t>，</w:t>
      </w:r>
      <w:r>
        <w:rPr>
          <w:rFonts w:hint="eastAsia" w:hAnsi="宋体" w:cs="宋体"/>
          <w:spacing w:val="2"/>
        </w:rPr>
        <w:t>其保证金不予退还。</w:t>
      </w:r>
    </w:p>
    <w:p w14:paraId="672625D2">
      <w:pPr>
        <w:adjustRightInd w:val="0"/>
        <w:snapToGrid w:val="0"/>
        <w:spacing w:before="120" w:beforeLines="50"/>
        <w:ind w:firstLine="0" w:firstLineChars="0"/>
        <w:outlineLvl w:val="3"/>
        <w:rPr>
          <w:b/>
          <w:bCs/>
          <w:sz w:val="24"/>
        </w:rPr>
      </w:pPr>
      <w:r>
        <w:rPr>
          <w:rFonts w:hint="eastAsia"/>
          <w:b/>
          <w:bCs/>
          <w:sz w:val="24"/>
        </w:rPr>
        <w:t>40.签订合同</w:t>
      </w:r>
    </w:p>
    <w:p w14:paraId="304C096E">
      <w:pPr>
        <w:pStyle w:val="22"/>
        <w:adjustRightInd w:val="0"/>
        <w:snapToGrid w:val="0"/>
        <w:spacing w:before="120" w:beforeLines="50"/>
        <w:jc w:val="left"/>
        <w:rPr>
          <w:rFonts w:hAnsi="宋体" w:cs="宋体"/>
        </w:rPr>
      </w:pPr>
      <w:r>
        <w:rPr>
          <w:rFonts w:hint="eastAsia" w:hAnsi="宋体" w:cs="宋体"/>
        </w:rPr>
        <w:t>40.1成交供应商应当在成交通知书发出之日起30日内与采购人签订政府采购合同。</w:t>
      </w:r>
    </w:p>
    <w:p w14:paraId="5CF74EA4">
      <w:pPr>
        <w:pStyle w:val="22"/>
        <w:adjustRightInd w:val="0"/>
        <w:snapToGrid w:val="0"/>
        <w:spacing w:before="120" w:beforeLines="50"/>
        <w:jc w:val="left"/>
        <w:rPr>
          <w:rFonts w:hAnsi="宋体" w:cs="宋体"/>
        </w:rPr>
      </w:pPr>
      <w:r>
        <w:rPr>
          <w:rFonts w:hint="eastAsia" w:hAnsi="宋体" w:cs="宋体"/>
        </w:rPr>
        <w:t>40.2磋商文件、成交供应商的响应文件等均为签订政府采购合同的依据。</w:t>
      </w:r>
    </w:p>
    <w:p w14:paraId="37F425D6">
      <w:pPr>
        <w:pStyle w:val="22"/>
        <w:adjustRightInd w:val="0"/>
        <w:snapToGrid w:val="0"/>
        <w:spacing w:before="120" w:beforeLines="50"/>
        <w:jc w:val="left"/>
        <w:rPr>
          <w:rFonts w:hAnsi="宋体" w:cs="宋体"/>
        </w:rPr>
      </w:pPr>
      <w:r>
        <w:rPr>
          <w:rFonts w:hint="eastAsia" w:hAnsi="宋体" w:cs="宋体"/>
        </w:rPr>
        <w:t>40.3成交供应商应当按照合同约定履行义务。成交供应商不得向他人转让成交项目，也不得将成交项目分包后分别向他人转让。</w:t>
      </w:r>
    </w:p>
    <w:p w14:paraId="5630197E">
      <w:pPr>
        <w:pStyle w:val="22"/>
        <w:adjustRightInd w:val="0"/>
        <w:snapToGrid w:val="0"/>
        <w:spacing w:before="120" w:beforeLines="50"/>
        <w:jc w:val="left"/>
        <w:rPr>
          <w:rFonts w:hAnsi="宋体" w:cs="宋体"/>
        </w:rPr>
      </w:pPr>
      <w:r>
        <w:rPr>
          <w:rFonts w:hint="eastAsia" w:hAnsi="宋体" w:cs="宋体"/>
        </w:rPr>
        <w:t>40.4成交供应商有下列情形之一的，责令限期改正，情节严重的，列入不良行为记录名单，在1至3年内禁止参加政府采购活动，并予以通报：</w:t>
      </w:r>
    </w:p>
    <w:p w14:paraId="47140B0C">
      <w:pPr>
        <w:pStyle w:val="22"/>
        <w:adjustRightInd w:val="0"/>
        <w:snapToGrid w:val="0"/>
        <w:spacing w:before="120" w:beforeLines="50"/>
        <w:jc w:val="left"/>
        <w:rPr>
          <w:rFonts w:hAnsi="宋体" w:cs="宋体"/>
        </w:rPr>
      </w:pPr>
      <w:r>
        <w:rPr>
          <w:rFonts w:hint="eastAsia" w:hAnsi="宋体" w:cs="宋体"/>
        </w:rPr>
        <w:t>（一）成交后无正当理由不与采购人签订合同的；</w:t>
      </w:r>
    </w:p>
    <w:p w14:paraId="01704C85">
      <w:pPr>
        <w:pStyle w:val="22"/>
        <w:adjustRightInd w:val="0"/>
        <w:snapToGrid w:val="0"/>
        <w:spacing w:before="120" w:beforeLines="50"/>
        <w:jc w:val="left"/>
        <w:rPr>
          <w:rFonts w:hAnsi="宋体" w:cs="宋体"/>
        </w:rPr>
      </w:pPr>
      <w:r>
        <w:rPr>
          <w:rFonts w:hint="eastAsia" w:hAnsi="宋体" w:cs="宋体"/>
        </w:rPr>
        <w:t>（二）未按照采购文件确定的事项签订政府采购合同，或者与采购人另行订立背离合同实质性内容的协议的；</w:t>
      </w:r>
    </w:p>
    <w:p w14:paraId="04506781">
      <w:pPr>
        <w:pStyle w:val="22"/>
        <w:adjustRightInd w:val="0"/>
        <w:snapToGrid w:val="0"/>
        <w:spacing w:before="120" w:beforeLines="50"/>
        <w:jc w:val="left"/>
        <w:rPr>
          <w:rFonts w:hAnsi="宋体" w:cs="宋体"/>
        </w:rPr>
      </w:pPr>
      <w:r>
        <w:rPr>
          <w:rFonts w:hint="eastAsia" w:hAnsi="宋体" w:cs="宋体"/>
        </w:rPr>
        <w:t>（三）拒绝履行合同义务的；</w:t>
      </w:r>
    </w:p>
    <w:p w14:paraId="5D3830C4">
      <w:pPr>
        <w:pStyle w:val="22"/>
        <w:adjustRightInd w:val="0"/>
        <w:snapToGrid w:val="0"/>
        <w:spacing w:before="120" w:beforeLines="50"/>
        <w:jc w:val="left"/>
        <w:rPr>
          <w:rFonts w:hAnsi="宋体" w:cs="宋体"/>
          <w:kern w:val="0"/>
        </w:rPr>
      </w:pPr>
      <w:r>
        <w:rPr>
          <w:rFonts w:hint="eastAsia" w:hAnsi="宋体" w:cs="宋体"/>
        </w:rPr>
        <w:t>（四）</w:t>
      </w:r>
      <w:r>
        <w:rPr>
          <w:rFonts w:hint="eastAsia" w:hAnsi="宋体" w:cs="宋体"/>
          <w:kern w:val="0"/>
        </w:rPr>
        <w:t>违反法律、规章、规范性文件规定的。</w:t>
      </w:r>
    </w:p>
    <w:p w14:paraId="1265E1DA">
      <w:pPr>
        <w:adjustRightInd w:val="0"/>
        <w:snapToGrid w:val="0"/>
        <w:spacing w:before="120" w:beforeLines="50"/>
        <w:ind w:firstLine="0" w:firstLineChars="0"/>
        <w:jc w:val="center"/>
        <w:outlineLvl w:val="2"/>
        <w:rPr>
          <w:rFonts w:ascii="Times New Roman" w:hAnsi="Times New Roman" w:eastAsia="黑体" w:cs="Times New Roman"/>
          <w:b/>
          <w:sz w:val="28"/>
          <w:szCs w:val="28"/>
        </w:rPr>
      </w:pPr>
      <w:bookmarkStart w:id="124" w:name="_Toc15408"/>
      <w:bookmarkStart w:id="125" w:name="_Toc8343"/>
      <w:bookmarkStart w:id="126" w:name="_Toc13259"/>
      <w:bookmarkStart w:id="127" w:name="_Toc2443"/>
      <w:r>
        <w:rPr>
          <w:rFonts w:ascii="Times New Roman" w:hAnsi="Times New Roman" w:eastAsia="黑体" w:cs="Times New Roman"/>
          <w:b/>
          <w:sz w:val="28"/>
          <w:szCs w:val="28"/>
        </w:rPr>
        <w:t>七、其他规定</w:t>
      </w:r>
      <w:bookmarkEnd w:id="124"/>
      <w:bookmarkEnd w:id="125"/>
      <w:bookmarkEnd w:id="126"/>
      <w:bookmarkEnd w:id="127"/>
    </w:p>
    <w:p w14:paraId="22B47763">
      <w:pPr>
        <w:adjustRightInd w:val="0"/>
        <w:snapToGrid w:val="0"/>
        <w:spacing w:before="120" w:beforeLines="50"/>
        <w:ind w:firstLine="0" w:firstLineChars="0"/>
        <w:outlineLvl w:val="3"/>
        <w:rPr>
          <w:b/>
          <w:bCs/>
          <w:sz w:val="24"/>
        </w:rPr>
      </w:pPr>
      <w:r>
        <w:rPr>
          <w:rFonts w:hint="eastAsia"/>
          <w:b/>
          <w:bCs/>
          <w:sz w:val="24"/>
        </w:rPr>
        <w:t>41.采购代理服务费</w:t>
      </w:r>
    </w:p>
    <w:p w14:paraId="01CD1858">
      <w:pPr>
        <w:tabs>
          <w:tab w:val="left" w:pos="420"/>
          <w:tab w:val="left" w:pos="7560"/>
          <w:tab w:val="left" w:pos="7740"/>
          <w:tab w:val="left" w:pos="7920"/>
        </w:tabs>
        <w:adjustRightInd w:val="0"/>
        <w:snapToGrid w:val="0"/>
        <w:spacing w:before="120" w:beforeLines="50"/>
        <w:jc w:val="left"/>
        <w:rPr>
          <w:szCs w:val="21"/>
        </w:rPr>
      </w:pPr>
      <w:r>
        <w:rPr>
          <w:rFonts w:hint="eastAsia"/>
          <w:szCs w:val="21"/>
        </w:rPr>
        <w:t>41.1采购代理机构应按</w:t>
      </w:r>
      <w:r>
        <w:rPr>
          <w:rFonts w:hint="eastAsia"/>
          <w:b/>
          <w:szCs w:val="21"/>
        </w:rPr>
        <w:t>磋商须知前附表</w:t>
      </w:r>
      <w:r>
        <w:rPr>
          <w:rFonts w:hint="eastAsia"/>
          <w:szCs w:val="21"/>
        </w:rPr>
        <w:t>规定收取采购代理服务费。</w:t>
      </w:r>
    </w:p>
    <w:p w14:paraId="7D2B9BCE">
      <w:pPr>
        <w:tabs>
          <w:tab w:val="left" w:pos="420"/>
          <w:tab w:val="left" w:pos="7560"/>
          <w:tab w:val="left" w:pos="7740"/>
          <w:tab w:val="left" w:pos="7920"/>
        </w:tabs>
        <w:adjustRightInd w:val="0"/>
        <w:snapToGrid w:val="0"/>
        <w:spacing w:before="120" w:beforeLines="50"/>
        <w:jc w:val="left"/>
        <w:rPr>
          <w:szCs w:val="21"/>
        </w:rPr>
      </w:pPr>
      <w:r>
        <w:rPr>
          <w:rFonts w:hint="eastAsia"/>
          <w:szCs w:val="21"/>
        </w:rPr>
        <w:t>41.2集中采购机构不得收取采购代理服务费。</w:t>
      </w:r>
    </w:p>
    <w:p w14:paraId="76E151BB">
      <w:pPr>
        <w:adjustRightInd w:val="0"/>
        <w:snapToGrid w:val="0"/>
        <w:spacing w:before="120" w:beforeLines="50"/>
        <w:ind w:firstLine="0" w:firstLineChars="0"/>
        <w:outlineLvl w:val="3"/>
        <w:rPr>
          <w:b/>
          <w:bCs/>
          <w:sz w:val="24"/>
        </w:rPr>
      </w:pPr>
      <w:r>
        <w:rPr>
          <w:rFonts w:hint="eastAsia"/>
          <w:b/>
          <w:bCs/>
          <w:sz w:val="24"/>
        </w:rPr>
        <w:t>42.其他规定</w:t>
      </w:r>
    </w:p>
    <w:p w14:paraId="046A698C">
      <w:pPr>
        <w:tabs>
          <w:tab w:val="left" w:pos="420"/>
          <w:tab w:val="left" w:pos="7560"/>
          <w:tab w:val="left" w:pos="7740"/>
          <w:tab w:val="left" w:pos="7920"/>
        </w:tabs>
        <w:adjustRightInd w:val="0"/>
        <w:snapToGrid w:val="0"/>
        <w:spacing w:before="120" w:beforeLines="50"/>
        <w:jc w:val="left"/>
        <w:rPr>
          <w:rFonts w:ascii="Times New Roman" w:hAnsi="Times New Roman" w:cs="Times New Roman"/>
          <w:szCs w:val="21"/>
        </w:rPr>
      </w:pPr>
      <w:r>
        <w:rPr>
          <w:rFonts w:hint="eastAsia"/>
        </w:rPr>
        <w:t>42.1</w:t>
      </w:r>
      <w:r>
        <w:rPr>
          <w:rFonts w:hint="eastAsia"/>
          <w:szCs w:val="21"/>
        </w:rPr>
        <w:t>磋商文件</w:t>
      </w:r>
      <w:r>
        <w:rPr>
          <w:rFonts w:hint="eastAsia"/>
        </w:rPr>
        <w:t>的其他规定</w:t>
      </w:r>
      <w:r>
        <w:rPr>
          <w:rFonts w:hint="eastAsia"/>
          <w:szCs w:val="21"/>
        </w:rPr>
        <w:t>见</w:t>
      </w:r>
      <w:r>
        <w:rPr>
          <w:rFonts w:hint="eastAsia"/>
          <w:b/>
          <w:szCs w:val="21"/>
        </w:rPr>
        <w:t>磋商须知前附表</w:t>
      </w:r>
      <w:r>
        <w:rPr>
          <w:rFonts w:hint="eastAsia"/>
          <w:szCs w:val="21"/>
        </w:rPr>
        <w:t>。</w:t>
      </w:r>
    </w:p>
    <w:p w14:paraId="7F95CA71">
      <w:pPr>
        <w:ind w:left="0" w:leftChars="0" w:firstLine="0" w:firstLineChars="0"/>
        <w:rPr>
          <w:rFonts w:ascii="黑体" w:hAnsi="黑体" w:eastAsia="黑体" w:cs="黑体"/>
          <w:b/>
          <w:bCs/>
          <w:sz w:val="32"/>
          <w:szCs w:val="32"/>
        </w:rPr>
      </w:pPr>
      <w:bookmarkStart w:id="128" w:name="_Toc18876"/>
      <w:bookmarkStart w:id="129" w:name="_Toc20807"/>
      <w:bookmarkStart w:id="130" w:name="_Toc26895"/>
      <w:bookmarkStart w:id="131" w:name="_Toc8140"/>
      <w:r>
        <w:rPr>
          <w:rFonts w:hint="eastAsia" w:ascii="黑体" w:hAnsi="黑体" w:eastAsia="黑体" w:cs="黑体"/>
          <w:b/>
          <w:bCs/>
          <w:sz w:val="32"/>
          <w:szCs w:val="32"/>
        </w:rPr>
        <w:br w:type="page"/>
      </w:r>
    </w:p>
    <w:p w14:paraId="4E9918A1">
      <w:pPr>
        <w:keepNext/>
        <w:adjustRightInd w:val="0"/>
        <w:snapToGrid w:val="0"/>
        <w:spacing w:before="120" w:beforeLines="50"/>
        <w:ind w:firstLine="0" w:firstLineChars="0"/>
        <w:jc w:val="center"/>
        <w:outlineLvl w:val="0"/>
        <w:rPr>
          <w:rFonts w:ascii="黑体" w:hAnsi="黑体" w:eastAsia="黑体" w:cs="黑体"/>
          <w:b/>
          <w:bCs/>
          <w:sz w:val="32"/>
          <w:szCs w:val="32"/>
        </w:rPr>
      </w:pPr>
      <w:bookmarkStart w:id="132" w:name="_Toc19377"/>
      <w:r>
        <w:rPr>
          <w:rFonts w:hint="eastAsia" w:ascii="黑体" w:hAnsi="黑体" w:eastAsia="黑体" w:cs="黑体"/>
          <w:b/>
          <w:bCs/>
          <w:sz w:val="32"/>
          <w:szCs w:val="32"/>
        </w:rPr>
        <w:t>第三章 合同草案条款</w:t>
      </w:r>
      <w:bookmarkEnd w:id="128"/>
      <w:bookmarkEnd w:id="129"/>
      <w:bookmarkEnd w:id="130"/>
      <w:bookmarkEnd w:id="131"/>
      <w:bookmarkEnd w:id="132"/>
    </w:p>
    <w:p w14:paraId="5182571D">
      <w:pPr>
        <w:pStyle w:val="3"/>
        <w:adjustRightInd w:val="0"/>
        <w:snapToGrid w:val="0"/>
        <w:spacing w:before="120" w:beforeLines="50"/>
        <w:ind w:firstLine="0" w:firstLineChars="0"/>
        <w:jc w:val="center"/>
        <w:rPr>
          <w:rFonts w:ascii="黑体" w:hAnsi="华文中宋" w:eastAsia="黑体"/>
          <w:sz w:val="28"/>
          <w:szCs w:val="28"/>
        </w:rPr>
      </w:pPr>
      <w:bookmarkStart w:id="133" w:name="_Toc26891"/>
      <w:bookmarkStart w:id="134" w:name="_Toc16718"/>
      <w:r>
        <w:rPr>
          <w:rFonts w:hint="eastAsia" w:ascii="黑体" w:hAnsi="华文中宋" w:eastAsia="黑体"/>
          <w:sz w:val="28"/>
          <w:szCs w:val="28"/>
        </w:rPr>
        <w:t>第一节 政府采购合同协议书</w:t>
      </w:r>
      <w:bookmarkEnd w:id="133"/>
      <w:bookmarkEnd w:id="134"/>
    </w:p>
    <w:p w14:paraId="73A3126D">
      <w:pPr>
        <w:adjustRightInd w:val="0"/>
        <w:snapToGrid w:val="0"/>
        <w:spacing w:before="120" w:beforeLines="50"/>
        <w:ind w:firstLine="5460" w:firstLineChars="2600"/>
        <w:rPr>
          <w:b/>
          <w:szCs w:val="21"/>
        </w:rPr>
      </w:pPr>
      <w:r>
        <w:rPr>
          <w:rFonts w:hint="eastAsia"/>
          <w:szCs w:val="21"/>
        </w:rPr>
        <w:t>采购合同编号：</w:t>
      </w:r>
    </w:p>
    <w:p w14:paraId="6F4ACCCF">
      <w:pPr>
        <w:adjustRightInd w:val="0"/>
        <w:snapToGrid w:val="0"/>
        <w:spacing w:before="120" w:beforeLines="50"/>
        <w:ind w:firstLine="422"/>
        <w:jc w:val="center"/>
        <w:rPr>
          <w:b/>
          <w:szCs w:val="21"/>
        </w:rPr>
      </w:pPr>
    </w:p>
    <w:p w14:paraId="3797A4B8">
      <w:pPr>
        <w:adjustRightInd w:val="0"/>
        <w:snapToGrid w:val="0"/>
        <w:spacing w:before="120" w:beforeLines="50"/>
        <w:rPr>
          <w:szCs w:val="21"/>
        </w:rPr>
      </w:pPr>
      <w:r>
        <w:rPr>
          <w:rFonts w:hint="eastAsia"/>
          <w:szCs w:val="21"/>
        </w:rPr>
        <w:t>采购人（全称）：（甲方）</w:t>
      </w:r>
    </w:p>
    <w:p w14:paraId="6979C203">
      <w:pPr>
        <w:adjustRightInd w:val="0"/>
        <w:snapToGrid w:val="0"/>
        <w:spacing w:before="120" w:beforeLines="50"/>
        <w:rPr>
          <w:szCs w:val="21"/>
        </w:rPr>
      </w:pPr>
      <w:r>
        <w:rPr>
          <w:rFonts w:hint="eastAsia"/>
          <w:szCs w:val="21"/>
        </w:rPr>
        <w:t>供应商（全称）：（乙方）</w:t>
      </w:r>
    </w:p>
    <w:p w14:paraId="03ABBA1E">
      <w:pPr>
        <w:pStyle w:val="18"/>
        <w:adjustRightInd w:val="0"/>
        <w:snapToGrid w:val="0"/>
        <w:spacing w:before="120" w:beforeLines="50" w:after="0"/>
        <w:rPr>
          <w:szCs w:val="21"/>
        </w:rPr>
      </w:pPr>
    </w:p>
    <w:p w14:paraId="25F1E902">
      <w:pPr>
        <w:adjustRightInd w:val="0"/>
        <w:snapToGrid w:val="0"/>
        <w:rPr>
          <w:szCs w:val="21"/>
        </w:rPr>
      </w:pPr>
      <w:r>
        <w:rPr>
          <w:rFonts w:hint="eastAsia"/>
          <w:szCs w:val="21"/>
        </w:rPr>
        <w:t>为了保护甲、乙双方合法权益，根据《中华人民共和国民法典》、《中华人民共和国政府采购法》及其他有关法律、法规、规章，双方签订本合同协议书。</w:t>
      </w:r>
    </w:p>
    <w:p w14:paraId="16962916">
      <w:pPr>
        <w:adjustRightInd w:val="0"/>
        <w:snapToGrid w:val="0"/>
        <w:ind w:firstLine="422"/>
        <w:rPr>
          <w:b/>
          <w:szCs w:val="21"/>
        </w:rPr>
      </w:pPr>
      <w:r>
        <w:rPr>
          <w:rFonts w:hint="eastAsia"/>
          <w:b/>
          <w:szCs w:val="21"/>
        </w:rPr>
        <w:t>1.项目信息</w:t>
      </w:r>
    </w:p>
    <w:p w14:paraId="636C41D6">
      <w:pPr>
        <w:adjustRightInd w:val="0"/>
        <w:snapToGrid w:val="0"/>
        <w:rPr>
          <w:szCs w:val="21"/>
        </w:rPr>
      </w:pPr>
      <w:r>
        <w:rPr>
          <w:rFonts w:hint="eastAsia"/>
          <w:szCs w:val="21"/>
        </w:rPr>
        <w:t>（1）采购项目名称：</w:t>
      </w:r>
    </w:p>
    <w:p w14:paraId="7639BCF6">
      <w:pPr>
        <w:adjustRightInd w:val="0"/>
        <w:snapToGrid w:val="0"/>
        <w:rPr>
          <w:szCs w:val="21"/>
        </w:rPr>
      </w:pPr>
      <w:r>
        <w:rPr>
          <w:rFonts w:hint="eastAsia"/>
          <w:szCs w:val="21"/>
        </w:rPr>
        <w:t>（2）采购计划编号：</w:t>
      </w:r>
    </w:p>
    <w:p w14:paraId="4ACE9057">
      <w:pPr>
        <w:adjustRightInd w:val="0"/>
        <w:snapToGrid w:val="0"/>
        <w:rPr>
          <w:szCs w:val="21"/>
        </w:rPr>
      </w:pPr>
      <w:r>
        <w:rPr>
          <w:rFonts w:hint="eastAsia"/>
          <w:szCs w:val="21"/>
        </w:rPr>
        <w:t>（3）项目内容：</w:t>
      </w:r>
    </w:p>
    <w:p w14:paraId="7D93132D">
      <w:pPr>
        <w:adjustRightInd w:val="0"/>
        <w:snapToGrid w:val="0"/>
        <w:ind w:firstLine="422"/>
        <w:rPr>
          <w:b/>
          <w:szCs w:val="21"/>
        </w:rPr>
      </w:pPr>
      <w:r>
        <w:rPr>
          <w:rFonts w:hint="eastAsia"/>
          <w:b/>
          <w:szCs w:val="21"/>
        </w:rPr>
        <w:t>2.合同金额</w:t>
      </w:r>
    </w:p>
    <w:p w14:paraId="5060476D">
      <w:pPr>
        <w:adjustRightInd w:val="0"/>
        <w:snapToGrid w:val="0"/>
        <w:rPr>
          <w:szCs w:val="21"/>
        </w:rPr>
      </w:pPr>
      <w:r>
        <w:rPr>
          <w:rFonts w:hint="eastAsia"/>
          <w:szCs w:val="21"/>
        </w:rPr>
        <w:t>（1）合同金额小写：</w:t>
      </w:r>
    </w:p>
    <w:p w14:paraId="029094D3">
      <w:pPr>
        <w:adjustRightInd w:val="0"/>
        <w:snapToGrid w:val="0"/>
        <w:rPr>
          <w:b/>
          <w:szCs w:val="21"/>
        </w:rPr>
      </w:pPr>
      <w:r>
        <w:rPr>
          <w:rFonts w:hint="eastAsia"/>
          <w:szCs w:val="21"/>
        </w:rPr>
        <w:t>大写：</w:t>
      </w:r>
    </w:p>
    <w:p w14:paraId="3725CA11">
      <w:pPr>
        <w:adjustRightInd w:val="0"/>
        <w:snapToGrid w:val="0"/>
        <w:rPr>
          <w:szCs w:val="21"/>
        </w:rPr>
      </w:pPr>
      <w:r>
        <w:rPr>
          <w:rFonts w:hint="eastAsia"/>
          <w:szCs w:val="21"/>
        </w:rPr>
        <w:t>（2）具体标的见附件。</w:t>
      </w:r>
    </w:p>
    <w:p w14:paraId="6C041E18">
      <w:pPr>
        <w:adjustRightInd w:val="0"/>
        <w:snapToGrid w:val="0"/>
        <w:rPr>
          <w:szCs w:val="21"/>
        </w:rPr>
      </w:pPr>
      <w:r>
        <w:rPr>
          <w:rFonts w:hint="eastAsia"/>
          <w:szCs w:val="21"/>
        </w:rPr>
        <w:t>（3）合同价格形式：</w:t>
      </w:r>
      <w:r>
        <w:rPr>
          <w:rFonts w:hint="eastAsia"/>
          <w:szCs w:val="21"/>
          <w:u w:val="single"/>
        </w:rPr>
        <w:t xml:space="preserve"> 固定总价合同     </w:t>
      </w:r>
      <w:r>
        <w:rPr>
          <w:rFonts w:hint="eastAsia"/>
          <w:szCs w:val="21"/>
        </w:rPr>
        <w:t>。</w:t>
      </w:r>
    </w:p>
    <w:p w14:paraId="5BC5C47A">
      <w:pPr>
        <w:adjustRightInd w:val="0"/>
        <w:snapToGrid w:val="0"/>
        <w:ind w:firstLine="422"/>
        <w:rPr>
          <w:szCs w:val="21"/>
          <w:u w:val="single"/>
        </w:rPr>
      </w:pPr>
      <w:r>
        <w:rPr>
          <w:rFonts w:hint="eastAsia"/>
          <w:b/>
          <w:szCs w:val="21"/>
        </w:rPr>
        <w:t>3.履行合同的时间、地点及方式</w:t>
      </w:r>
    </w:p>
    <w:p w14:paraId="79A21E8B">
      <w:pPr>
        <w:adjustRightInd w:val="0"/>
        <w:snapToGrid w:val="0"/>
        <w:rPr>
          <w:szCs w:val="21"/>
        </w:rPr>
      </w:pPr>
      <w:r>
        <w:rPr>
          <w:rFonts w:hint="eastAsia"/>
          <w:szCs w:val="21"/>
        </w:rPr>
        <w:t>起始日期：年月日，完成日期：年月日。总日历天数：天。</w:t>
      </w:r>
    </w:p>
    <w:p w14:paraId="4D64EB7C">
      <w:pPr>
        <w:adjustRightInd w:val="0"/>
        <w:snapToGrid w:val="0"/>
        <w:rPr>
          <w:szCs w:val="21"/>
          <w:u w:val="single"/>
        </w:rPr>
      </w:pPr>
      <w:r>
        <w:rPr>
          <w:rFonts w:hint="eastAsia"/>
          <w:szCs w:val="21"/>
        </w:rPr>
        <w:t>地点</w:t>
      </w:r>
      <w:r>
        <w:rPr>
          <w:rFonts w:hint="eastAsia"/>
          <w:b/>
          <w:szCs w:val="21"/>
        </w:rPr>
        <w:t>：</w:t>
      </w:r>
    </w:p>
    <w:p w14:paraId="1059AF7D">
      <w:pPr>
        <w:adjustRightInd w:val="0"/>
        <w:snapToGrid w:val="0"/>
        <w:rPr>
          <w:szCs w:val="21"/>
        </w:rPr>
      </w:pPr>
      <w:r>
        <w:rPr>
          <w:rFonts w:hint="eastAsia"/>
          <w:szCs w:val="21"/>
        </w:rPr>
        <w:t>方式：</w:t>
      </w:r>
    </w:p>
    <w:p w14:paraId="038EDF6C">
      <w:pPr>
        <w:adjustRightInd w:val="0"/>
        <w:snapToGrid w:val="0"/>
        <w:ind w:firstLine="422"/>
        <w:rPr>
          <w:b/>
          <w:szCs w:val="21"/>
        </w:rPr>
      </w:pPr>
      <w:r>
        <w:rPr>
          <w:rFonts w:hint="eastAsia"/>
          <w:b/>
          <w:szCs w:val="21"/>
        </w:rPr>
        <w:t>4.付款：</w:t>
      </w:r>
    </w:p>
    <w:p w14:paraId="15163CFF">
      <w:pPr>
        <w:adjustRightInd w:val="0"/>
        <w:snapToGrid w:val="0"/>
        <w:rPr>
          <w:bCs/>
          <w:szCs w:val="21"/>
        </w:rPr>
      </w:pPr>
      <w:r>
        <w:rPr>
          <w:rFonts w:hint="eastAsia"/>
          <w:szCs w:val="21"/>
        </w:rPr>
        <w:t>。</w:t>
      </w:r>
    </w:p>
    <w:p w14:paraId="4E8AB578">
      <w:pPr>
        <w:adjustRightInd w:val="0"/>
        <w:snapToGrid w:val="0"/>
        <w:ind w:firstLine="422"/>
        <w:rPr>
          <w:b/>
          <w:szCs w:val="21"/>
        </w:rPr>
      </w:pPr>
      <w:r>
        <w:rPr>
          <w:rFonts w:hint="eastAsia"/>
          <w:b/>
          <w:szCs w:val="21"/>
        </w:rPr>
        <w:t>5.解决合同纠纷方式</w:t>
      </w:r>
    </w:p>
    <w:p w14:paraId="73EB97EA">
      <w:pPr>
        <w:adjustRightInd w:val="0"/>
        <w:snapToGrid w:val="0"/>
        <w:rPr>
          <w:szCs w:val="21"/>
        </w:rPr>
      </w:pPr>
      <w:r>
        <w:rPr>
          <w:rFonts w:hint="eastAsia"/>
          <w:szCs w:val="21"/>
        </w:rPr>
        <w:t>首先通过双方协商解决，协商解决不成，则通过以下途径之一解决纠纷：</w:t>
      </w:r>
    </w:p>
    <w:p w14:paraId="3A34B55D">
      <w:pPr>
        <w:adjustRightInd w:val="0"/>
        <w:snapToGrid w:val="0"/>
        <w:rPr>
          <w:szCs w:val="21"/>
        </w:rPr>
      </w:pPr>
      <w:r>
        <w:rPr>
          <w:rFonts w:hint="eastAsia"/>
          <w:szCs w:val="21"/>
        </w:rPr>
        <w:t>□ 提请仲裁   □ 向人民法院提起诉讼</w:t>
      </w:r>
    </w:p>
    <w:p w14:paraId="42F31564">
      <w:pPr>
        <w:adjustRightInd w:val="0"/>
        <w:snapToGrid w:val="0"/>
        <w:ind w:firstLine="422"/>
        <w:rPr>
          <w:b/>
          <w:szCs w:val="21"/>
        </w:rPr>
      </w:pPr>
      <w:r>
        <w:rPr>
          <w:rFonts w:hint="eastAsia"/>
          <w:b/>
          <w:szCs w:val="21"/>
        </w:rPr>
        <w:t>6.组成合同的文件</w:t>
      </w:r>
    </w:p>
    <w:p w14:paraId="2C838689">
      <w:pPr>
        <w:adjustRightInd w:val="0"/>
        <w:snapToGrid w:val="0"/>
        <w:rPr>
          <w:szCs w:val="21"/>
        </w:rPr>
      </w:pPr>
      <w:r>
        <w:rPr>
          <w:rFonts w:hint="eastAsia"/>
          <w:szCs w:val="21"/>
        </w:rPr>
        <w:t>本协议书与下列文件一起构成合同文件，如下述文件之间有任何抵触、矛盾或歧义，应按以下顺序解释：</w:t>
      </w:r>
    </w:p>
    <w:p w14:paraId="4BA5968F">
      <w:pPr>
        <w:adjustRightInd w:val="0"/>
        <w:snapToGrid w:val="0"/>
        <w:rPr>
          <w:szCs w:val="21"/>
        </w:rPr>
      </w:pPr>
      <w:r>
        <w:rPr>
          <w:rFonts w:hint="eastAsia"/>
          <w:szCs w:val="21"/>
        </w:rPr>
        <w:t>（1）在采购或合同履行过程中乙方作出的承诺以及双方协商达成的变更或补充协议</w:t>
      </w:r>
    </w:p>
    <w:p w14:paraId="5EC02DBA">
      <w:pPr>
        <w:adjustRightInd w:val="0"/>
        <w:snapToGrid w:val="0"/>
        <w:rPr>
          <w:szCs w:val="21"/>
        </w:rPr>
      </w:pPr>
      <w:r>
        <w:rPr>
          <w:rFonts w:hint="eastAsia"/>
          <w:szCs w:val="21"/>
        </w:rPr>
        <w:t>（2）成交通知书</w:t>
      </w:r>
    </w:p>
    <w:p w14:paraId="7E85099F">
      <w:pPr>
        <w:adjustRightInd w:val="0"/>
        <w:snapToGrid w:val="0"/>
        <w:rPr>
          <w:szCs w:val="21"/>
        </w:rPr>
      </w:pPr>
      <w:r>
        <w:rPr>
          <w:rFonts w:hint="eastAsia"/>
          <w:szCs w:val="21"/>
        </w:rPr>
        <w:t>（3）响应文件</w:t>
      </w:r>
    </w:p>
    <w:p w14:paraId="0801233B">
      <w:pPr>
        <w:adjustRightInd w:val="0"/>
        <w:snapToGrid w:val="0"/>
        <w:rPr>
          <w:szCs w:val="21"/>
        </w:rPr>
      </w:pPr>
      <w:r>
        <w:rPr>
          <w:rFonts w:hint="eastAsia"/>
          <w:szCs w:val="21"/>
        </w:rPr>
        <w:t>（4）政府采购合同格式条款及其附件</w:t>
      </w:r>
    </w:p>
    <w:p w14:paraId="4D272272">
      <w:pPr>
        <w:adjustRightInd w:val="0"/>
        <w:snapToGrid w:val="0"/>
        <w:rPr>
          <w:szCs w:val="21"/>
        </w:rPr>
      </w:pPr>
      <w:r>
        <w:rPr>
          <w:rFonts w:hint="eastAsia"/>
          <w:szCs w:val="21"/>
        </w:rPr>
        <w:t>（5）专用合同条款</w:t>
      </w:r>
    </w:p>
    <w:p w14:paraId="0D62B840">
      <w:pPr>
        <w:adjustRightInd w:val="0"/>
        <w:snapToGrid w:val="0"/>
        <w:rPr>
          <w:szCs w:val="21"/>
        </w:rPr>
      </w:pPr>
      <w:r>
        <w:rPr>
          <w:rFonts w:hint="eastAsia"/>
          <w:szCs w:val="21"/>
        </w:rPr>
        <w:t>（6）通用合同条款（如果有）</w:t>
      </w:r>
    </w:p>
    <w:p w14:paraId="749D4BA8">
      <w:pPr>
        <w:adjustRightInd w:val="0"/>
        <w:snapToGrid w:val="0"/>
        <w:rPr>
          <w:szCs w:val="21"/>
        </w:rPr>
      </w:pPr>
      <w:r>
        <w:rPr>
          <w:rFonts w:hint="eastAsia"/>
          <w:szCs w:val="21"/>
        </w:rPr>
        <w:t>（7）标准、规范及有关技术文件，图纸，已标价工程量清单或预算书（如果有）</w:t>
      </w:r>
    </w:p>
    <w:p w14:paraId="1D690530">
      <w:pPr>
        <w:adjustRightInd w:val="0"/>
        <w:snapToGrid w:val="0"/>
        <w:rPr>
          <w:szCs w:val="21"/>
        </w:rPr>
      </w:pPr>
      <w:r>
        <w:rPr>
          <w:rFonts w:hint="eastAsia"/>
          <w:szCs w:val="21"/>
        </w:rPr>
        <w:t>（8）其他合同文件。</w:t>
      </w:r>
    </w:p>
    <w:p w14:paraId="06E6F7D2">
      <w:pPr>
        <w:adjustRightInd w:val="0"/>
        <w:snapToGrid w:val="0"/>
        <w:ind w:firstLine="422"/>
        <w:rPr>
          <w:b/>
          <w:szCs w:val="21"/>
        </w:rPr>
      </w:pPr>
      <w:r>
        <w:rPr>
          <w:rFonts w:hint="eastAsia"/>
          <w:b/>
          <w:szCs w:val="21"/>
        </w:rPr>
        <w:t>7.合同生效</w:t>
      </w:r>
    </w:p>
    <w:p w14:paraId="4F205C4B">
      <w:pPr>
        <w:adjustRightInd w:val="0"/>
        <w:snapToGrid w:val="0"/>
        <w:rPr>
          <w:szCs w:val="21"/>
        </w:rPr>
      </w:pPr>
      <w:r>
        <w:rPr>
          <w:rFonts w:hint="eastAsia"/>
          <w:szCs w:val="21"/>
        </w:rPr>
        <w:t>本合同自生效。</w:t>
      </w:r>
    </w:p>
    <w:p w14:paraId="7D9AD09B">
      <w:pPr>
        <w:adjustRightInd w:val="0"/>
        <w:snapToGrid w:val="0"/>
        <w:ind w:firstLine="422"/>
        <w:rPr>
          <w:b/>
          <w:szCs w:val="21"/>
        </w:rPr>
      </w:pPr>
      <w:r>
        <w:rPr>
          <w:rFonts w:hint="eastAsia"/>
          <w:b/>
          <w:szCs w:val="21"/>
        </w:rPr>
        <w:t>8.合同份数</w:t>
      </w:r>
    </w:p>
    <w:p w14:paraId="121BF022">
      <w:pPr>
        <w:adjustRightInd w:val="0"/>
        <w:snapToGrid w:val="0"/>
        <w:rPr>
          <w:rFonts w:ascii="仿宋" w:hAnsi="仿宋" w:eastAsia="仿宋" w:cs="仿宋"/>
          <w:sz w:val="28"/>
          <w:szCs w:val="28"/>
        </w:rPr>
      </w:pPr>
      <w:r>
        <w:rPr>
          <w:rFonts w:hint="eastAsia"/>
          <w:szCs w:val="21"/>
        </w:rPr>
        <w:t>本合同一式份，采购人执份，供应商执份，均具有同等法律效力。</w:t>
      </w:r>
    </w:p>
    <w:p w14:paraId="780D803A">
      <w:pPr>
        <w:adjustRightInd w:val="0"/>
        <w:snapToGrid w:val="0"/>
        <w:spacing w:before="120" w:beforeLines="50"/>
        <w:rPr>
          <w:szCs w:val="21"/>
        </w:rPr>
      </w:pPr>
    </w:p>
    <w:p w14:paraId="71642396">
      <w:pPr>
        <w:adjustRightInd w:val="0"/>
        <w:snapToGrid w:val="0"/>
        <w:spacing w:before="120" w:beforeLines="50"/>
        <w:ind w:firstLine="0" w:firstLineChars="0"/>
        <w:rPr>
          <w:szCs w:val="21"/>
        </w:rPr>
      </w:pPr>
    </w:p>
    <w:p w14:paraId="1F35A91D">
      <w:pPr>
        <w:adjustRightInd w:val="0"/>
        <w:snapToGrid w:val="0"/>
        <w:spacing w:before="120" w:beforeLines="50"/>
        <w:rPr>
          <w:szCs w:val="21"/>
        </w:rPr>
      </w:pPr>
      <w:r>
        <w:rPr>
          <w:rFonts w:hint="eastAsia"/>
          <w:szCs w:val="21"/>
        </w:rPr>
        <w:t>甲      方：（公章）                     乙      方：（公章）</w:t>
      </w:r>
    </w:p>
    <w:p w14:paraId="52EBEEC7">
      <w:pPr>
        <w:adjustRightInd w:val="0"/>
        <w:snapToGrid w:val="0"/>
        <w:spacing w:before="120" w:beforeLines="50"/>
        <w:rPr>
          <w:szCs w:val="21"/>
        </w:rPr>
      </w:pPr>
      <w:r>
        <w:rPr>
          <w:rFonts w:hint="eastAsia"/>
          <w:szCs w:val="21"/>
        </w:rPr>
        <w:t>法定代表人：         法定代表人：</w:t>
      </w:r>
    </w:p>
    <w:p w14:paraId="3B1EB987">
      <w:pPr>
        <w:adjustRightInd w:val="0"/>
        <w:snapToGrid w:val="0"/>
        <w:spacing w:before="120" w:beforeLines="50"/>
        <w:rPr>
          <w:szCs w:val="21"/>
        </w:rPr>
      </w:pPr>
      <w:r>
        <w:rPr>
          <w:rFonts w:hint="eastAsia"/>
          <w:szCs w:val="21"/>
        </w:rPr>
        <w:t>委托代理人：         委托代理人：</w:t>
      </w:r>
    </w:p>
    <w:p w14:paraId="02F7C442">
      <w:pPr>
        <w:adjustRightInd w:val="0"/>
        <w:snapToGrid w:val="0"/>
        <w:spacing w:before="120" w:beforeLines="50"/>
        <w:rPr>
          <w:szCs w:val="21"/>
        </w:rPr>
      </w:pPr>
      <w:r>
        <w:rPr>
          <w:rFonts w:hint="eastAsia"/>
          <w:szCs w:val="21"/>
        </w:rPr>
        <w:t>电      话：         电      话：</w:t>
      </w:r>
    </w:p>
    <w:p w14:paraId="5D6324D2">
      <w:pPr>
        <w:adjustRightInd w:val="0"/>
        <w:snapToGrid w:val="0"/>
        <w:spacing w:before="120" w:beforeLines="50"/>
        <w:rPr>
          <w:szCs w:val="21"/>
        </w:rPr>
      </w:pPr>
      <w:r>
        <w:rPr>
          <w:rFonts w:hint="eastAsia"/>
          <w:szCs w:val="21"/>
        </w:rPr>
        <w:t>传      真：         传      真：</w:t>
      </w:r>
    </w:p>
    <w:p w14:paraId="35C93D79">
      <w:pPr>
        <w:adjustRightInd w:val="0"/>
        <w:snapToGrid w:val="0"/>
        <w:spacing w:before="120" w:beforeLines="50"/>
        <w:rPr>
          <w:szCs w:val="21"/>
        </w:rPr>
      </w:pPr>
      <w:r>
        <w:rPr>
          <w:rFonts w:hint="eastAsia"/>
          <w:szCs w:val="21"/>
        </w:rPr>
        <w:t xml:space="preserve">  开 户 银 行：</w:t>
      </w:r>
    </w:p>
    <w:p w14:paraId="39F2970C">
      <w:pPr>
        <w:adjustRightInd w:val="0"/>
        <w:snapToGrid w:val="0"/>
        <w:spacing w:before="120" w:beforeLines="50"/>
        <w:jc w:val="center"/>
        <w:rPr>
          <w:b/>
          <w:szCs w:val="21"/>
        </w:rPr>
      </w:pPr>
      <w:r>
        <w:rPr>
          <w:rFonts w:hint="eastAsia"/>
          <w:szCs w:val="21"/>
        </w:rPr>
        <w:t xml:space="preserve"> 账       号：</w:t>
      </w:r>
    </w:p>
    <w:p w14:paraId="2DA11336">
      <w:pPr>
        <w:pStyle w:val="68"/>
        <w:ind w:firstLine="422"/>
        <w:rPr>
          <w:rFonts w:ascii="Times New Roman" w:hAnsi="Times New Roman" w:cs="Times New Roman"/>
          <w:b/>
          <w:szCs w:val="21"/>
        </w:rPr>
      </w:pPr>
    </w:p>
    <w:p w14:paraId="12DD0E69">
      <w:pPr>
        <w:rPr>
          <w:rFonts w:ascii="Times New Roman" w:hAnsi="Times New Roman" w:cs="Times New Roman"/>
        </w:rPr>
      </w:pPr>
    </w:p>
    <w:p w14:paraId="2F2EAE9C">
      <w:pPr>
        <w:pStyle w:val="2"/>
        <w:ind w:firstLine="482"/>
        <w:rPr>
          <w:rFonts w:ascii="Times New Roman" w:hAnsi="Times New Roman" w:cs="Times New Roman"/>
        </w:rPr>
      </w:pPr>
    </w:p>
    <w:p w14:paraId="56905EEF">
      <w:pPr>
        <w:pStyle w:val="44"/>
        <w:rPr>
          <w:rFonts w:ascii="Times New Roman" w:hAnsi="Times New Roman" w:cs="Times New Roman"/>
        </w:rPr>
      </w:pPr>
    </w:p>
    <w:p w14:paraId="2065EF37">
      <w:pPr>
        <w:ind w:firstLine="560"/>
        <w:rPr>
          <w:rFonts w:ascii="黑体" w:hAnsi="黑体" w:eastAsia="黑体"/>
          <w:sz w:val="28"/>
          <w:szCs w:val="28"/>
        </w:rPr>
      </w:pPr>
      <w:bookmarkStart w:id="135" w:name="_Toc25353"/>
      <w:r>
        <w:rPr>
          <w:rFonts w:hint="eastAsia" w:ascii="黑体" w:hAnsi="黑体" w:eastAsia="黑体"/>
          <w:sz w:val="28"/>
          <w:szCs w:val="28"/>
        </w:rPr>
        <w:br w:type="page"/>
      </w:r>
    </w:p>
    <w:p w14:paraId="3A23F393">
      <w:pPr>
        <w:pStyle w:val="3"/>
        <w:adjustRightInd w:val="0"/>
        <w:snapToGrid w:val="0"/>
        <w:spacing w:before="120" w:beforeLines="50"/>
        <w:ind w:firstLine="0" w:firstLineChars="0"/>
        <w:jc w:val="center"/>
        <w:rPr>
          <w:rFonts w:ascii="宋体" w:hAnsi="宋体"/>
          <w:szCs w:val="21"/>
        </w:rPr>
      </w:pPr>
      <w:bookmarkStart w:id="136" w:name="_Toc12951"/>
      <w:r>
        <w:rPr>
          <w:rFonts w:hint="eastAsia" w:ascii="黑体" w:hAnsi="黑体" w:eastAsia="黑体"/>
          <w:sz w:val="28"/>
          <w:szCs w:val="28"/>
        </w:rPr>
        <w:t>第二节 政府采购合同通用条款</w:t>
      </w:r>
      <w:bookmarkEnd w:id="135"/>
      <w:bookmarkEnd w:id="136"/>
    </w:p>
    <w:p w14:paraId="2412936C">
      <w:pPr>
        <w:pStyle w:val="27"/>
        <w:rPr>
          <w:b/>
          <w:sz w:val="21"/>
          <w:szCs w:val="21"/>
        </w:rPr>
      </w:pPr>
      <w:r>
        <w:rPr>
          <w:rFonts w:hint="eastAsia"/>
          <w:bCs/>
          <w:sz w:val="21"/>
          <w:szCs w:val="21"/>
        </w:rPr>
        <w:t>服务类政府采购合同格式文本省级以上政府部门或行业组织有标准或示范文本的，应按照其文本确定合同格式。没有文本的，按照《中华人民共和国民法典》及采购项目特点自行拟定特定文本确定合同格式。</w:t>
      </w:r>
    </w:p>
    <w:p w14:paraId="690C75BF">
      <w:pPr>
        <w:tabs>
          <w:tab w:val="left" w:pos="8820"/>
          <w:tab w:val="left" w:pos="9345"/>
          <w:tab w:val="left" w:pos="9765"/>
        </w:tabs>
        <w:adjustRightInd w:val="0"/>
        <w:snapToGrid w:val="0"/>
        <w:spacing w:before="120" w:beforeLines="50"/>
        <w:ind w:right="384" w:rightChars="183" w:firstLine="723"/>
        <w:jc w:val="center"/>
        <w:rPr>
          <w:rFonts w:ascii="黑体" w:hAnsi="华文中宋" w:eastAsia="黑体"/>
          <w:b/>
          <w:bCs/>
          <w:sz w:val="36"/>
          <w:szCs w:val="36"/>
        </w:rPr>
      </w:pPr>
    </w:p>
    <w:p w14:paraId="7F37A1C1">
      <w:pPr>
        <w:pStyle w:val="27"/>
        <w:ind w:firstLine="361"/>
        <w:rPr>
          <w:b/>
          <w:szCs w:val="21"/>
        </w:rPr>
      </w:pPr>
    </w:p>
    <w:p w14:paraId="16127CF7">
      <w:pPr>
        <w:ind w:firstLine="562"/>
        <w:rPr>
          <w:rFonts w:ascii="黑体" w:hAnsi="华文中宋" w:eastAsia="黑体"/>
          <w:b/>
          <w:bCs/>
          <w:sz w:val="28"/>
          <w:szCs w:val="28"/>
        </w:rPr>
      </w:pPr>
      <w:bookmarkStart w:id="137" w:name="_Toc12091"/>
      <w:bookmarkStart w:id="138" w:name="_Toc28082"/>
      <w:bookmarkStart w:id="139" w:name="_Toc18858"/>
      <w:bookmarkStart w:id="140" w:name="_Toc31373"/>
      <w:bookmarkStart w:id="141" w:name="_Toc9079"/>
      <w:bookmarkStart w:id="142" w:name="_Toc20406"/>
      <w:bookmarkStart w:id="143" w:name="_Toc8743"/>
      <w:bookmarkStart w:id="144" w:name="_Toc431364761"/>
      <w:bookmarkStart w:id="145" w:name="_Toc12752"/>
      <w:bookmarkStart w:id="146" w:name="_Toc2814"/>
      <w:bookmarkStart w:id="147" w:name="_Toc2960"/>
      <w:r>
        <w:rPr>
          <w:rFonts w:ascii="黑体" w:hAnsi="华文中宋" w:eastAsia="黑体"/>
          <w:b/>
          <w:bCs/>
          <w:sz w:val="28"/>
          <w:szCs w:val="28"/>
        </w:rPr>
        <w:br w:type="page"/>
      </w:r>
    </w:p>
    <w:p w14:paraId="24DE2339">
      <w:pPr>
        <w:numPr>
          <w:ilvl w:val="0"/>
          <w:numId w:val="3"/>
        </w:numPr>
        <w:ind w:firstLine="0" w:firstLineChars="0"/>
        <w:jc w:val="center"/>
        <w:rPr>
          <w:rFonts w:ascii="黑体" w:hAnsi="华文中宋" w:eastAsia="黑体"/>
          <w:b/>
          <w:bCs/>
          <w:sz w:val="28"/>
          <w:szCs w:val="28"/>
        </w:rPr>
      </w:pPr>
      <w:r>
        <w:rPr>
          <w:rFonts w:ascii="黑体" w:hAnsi="华文中宋" w:eastAsia="黑体"/>
          <w:b/>
          <w:bCs/>
          <w:sz w:val="28"/>
          <w:szCs w:val="28"/>
        </w:rPr>
        <w:t>政府采购合同专用条款</w:t>
      </w:r>
      <w:bookmarkEnd w:id="137"/>
      <w:bookmarkEnd w:id="138"/>
      <w:bookmarkEnd w:id="139"/>
      <w:bookmarkEnd w:id="140"/>
      <w:bookmarkEnd w:id="141"/>
      <w:bookmarkEnd w:id="142"/>
      <w:bookmarkEnd w:id="143"/>
      <w:bookmarkEnd w:id="144"/>
      <w:bookmarkEnd w:id="145"/>
      <w:bookmarkEnd w:id="146"/>
      <w:bookmarkEnd w:id="147"/>
    </w:p>
    <w:p w14:paraId="0CEE77F7">
      <w:pPr>
        <w:pStyle w:val="17"/>
        <w:tabs>
          <w:tab w:val="left" w:pos="1530"/>
          <w:tab w:val="center" w:pos="4484"/>
        </w:tabs>
        <w:snapToGrid w:val="0"/>
        <w:jc w:val="center"/>
        <w:rPr>
          <w:rFonts w:hint="eastAsia" w:ascii="黑体" w:hAnsi="华文中宋" w:eastAsia="黑体"/>
          <w:b/>
          <w:bCs/>
          <w:sz w:val="36"/>
          <w:szCs w:val="36"/>
        </w:rPr>
      </w:pPr>
      <w:r>
        <w:rPr>
          <w:rFonts w:hint="eastAsia" w:ascii="黑体" w:hAnsi="华文中宋" w:eastAsia="黑体"/>
          <w:b/>
          <w:bCs/>
          <w:sz w:val="36"/>
          <w:szCs w:val="36"/>
        </w:rPr>
        <w:t>政府采购合同专用条款（服务类）</w:t>
      </w:r>
    </w:p>
    <w:tbl>
      <w:tblPr>
        <w:tblStyle w:val="45"/>
        <w:tblW w:w="93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66"/>
        <w:gridCol w:w="6153"/>
      </w:tblGrid>
      <w:tr w14:paraId="3A50B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166" w:type="dxa"/>
            <w:noWrap w:val="0"/>
            <w:vAlign w:val="center"/>
          </w:tcPr>
          <w:p w14:paraId="61E8BEF2">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 xml:space="preserve">甲方名称、地址 </w:t>
            </w:r>
          </w:p>
        </w:tc>
        <w:tc>
          <w:tcPr>
            <w:tcW w:w="6153" w:type="dxa"/>
            <w:noWrap w:val="0"/>
            <w:vAlign w:val="center"/>
          </w:tcPr>
          <w:p w14:paraId="2E0B7204">
            <w:pPr>
              <w:pStyle w:val="296"/>
              <w:keepNext w:val="0"/>
              <w:keepLines w:val="0"/>
              <w:pageBreakBefore w:val="0"/>
              <w:shd w:val="clear" w:color="auto" w:fill="auto"/>
              <w:kinsoku/>
              <w:wordWrap/>
              <w:overflowPunct/>
              <w:topLinePunct w:val="0"/>
              <w:autoSpaceDE/>
              <w:autoSpaceDN/>
              <w:bidi w:val="0"/>
              <w:adjustRightInd w:val="0"/>
              <w:snapToGrid w:val="0"/>
              <w:spacing w:line="360" w:lineRule="exact"/>
              <w:jc w:val="left"/>
              <w:textAlignment w:val="auto"/>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名称：湘阴县自然资源局</w:t>
            </w:r>
          </w:p>
          <w:p w14:paraId="35D43B1D">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hint="eastAsia" w:ascii="宋体" w:hAnsi="宋体" w:eastAsia="宋体" w:cs="宋体"/>
                <w:color w:val="auto"/>
                <w:spacing w:val="30"/>
                <w:kern w:val="0"/>
                <w:szCs w:val="21"/>
                <w:highlight w:val="none"/>
                <w:lang w:eastAsia="zh-CN"/>
              </w:rPr>
            </w:pPr>
            <w:r>
              <w:rPr>
                <w:rStyle w:val="47"/>
                <w:rFonts w:hint="eastAsia" w:ascii="宋体" w:hAnsi="宋体" w:eastAsia="宋体" w:cs="Times New Roman"/>
                <w:color w:val="auto"/>
                <w:szCs w:val="21"/>
                <w:highlight w:val="none"/>
              </w:rPr>
              <w:t>地址：湘阴县文星街道新世纪大道</w:t>
            </w:r>
          </w:p>
        </w:tc>
      </w:tr>
      <w:tr w14:paraId="46C52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166" w:type="dxa"/>
            <w:noWrap w:val="0"/>
            <w:vAlign w:val="center"/>
          </w:tcPr>
          <w:p w14:paraId="3822A059">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项目现场</w:t>
            </w:r>
          </w:p>
        </w:tc>
        <w:tc>
          <w:tcPr>
            <w:tcW w:w="6153" w:type="dxa"/>
            <w:noWrap w:val="0"/>
            <w:vAlign w:val="center"/>
          </w:tcPr>
          <w:p w14:paraId="72B7EC9A">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u w:val="single"/>
              </w:rPr>
            </w:pPr>
            <w:r>
              <w:rPr>
                <w:rStyle w:val="47"/>
                <w:rFonts w:hint="eastAsia" w:ascii="宋体" w:hAnsi="宋体" w:eastAsia="宋体" w:cs="宋体"/>
                <w:color w:val="auto"/>
                <w:kern w:val="0"/>
                <w:szCs w:val="21"/>
                <w:highlight w:val="none"/>
              </w:rPr>
              <w:t>采购人指定地点</w:t>
            </w:r>
          </w:p>
        </w:tc>
      </w:tr>
      <w:tr w14:paraId="6DE978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166" w:type="dxa"/>
            <w:noWrap w:val="0"/>
            <w:vAlign w:val="center"/>
          </w:tcPr>
          <w:p w14:paraId="47802B56">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履行合同的时间、地点及方式</w:t>
            </w:r>
          </w:p>
        </w:tc>
        <w:tc>
          <w:tcPr>
            <w:tcW w:w="6153" w:type="dxa"/>
            <w:noWrap w:val="0"/>
            <w:vAlign w:val="center"/>
          </w:tcPr>
          <w:p w14:paraId="41D8FE1B">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hint="default" w:ascii="宋体" w:hAnsi="宋体" w:eastAsia="宋体" w:cs="宋体"/>
                <w:color w:val="auto"/>
                <w:spacing w:val="30"/>
                <w:kern w:val="0"/>
                <w:szCs w:val="21"/>
                <w:highlight w:val="none"/>
                <w:lang w:val="en-US" w:eastAsia="zh-CN"/>
              </w:rPr>
            </w:pPr>
            <w:r>
              <w:rPr>
                <w:rStyle w:val="47"/>
                <w:rFonts w:hint="eastAsia" w:ascii="宋体" w:hAnsi="宋体" w:cs="Times New Roman"/>
                <w:color w:val="auto"/>
                <w:kern w:val="2"/>
                <w:sz w:val="21"/>
                <w:szCs w:val="21"/>
                <w:highlight w:val="none"/>
                <w:lang w:val="en-US" w:eastAsia="zh-CN" w:bidi="ar-SA"/>
              </w:rPr>
              <w:t>详见第四章采购需求</w:t>
            </w:r>
          </w:p>
        </w:tc>
      </w:tr>
      <w:tr w14:paraId="4BCA0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166" w:type="dxa"/>
            <w:noWrap w:val="0"/>
            <w:vAlign w:val="center"/>
          </w:tcPr>
          <w:p w14:paraId="19DFBB95">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质量保证期（服务期限）</w:t>
            </w:r>
          </w:p>
        </w:tc>
        <w:tc>
          <w:tcPr>
            <w:tcW w:w="6153" w:type="dxa"/>
            <w:noWrap w:val="0"/>
            <w:vAlign w:val="center"/>
          </w:tcPr>
          <w:p w14:paraId="35019A57">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hint="default" w:ascii="宋体" w:hAnsi="宋体" w:eastAsia="宋体" w:cs="宋体"/>
                <w:color w:val="auto"/>
                <w:spacing w:val="30"/>
                <w:kern w:val="0"/>
                <w:szCs w:val="21"/>
                <w:highlight w:val="none"/>
                <w:u w:val="single"/>
                <w:lang w:val="en-US" w:eastAsia="zh-CN"/>
              </w:rPr>
            </w:pPr>
            <w:r>
              <w:rPr>
                <w:rStyle w:val="47"/>
                <w:rFonts w:hint="eastAsia" w:ascii="宋体" w:hAnsi="宋体" w:cs="Times New Roman"/>
                <w:color w:val="auto"/>
                <w:kern w:val="2"/>
                <w:sz w:val="21"/>
                <w:szCs w:val="21"/>
                <w:highlight w:val="none"/>
                <w:lang w:val="en-US" w:eastAsia="zh-CN" w:bidi="ar-SA"/>
              </w:rPr>
              <w:t>详见第四章采购需求</w:t>
            </w:r>
          </w:p>
        </w:tc>
      </w:tr>
      <w:tr w14:paraId="00D74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3166" w:type="dxa"/>
            <w:noWrap w:val="0"/>
            <w:vAlign w:val="center"/>
          </w:tcPr>
          <w:p w14:paraId="234A5FC3">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响应时间</w:t>
            </w:r>
          </w:p>
        </w:tc>
        <w:tc>
          <w:tcPr>
            <w:tcW w:w="6153" w:type="dxa"/>
            <w:noWrap w:val="0"/>
            <w:vAlign w:val="center"/>
          </w:tcPr>
          <w:p w14:paraId="7A03C0B8">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hint="default" w:ascii="宋体" w:hAnsi="宋体" w:eastAsia="宋体" w:cs="宋体"/>
                <w:color w:val="auto"/>
                <w:spacing w:val="30"/>
                <w:kern w:val="0"/>
                <w:szCs w:val="21"/>
                <w:highlight w:val="none"/>
                <w:u w:val="single"/>
                <w:lang w:val="en-US"/>
              </w:rPr>
            </w:pPr>
            <w:r>
              <w:rPr>
                <w:rStyle w:val="47"/>
                <w:rFonts w:hint="eastAsia" w:ascii="宋体" w:hAnsi="宋体" w:cs="Times New Roman"/>
                <w:color w:val="auto"/>
                <w:kern w:val="2"/>
                <w:sz w:val="21"/>
                <w:szCs w:val="21"/>
                <w:highlight w:val="none"/>
                <w:lang w:val="en-US" w:eastAsia="zh-CN" w:bidi="ar-SA"/>
              </w:rPr>
              <w:t>详见第四章采购需求</w:t>
            </w:r>
          </w:p>
        </w:tc>
      </w:tr>
      <w:tr w14:paraId="6C995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166" w:type="dxa"/>
            <w:noWrap w:val="0"/>
            <w:vAlign w:val="center"/>
          </w:tcPr>
          <w:p w14:paraId="4BB0BD98">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合同价款支付方式</w:t>
            </w:r>
            <w:r>
              <w:rPr>
                <w:rStyle w:val="47"/>
                <w:rFonts w:hint="eastAsia" w:ascii="宋体" w:hAnsi="宋体" w:eastAsia="宋体" w:cs="宋体"/>
                <w:bCs/>
                <w:color w:val="auto"/>
                <w:spacing w:val="30"/>
                <w:kern w:val="0"/>
                <w:szCs w:val="21"/>
                <w:highlight w:val="none"/>
              </w:rPr>
              <w:t>和条件</w:t>
            </w:r>
          </w:p>
        </w:tc>
        <w:tc>
          <w:tcPr>
            <w:tcW w:w="6153" w:type="dxa"/>
            <w:noWrap w:val="0"/>
            <w:vAlign w:val="center"/>
          </w:tcPr>
          <w:p w14:paraId="7FFD9C46">
            <w:pPr>
              <w:pStyle w:val="300"/>
              <w:keepNext w:val="0"/>
              <w:keepLines w:val="0"/>
              <w:pageBreakBefore w:val="0"/>
              <w:widowControl w:val="0"/>
              <w:shd w:val="clear" w:color="auto" w:fill="auto"/>
              <w:kinsoku/>
              <w:wordWrap/>
              <w:overflowPunct/>
              <w:topLinePunct w:val="0"/>
              <w:autoSpaceDE/>
              <w:autoSpaceDN/>
              <w:bidi w:val="0"/>
              <w:spacing w:after="0" w:line="360" w:lineRule="exact"/>
              <w:ind w:left="0" w:leftChars="0"/>
              <w:jc w:val="left"/>
              <w:textAlignment w:val="auto"/>
              <w:rPr>
                <w:rStyle w:val="47"/>
                <w:rFonts w:ascii="Calibri" w:hAnsi="Calibri" w:eastAsia="宋体" w:cs="Times New Roman"/>
                <w:color w:val="auto"/>
                <w:highlight w:val="none"/>
                <w:lang w:val="en-US" w:eastAsia="zh-CN"/>
              </w:rPr>
            </w:pPr>
            <w:r>
              <w:rPr>
                <w:rStyle w:val="47"/>
                <w:rFonts w:hint="eastAsia" w:ascii="Calibri" w:hAnsi="Calibri" w:eastAsia="宋体" w:cs="Times New Roman"/>
                <w:color w:val="auto"/>
                <w:highlight w:val="none"/>
                <w:lang w:val="en-US" w:eastAsia="zh-CN"/>
              </w:rPr>
              <w:t>付款人：湘阴县自然资源局（国库集中支付）</w:t>
            </w:r>
          </w:p>
          <w:p w14:paraId="0EBB2AD0">
            <w:pPr>
              <w:pStyle w:val="297"/>
              <w:numPr>
                <w:ilvl w:val="0"/>
                <w:numId w:val="0"/>
              </w:numPr>
              <w:rPr>
                <w:rStyle w:val="47"/>
                <w:rFonts w:hint="eastAsia" w:ascii="Calibri" w:hAnsi="Calibri" w:eastAsia="宋体" w:cs="Times New Roman"/>
                <w:color w:val="auto"/>
                <w:highlight w:val="none"/>
                <w:lang w:val="en-US" w:eastAsia="zh-CN"/>
              </w:rPr>
            </w:pPr>
            <w:r>
              <w:rPr>
                <w:rStyle w:val="47"/>
                <w:rFonts w:hint="eastAsia" w:ascii="Calibri" w:hAnsi="Calibri" w:eastAsia="宋体" w:cs="Times New Roman"/>
                <w:color w:val="auto"/>
                <w:highlight w:val="none"/>
                <w:lang w:val="en-US" w:eastAsia="zh-CN"/>
              </w:rPr>
              <w:t>付款方式：1、付款方式：合同签订后支付合同金额</w:t>
            </w:r>
            <w:r>
              <w:rPr>
                <w:rStyle w:val="47"/>
                <w:rFonts w:hint="eastAsia" w:cs="Times New Roman"/>
                <w:color w:val="auto"/>
                <w:highlight w:val="none"/>
                <w:lang w:val="en-US" w:eastAsia="zh-CN"/>
              </w:rPr>
              <w:t>1</w:t>
            </w:r>
            <w:r>
              <w:rPr>
                <w:rStyle w:val="47"/>
                <w:rFonts w:hint="eastAsia" w:ascii="Calibri" w:hAnsi="Calibri" w:eastAsia="宋体" w:cs="Times New Roman"/>
                <w:color w:val="auto"/>
                <w:highlight w:val="none"/>
                <w:lang w:val="en-US" w:eastAsia="zh-CN"/>
              </w:rPr>
              <w:t>0%的预付款，项目完成验收合格后，由采购人一次性支付剩余金额。</w:t>
            </w:r>
          </w:p>
          <w:p w14:paraId="16AF81CD">
            <w:pPr>
              <w:pStyle w:val="297"/>
              <w:numPr>
                <w:ilvl w:val="0"/>
                <w:numId w:val="0"/>
              </w:numPr>
              <w:rPr>
                <w:rStyle w:val="47"/>
                <w:rFonts w:hint="default" w:ascii="Calibri" w:hAnsi="Calibri" w:eastAsia="宋体" w:cs="Times New Roman"/>
                <w:color w:val="auto"/>
                <w:highlight w:val="none"/>
                <w:lang w:val="en"/>
              </w:rPr>
            </w:pPr>
            <w:r>
              <w:rPr>
                <w:rStyle w:val="47"/>
                <w:rFonts w:hint="eastAsia" w:ascii="Calibri" w:hAnsi="Calibri" w:eastAsia="宋体" w:cs="Times New Roman"/>
                <w:color w:val="auto"/>
                <w:highlight w:val="none"/>
                <w:lang w:val="en-US" w:eastAsia="zh-CN"/>
              </w:rPr>
              <w:t>2、成交供应商出具正规发票给采购人，按采购人的要求办理合同价款结算手续。</w:t>
            </w:r>
          </w:p>
        </w:tc>
      </w:tr>
      <w:tr w14:paraId="0947B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3166" w:type="dxa"/>
            <w:noWrap w:val="0"/>
            <w:vAlign w:val="center"/>
          </w:tcPr>
          <w:p w14:paraId="7640A60A">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pacing w:val="30"/>
                <w:kern w:val="0"/>
                <w:szCs w:val="21"/>
                <w:highlight w:val="none"/>
              </w:rPr>
              <w:t>乙方提供的其他服务</w:t>
            </w:r>
          </w:p>
        </w:tc>
        <w:tc>
          <w:tcPr>
            <w:tcW w:w="6153" w:type="dxa"/>
            <w:noWrap w:val="0"/>
            <w:vAlign w:val="center"/>
          </w:tcPr>
          <w:p w14:paraId="1402BFF3">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color w:val="auto"/>
                <w:szCs w:val="21"/>
                <w:highlight w:val="none"/>
              </w:rPr>
              <w:t>详见第</w:t>
            </w:r>
            <w:r>
              <w:rPr>
                <w:rStyle w:val="47"/>
                <w:rFonts w:hint="eastAsia" w:ascii="宋体" w:hAnsi="宋体" w:cs="宋体"/>
                <w:color w:val="auto"/>
                <w:szCs w:val="21"/>
                <w:highlight w:val="none"/>
                <w:lang w:val="en-US" w:eastAsia="zh-CN"/>
              </w:rPr>
              <w:t>四</w:t>
            </w:r>
            <w:r>
              <w:rPr>
                <w:rStyle w:val="47"/>
                <w:rFonts w:hint="eastAsia" w:ascii="宋体" w:hAnsi="宋体" w:eastAsia="宋体" w:cs="宋体"/>
                <w:color w:val="auto"/>
                <w:szCs w:val="21"/>
                <w:highlight w:val="none"/>
              </w:rPr>
              <w:t>章采购需求。</w:t>
            </w:r>
          </w:p>
        </w:tc>
      </w:tr>
      <w:tr w14:paraId="016A0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166" w:type="dxa"/>
            <w:noWrap w:val="0"/>
            <w:vAlign w:val="center"/>
          </w:tcPr>
          <w:p w14:paraId="4A89AB96">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bCs/>
                <w:color w:val="auto"/>
                <w:spacing w:val="30"/>
                <w:kern w:val="0"/>
                <w:szCs w:val="21"/>
                <w:highlight w:val="none"/>
              </w:rPr>
            </w:pPr>
            <w:r>
              <w:rPr>
                <w:rStyle w:val="47"/>
                <w:rFonts w:hint="eastAsia" w:ascii="宋体" w:hAnsi="宋体" w:eastAsia="宋体" w:cs="宋体"/>
                <w:color w:val="auto"/>
                <w:spacing w:val="30"/>
                <w:kern w:val="0"/>
                <w:szCs w:val="21"/>
                <w:highlight w:val="none"/>
              </w:rPr>
              <w:t>解决争议的方式</w:t>
            </w:r>
          </w:p>
        </w:tc>
        <w:tc>
          <w:tcPr>
            <w:tcW w:w="6153" w:type="dxa"/>
            <w:noWrap w:val="0"/>
            <w:vAlign w:val="center"/>
          </w:tcPr>
          <w:p w14:paraId="225E7756">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hint="eastAsia" w:ascii="宋体" w:hAnsi="宋体" w:eastAsia="宋体" w:cs="宋体"/>
                <w:color w:val="auto"/>
                <w:spacing w:val="30"/>
                <w:kern w:val="0"/>
                <w:szCs w:val="21"/>
                <w:highlight w:val="none"/>
                <w:lang w:eastAsia="zh-CN"/>
              </w:rPr>
            </w:pPr>
            <w:r>
              <w:rPr>
                <w:rStyle w:val="47"/>
                <w:rFonts w:hint="eastAsia" w:ascii="宋体" w:hAnsi="宋体" w:cs="宋体"/>
                <w:color w:val="auto"/>
                <w:spacing w:val="30"/>
                <w:kern w:val="0"/>
                <w:szCs w:val="21"/>
                <w:highlight w:val="none"/>
                <w:lang w:eastAsia="zh-CN"/>
              </w:rPr>
              <w:sym w:font="Wingdings 2" w:char="0052"/>
            </w:r>
            <w:r>
              <w:rPr>
                <w:rStyle w:val="47"/>
                <w:rFonts w:hint="eastAsia" w:ascii="宋体" w:hAnsi="宋体" w:eastAsia="宋体" w:cs="宋体"/>
                <w:color w:val="auto"/>
                <w:spacing w:val="30"/>
                <w:kern w:val="0"/>
                <w:szCs w:val="21"/>
                <w:highlight w:val="none"/>
                <w:lang w:val="en-US" w:eastAsia="zh-CN"/>
              </w:rPr>
              <w:t xml:space="preserve"> </w:t>
            </w:r>
            <w:r>
              <w:rPr>
                <w:rStyle w:val="47"/>
                <w:rFonts w:hint="eastAsia" w:ascii="宋体" w:hAnsi="宋体" w:eastAsia="宋体" w:cs="宋体"/>
                <w:color w:val="auto"/>
                <w:spacing w:val="30"/>
                <w:kern w:val="0"/>
                <w:szCs w:val="21"/>
                <w:highlight w:val="none"/>
              </w:rPr>
              <w:t>诉讼</w:t>
            </w:r>
            <w:r>
              <w:rPr>
                <w:rStyle w:val="47"/>
                <w:rFonts w:hint="eastAsia" w:ascii="宋体" w:hAnsi="宋体" w:cs="宋体"/>
                <w:color w:val="auto"/>
                <w:spacing w:val="30"/>
                <w:kern w:val="0"/>
                <w:szCs w:val="21"/>
                <w:highlight w:val="none"/>
                <w:lang w:eastAsia="zh-CN"/>
              </w:rPr>
              <w:t>，甲方所在地的人民法院管辖</w:t>
            </w:r>
          </w:p>
          <w:p w14:paraId="4F26F948">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cs="宋体"/>
                <w:color w:val="auto"/>
                <w:spacing w:val="30"/>
                <w:kern w:val="0"/>
                <w:szCs w:val="21"/>
                <w:highlight w:val="none"/>
                <w:lang w:eastAsia="zh-CN"/>
              </w:rPr>
              <w:t>□</w:t>
            </w:r>
            <w:r>
              <w:rPr>
                <w:rStyle w:val="47"/>
                <w:rFonts w:hint="eastAsia" w:ascii="宋体" w:hAnsi="宋体" w:eastAsia="宋体" w:cs="宋体"/>
                <w:color w:val="auto"/>
                <w:spacing w:val="30"/>
                <w:kern w:val="0"/>
                <w:szCs w:val="21"/>
                <w:highlight w:val="none"/>
              </w:rPr>
              <w:t xml:space="preserve"> 仲裁</w:t>
            </w:r>
          </w:p>
        </w:tc>
      </w:tr>
      <w:tr w14:paraId="1E0E3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166" w:type="dxa"/>
            <w:noWrap w:val="0"/>
            <w:vAlign w:val="center"/>
          </w:tcPr>
          <w:p w14:paraId="67CD8C55">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rPr>
            </w:pPr>
            <w:r>
              <w:rPr>
                <w:rStyle w:val="47"/>
                <w:rFonts w:hint="eastAsia" w:ascii="宋体" w:hAnsi="宋体" w:eastAsia="宋体" w:cs="宋体"/>
                <w:bCs/>
                <w:color w:val="auto"/>
                <w:spacing w:val="30"/>
                <w:kern w:val="0"/>
                <w:szCs w:val="21"/>
                <w:highlight w:val="none"/>
              </w:rPr>
              <w:t>合同未尽事项</w:t>
            </w:r>
          </w:p>
        </w:tc>
        <w:tc>
          <w:tcPr>
            <w:tcW w:w="6153" w:type="dxa"/>
            <w:noWrap w:val="0"/>
            <w:vAlign w:val="center"/>
          </w:tcPr>
          <w:p w14:paraId="00E18837">
            <w:pPr>
              <w:pStyle w:val="296"/>
              <w:keepNext w:val="0"/>
              <w:keepLines w:val="0"/>
              <w:pageBreakBefore w:val="0"/>
              <w:widowControl/>
              <w:shd w:val="clear" w:color="auto" w:fill="auto"/>
              <w:kinsoku/>
              <w:wordWrap/>
              <w:overflowPunct/>
              <w:topLinePunct w:val="0"/>
              <w:autoSpaceDE/>
              <w:autoSpaceDN/>
              <w:bidi w:val="0"/>
              <w:spacing w:line="360" w:lineRule="exact"/>
              <w:jc w:val="left"/>
              <w:textAlignment w:val="auto"/>
              <w:rPr>
                <w:rStyle w:val="47"/>
                <w:rFonts w:ascii="宋体" w:hAnsi="宋体" w:eastAsia="宋体" w:cs="宋体"/>
                <w:color w:val="auto"/>
                <w:spacing w:val="30"/>
                <w:kern w:val="0"/>
                <w:szCs w:val="21"/>
                <w:highlight w:val="none"/>
                <w:u w:val="single"/>
              </w:rPr>
            </w:pPr>
            <w:r>
              <w:rPr>
                <w:rStyle w:val="47"/>
                <w:rFonts w:hint="eastAsia" w:ascii="Calibri" w:hAnsi="Calibri" w:eastAsia="宋体" w:cs="Times New Roman"/>
                <w:color w:val="auto"/>
                <w:highlight w:val="none"/>
              </w:rPr>
              <w:t>按相关法律法规及合同双方协商拟定</w:t>
            </w:r>
          </w:p>
        </w:tc>
      </w:tr>
    </w:tbl>
    <w:p w14:paraId="116B91BB">
      <w:pPr>
        <w:pStyle w:val="17"/>
        <w:snapToGrid w:val="0"/>
        <w:ind w:left="105" w:leftChars="50"/>
        <w:rPr>
          <w:rFonts w:ascii="Times New Roman" w:hAnsi="Times New Roman" w:cs="Times New Roman"/>
          <w:bCs/>
          <w:szCs w:val="21"/>
        </w:rPr>
      </w:pPr>
    </w:p>
    <w:p w14:paraId="390DE51B">
      <w:pPr>
        <w:pStyle w:val="17"/>
        <w:snapToGrid w:val="0"/>
        <w:ind w:left="105" w:leftChars="50"/>
        <w:rPr>
          <w:rFonts w:ascii="Times New Roman" w:hAnsi="Times New Roman" w:cs="Times New Roman"/>
          <w:bCs/>
          <w:szCs w:val="21"/>
        </w:rPr>
      </w:pPr>
    </w:p>
    <w:p w14:paraId="05110DA5">
      <w:pPr>
        <w:pStyle w:val="17"/>
        <w:snapToGrid w:val="0"/>
        <w:ind w:left="105" w:leftChars="50"/>
        <w:rPr>
          <w:rFonts w:ascii="Times New Roman" w:hAnsi="Times New Roman" w:cs="Times New Roman"/>
          <w:bCs/>
          <w:szCs w:val="21"/>
        </w:rPr>
      </w:pPr>
    </w:p>
    <w:p w14:paraId="1CD26C5E">
      <w:pPr>
        <w:pStyle w:val="17"/>
        <w:snapToGrid w:val="0"/>
        <w:ind w:left="105" w:leftChars="50"/>
        <w:rPr>
          <w:rFonts w:ascii="Times New Roman" w:hAnsi="Times New Roman" w:cs="Times New Roman"/>
          <w:bCs/>
          <w:szCs w:val="21"/>
        </w:rPr>
      </w:pPr>
    </w:p>
    <w:p w14:paraId="710F1124">
      <w:pPr>
        <w:pStyle w:val="17"/>
        <w:snapToGrid w:val="0"/>
        <w:ind w:left="105" w:leftChars="50"/>
        <w:rPr>
          <w:rFonts w:ascii="Times New Roman" w:hAnsi="Times New Roman" w:cs="Times New Roman"/>
          <w:bCs/>
          <w:szCs w:val="21"/>
        </w:rPr>
      </w:pPr>
    </w:p>
    <w:p w14:paraId="3B45CF85">
      <w:pPr>
        <w:pStyle w:val="17"/>
        <w:snapToGrid w:val="0"/>
        <w:ind w:left="105" w:leftChars="50"/>
        <w:rPr>
          <w:rFonts w:ascii="Times New Roman" w:hAnsi="Times New Roman" w:cs="Times New Roman"/>
          <w:bCs/>
          <w:szCs w:val="21"/>
        </w:rPr>
      </w:pPr>
    </w:p>
    <w:p w14:paraId="4A55449A">
      <w:pPr>
        <w:pStyle w:val="17"/>
        <w:snapToGrid w:val="0"/>
        <w:ind w:left="105" w:leftChars="50"/>
        <w:rPr>
          <w:rFonts w:ascii="Times New Roman" w:hAnsi="Times New Roman" w:cs="Times New Roman"/>
          <w:bCs/>
          <w:szCs w:val="21"/>
        </w:rPr>
      </w:pPr>
    </w:p>
    <w:p w14:paraId="7A7D458C">
      <w:pPr>
        <w:pStyle w:val="17"/>
        <w:snapToGrid w:val="0"/>
        <w:ind w:left="105" w:leftChars="50"/>
        <w:rPr>
          <w:rFonts w:ascii="Times New Roman" w:hAnsi="Times New Roman" w:cs="Times New Roman"/>
          <w:bCs/>
          <w:szCs w:val="21"/>
        </w:rPr>
      </w:pPr>
    </w:p>
    <w:p w14:paraId="6241968F">
      <w:pPr>
        <w:pStyle w:val="17"/>
        <w:snapToGrid w:val="0"/>
        <w:ind w:left="105" w:leftChars="50"/>
        <w:rPr>
          <w:rFonts w:ascii="Times New Roman" w:hAnsi="Times New Roman" w:cs="Times New Roman"/>
          <w:bCs/>
          <w:szCs w:val="21"/>
        </w:rPr>
      </w:pPr>
    </w:p>
    <w:p w14:paraId="7B93EF26">
      <w:pPr>
        <w:pStyle w:val="17"/>
        <w:snapToGrid w:val="0"/>
        <w:ind w:left="105" w:leftChars="50"/>
        <w:rPr>
          <w:rFonts w:ascii="Times New Roman" w:hAnsi="Times New Roman" w:cs="Times New Roman"/>
          <w:bCs/>
          <w:szCs w:val="21"/>
        </w:rPr>
      </w:pPr>
    </w:p>
    <w:p w14:paraId="0D1E2A08">
      <w:pPr>
        <w:pStyle w:val="17"/>
        <w:snapToGrid w:val="0"/>
        <w:ind w:left="105" w:leftChars="50"/>
        <w:rPr>
          <w:rFonts w:ascii="Times New Roman" w:hAnsi="Times New Roman" w:cs="Times New Roman"/>
          <w:bCs/>
          <w:szCs w:val="21"/>
        </w:rPr>
      </w:pPr>
    </w:p>
    <w:p w14:paraId="20B425E7">
      <w:pPr>
        <w:ind w:firstLine="643"/>
        <w:rPr>
          <w:rFonts w:ascii="黑体" w:hAnsi="黑体" w:eastAsia="黑体" w:cs="黑体"/>
          <w:b/>
          <w:bCs/>
          <w:sz w:val="32"/>
          <w:szCs w:val="32"/>
        </w:rPr>
      </w:pPr>
      <w:bookmarkStart w:id="148" w:name="_Toc16247"/>
      <w:bookmarkStart w:id="149" w:name="_Toc11234"/>
      <w:bookmarkStart w:id="150" w:name="_Toc6757"/>
      <w:bookmarkStart w:id="151" w:name="_Toc24308"/>
      <w:r>
        <w:rPr>
          <w:rFonts w:hint="eastAsia" w:ascii="黑体" w:hAnsi="黑体" w:eastAsia="黑体" w:cs="黑体"/>
          <w:b/>
          <w:bCs/>
          <w:sz w:val="32"/>
          <w:szCs w:val="32"/>
        </w:rPr>
        <w:br w:type="page"/>
      </w:r>
    </w:p>
    <w:p w14:paraId="59874847">
      <w:pPr>
        <w:keepNext/>
        <w:numPr>
          <w:ilvl w:val="0"/>
          <w:numId w:val="4"/>
        </w:numPr>
        <w:adjustRightInd w:val="0"/>
        <w:snapToGrid w:val="0"/>
        <w:spacing w:before="120" w:beforeLines="50"/>
        <w:ind w:firstLine="0" w:firstLineChars="0"/>
        <w:jc w:val="center"/>
        <w:outlineLvl w:val="0"/>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采购需求</w:t>
      </w:r>
      <w:bookmarkEnd w:id="148"/>
      <w:bookmarkEnd w:id="149"/>
      <w:bookmarkEnd w:id="150"/>
      <w:bookmarkEnd w:id="151"/>
      <w:bookmarkStart w:id="152" w:name="_Toc10373"/>
      <w:bookmarkStart w:id="153" w:name="_Toc1852"/>
      <w:bookmarkStart w:id="154" w:name="_Toc6059"/>
      <w:bookmarkStart w:id="155" w:name="_Toc8988"/>
      <w:bookmarkStart w:id="156" w:name="_Toc16550_WPSOffice_Level1"/>
      <w:bookmarkStart w:id="157" w:name="_Toc28111"/>
    </w:p>
    <w:p w14:paraId="106F5E9F">
      <w:pPr>
        <w:ind w:firstLine="48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rPr>
        <w:t>一、项目名称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湖南省湘阴县石英砂、卵石矿调查评价工作服务项目</w:t>
      </w:r>
    </w:p>
    <w:p w14:paraId="32728571">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二、服务内容</w:t>
      </w:r>
    </w:p>
    <w:p w14:paraId="2C5F6AC2">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系统查明湘阴县古河道区域内石英砂、卵矿资源潜力，为湘阴县矿产资源合理规划与开发利用提供依据，将资源优势转化为经济优势，服务县域经济发展，需采购具备专业资质的团队在湘阴县静河镇、樟树镇、洋沙湖镇、六塘乡镇、石塘镇、三塘镇6个乡镇开展现场踏勘工作。</w:t>
      </w:r>
    </w:p>
    <w:p w14:paraId="4CE497BB">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三、工作任务与目标</w:t>
      </w:r>
    </w:p>
    <w:p w14:paraId="6BE4B9E4">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总体目标：初步查明湘阴县古河道石英砂、卵石矿的分布规律，评价其资源潜力，提交阶段性调查评价成果。</w:t>
      </w:r>
    </w:p>
    <w:p w14:paraId="5233DAF0">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任务：初步圈定古河道石英砂、卵石矿的有利赋存区及大致分布范围。了解主要矿体的赋存形态、规模及厚度变化趋势。采集代表性样品，基本查明矿石物质组成、粒度特征及品质概况。采用适宜方法，预估算调查区内石英砂、卵石矿的推断资源量。编制调查评价报告及相关图件，建立初步资料数据库。</w:t>
      </w:r>
    </w:p>
    <w:p w14:paraId="1D522B8D">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四、工作内容与技术方法</w:t>
      </w:r>
    </w:p>
    <w:p w14:paraId="259FB8A1">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遵循“由面到点、点面结合”的原则，采用综合手段开展工作：</w:t>
      </w:r>
    </w:p>
    <w:p w14:paraId="029F5612">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1:5万地质调查： 在全县古河道可能涉及区域（以静河镇共荣矿区为已知点向周边乡镇辐射）主要包括静河镇、樟树镇、洋沙湖镇、六塘乡、石塘镇、三塘镇。预计经现场初步筛选后选其中5处石英砂卵石出露最好的乡镇系统性开展1:5万地质调查，面积共80-140平方公里，具体以实际情况为准，计划调查40天左右。收集分析已有地质、矿产、物探、遥感等资料，进行野外路线调查，初步判断矿产资源远景区，划定重点工作区。</w:t>
      </w:r>
    </w:p>
    <w:p w14:paraId="47BB5F50">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1:2千专项地质调查： 经1：5万地质调查后，在圈定的重点区域内，开展大比例尺专项地质填图与地形测量，详细追踪古河道边界、沉积层序，初步固定矿化带或矿体的地表出露或浅埋藏范围。预估工作量2.5平方公里，预计20天。</w:t>
      </w:r>
    </w:p>
    <w:p w14:paraId="29D90E46">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工程揭露与验证：此项工程预计耗时30天，部分可与1：2千调查同步进行。</w:t>
      </w:r>
    </w:p>
    <w:p w14:paraId="57AA9CCC">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槽探：针对地表覆盖较薄、矿化迹象明显的区域，部署少量槽探工程，揭露浅部矿体，观察地质现象，采集地质与矿石样品。</w:t>
      </w:r>
    </w:p>
    <w:p w14:paraId="2AC723D7">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钻探：在成矿有利、覆盖较厚或需控制深部的关键地段，部署实施少量钻孔，验证地质推断，获取深部岩心资料，查明矿体埋深、厚度、延伸及品位变化情况。</w:t>
      </w:r>
    </w:p>
    <w:p w14:paraId="5BFD4F20">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采样与测试分析：系统采集岩石、矿石、砂样等，进行岩矿鉴定、颗粒分析、化学分析等测试，评价矿石质量与可利用性。</w:t>
      </w:r>
    </w:p>
    <w:p w14:paraId="44F037D7">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综合研究与资源量估算： 综合各类调查与工程数据，分析矿床地质特征，建立初步地质模型。选择适当方法（如地质块段法、剖面法等），预估算石英砂、卵石矿的推断资源量。</w:t>
      </w:r>
    </w:p>
    <w:p w14:paraId="2571957D">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五、工作部署与时间安排</w:t>
      </w:r>
    </w:p>
    <w:p w14:paraId="07001A14">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计划分阶段实施：</w:t>
      </w:r>
    </w:p>
    <w:p w14:paraId="0E6A5E26">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第一阶段（准备与资料收集）：完成设计编制、队伍组织、资料搜集与分析。</w:t>
      </w:r>
    </w:p>
    <w:p w14:paraId="751F769D">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第二阶段（野外调查与工程实施）：开展1:5万及1:2千地质调查，同步实施槽探、钻探工程及采样工作。</w:t>
      </w:r>
    </w:p>
    <w:p w14:paraId="2F3B0393">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第三阶段（室内综合与报告编制）：进行样品测试、数据分析、图件编制、资源量估算及报告编写。</w:t>
      </w:r>
    </w:p>
    <w:p w14:paraId="41F583F6">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第四阶段（成果评审与提交）：组织成果验收，修改完善后提交最终调查评价报告及相关资料。</w:t>
      </w:r>
    </w:p>
    <w:p w14:paraId="566DC189">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总工期预计为4 个月。</w:t>
      </w:r>
    </w:p>
    <w:p w14:paraId="1913359D">
      <w:pPr>
        <w:ind w:firstLine="48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六、预计各镇工作量</w:t>
      </w:r>
    </w:p>
    <w:p w14:paraId="33BC1374">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1、静河镇：区域总面积60.90平方公里，根据前期资料及现场踏勘，预计1：5万地质调查面积约30平方公里，1：2千专项地质调查面积约0.5平方公里，调查时间约7天。机械岩心钻探约50米，槽探25米。</w:t>
      </w:r>
    </w:p>
    <w:p w14:paraId="6C5D60E4">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2、樟树镇：区域总面积64平方公里，根据前期资料及现场踏勘，预计1：5万地质调查面积约33平方公里，1：2千专项地质调查面积约0.8平方公里，调查时间约7天。机械岩心钻探约40米，槽探25米。</w:t>
      </w:r>
    </w:p>
    <w:p w14:paraId="2E715A6E">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3、洋沙湖镇：区域总面积78平方公里，根据前期资料及现场踏勘，预计1：5万地质调查面积约30平方公里，1：2千专项地质调查面积约0.5平方公里，调查时间约10天。机械岩心钻探约60米，槽探20米。</w:t>
      </w:r>
    </w:p>
    <w:p w14:paraId="63B5D3CF">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4、六塘乡镇：区域总面积35.4平方公里，根据前期资料及现场踏勘，预计1：5万地质调查面积约15平方公里，1：2千专项地质调查面积约0.3平方公里，调查时间约5天。机械岩心钻探约30米，槽探15米。</w:t>
      </w:r>
    </w:p>
    <w:p w14:paraId="4C116008">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5、石塘镇：区域总面积36.8平方公里，根据前期资料及现场踏勘，预计1：5万地质调查面积约18平方公里，1：2千专项地质调查面积约0.2平方公里，调查时间约5天。机械岩心钻探约30米，槽探15米。</w:t>
      </w:r>
    </w:p>
    <w:p w14:paraId="40538F6D">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6、三塘镇：区域总面积40.91平方公里，根据前期资料及现场踏勘，预计1：5万地质调查面积约14平方公里，1：2千专项地质调查面积约0.2平方公里，调查时间约6天。机械岩心钻探约40米，槽探20米。</w:t>
      </w:r>
    </w:p>
    <w:p w14:paraId="104F5E83">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6个镇1：5万地质调查面积约140平方公里，1：2千专项地质调查面积约2.5平方公里，其余地质工作及实验测试按照规范实施，具体工作量清单及各镇工作量总和见附表（湘阴县石英砂、卵石矿调查预算明细表）</w:t>
      </w:r>
    </w:p>
    <w:p w14:paraId="4A5770BE">
      <w:pPr>
        <w:ind w:firstLine="48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七、成果要求</w:t>
      </w:r>
    </w:p>
    <w:p w14:paraId="7AB317FF">
      <w:pPr>
        <w:ind w:firstLine="48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可供进一步详查的区块2-3处。提交《湘阴县古河道石英砂、卵石矿调查评价报告》文本及附图、附件。调查区实际材料图、地质图、矿产分布图、资源量估算图等系列图件。为下一步详查或勘探工作部署提出建议，为县政府招商引资提供明确的资源分布、规模及潜力依据。</w:t>
      </w:r>
    </w:p>
    <w:p w14:paraId="62058168">
      <w:pPr>
        <w:ind w:firstLine="480"/>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八、验收</w:t>
      </w:r>
    </w:p>
    <w:p w14:paraId="7B9C0455">
      <w:pPr>
        <w:ind w:firstLine="48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1、最终报告提交前，甲方组织专业技术人员进行钻孔抽查，核查报告数据和抽查结果是否一致，初步验收完成后提交</w:t>
      </w:r>
      <w:r>
        <w:rPr>
          <w:rFonts w:hint="eastAsia" w:asciiTheme="minorEastAsia" w:hAnsiTheme="minorEastAsia" w:eastAsiaTheme="minorEastAsia" w:cstheme="minorEastAsia"/>
          <w:sz w:val="21"/>
          <w:szCs w:val="21"/>
        </w:rPr>
        <w:t>《湘阴县古河道石英砂、卵石矿调查评价报告》</w:t>
      </w:r>
      <w:r>
        <w:rPr>
          <w:rFonts w:hint="eastAsia" w:asciiTheme="minorEastAsia" w:hAnsiTheme="minorEastAsia" w:eastAsiaTheme="minorEastAsia" w:cstheme="minorEastAsia"/>
          <w:sz w:val="21"/>
          <w:szCs w:val="21"/>
          <w:lang w:val="en-US" w:eastAsia="zh-CN"/>
        </w:rPr>
        <w:t>。</w:t>
      </w:r>
    </w:p>
    <w:p w14:paraId="2DA8D51F">
      <w:pPr>
        <w:ind w:firstLine="48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2、提交最终所有成果资料，甲方经验收后确认完整无错误、合格后出具验收合格确认单。</w:t>
      </w:r>
    </w:p>
    <w:p w14:paraId="5B425251">
      <w:pPr>
        <w:ind w:firstLine="480"/>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九</w:t>
      </w:r>
      <w:r>
        <w:rPr>
          <w:rFonts w:hint="eastAsia" w:asciiTheme="minorEastAsia" w:hAnsiTheme="minorEastAsia" w:eastAsiaTheme="minorEastAsia" w:cstheme="minorEastAsia"/>
          <w:b/>
          <w:bCs/>
          <w:sz w:val="21"/>
          <w:szCs w:val="21"/>
        </w:rPr>
        <w:t>、付款方式</w:t>
      </w:r>
    </w:p>
    <w:p w14:paraId="416CB75A">
      <w:pPr>
        <w:ind w:firstLine="48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1、付款方式：合同签订后支付合同金额10%的预付款，项目完成验收合格后，由采购人一次性支付剩余金额。</w:t>
      </w:r>
    </w:p>
    <w:p w14:paraId="647F2E90">
      <w:pPr>
        <w:ind w:firstLine="48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2、成交供应商出具正规发票给采购人，按采购人的要求办理合同价款结算手续。</w:t>
      </w:r>
    </w:p>
    <w:p w14:paraId="536D2550">
      <w:pPr>
        <w:spacing w:line="500" w:lineRule="exact"/>
        <w:ind w:firstLine="480"/>
        <w:jc w:val="left"/>
        <w:rPr>
          <w:rFonts w:ascii="仿宋" w:hAnsi="仿宋" w:eastAsia="仿宋" w:cs="仿宋"/>
          <w:b/>
          <w:bCs/>
          <w:sz w:val="24"/>
        </w:rPr>
      </w:pPr>
      <w:r>
        <w:rPr>
          <w:rFonts w:hint="eastAsia" w:ascii="仿宋" w:hAnsi="仿宋" w:eastAsia="仿宋" w:cs="仿宋"/>
          <w:b/>
          <w:bCs/>
          <w:sz w:val="24"/>
        </w:rPr>
        <w:t>对于上述项目要求，供应商应在响应文件中进行回应，作出承诺及说明。</w:t>
      </w:r>
    </w:p>
    <w:p w14:paraId="69066305">
      <w:pPr>
        <w:spacing w:line="240" w:lineRule="auto"/>
        <w:ind w:firstLine="480"/>
        <w:rPr>
          <w:rFonts w:ascii="方正小标宋简体" w:hAnsi="方正小标宋简体" w:eastAsia="方正小标宋简体" w:cs="方正小标宋简体"/>
          <w:b/>
          <w:bCs/>
          <w:kern w:val="0"/>
          <w:sz w:val="24"/>
        </w:rPr>
      </w:pPr>
      <w:r>
        <w:rPr>
          <w:rFonts w:hint="eastAsia" w:ascii="仿宋" w:hAnsi="仿宋" w:eastAsia="仿宋" w:cs="仿宋"/>
          <w:b/>
          <w:bCs/>
          <w:sz w:val="24"/>
        </w:rPr>
        <w:t>未尽事宜在合同中约定。</w:t>
      </w:r>
    </w:p>
    <w:p w14:paraId="7B576EC1">
      <w:pPr>
        <w:pStyle w:val="32"/>
        <w:ind w:firstLine="360"/>
      </w:pPr>
    </w:p>
    <w:p w14:paraId="69F7868A">
      <w:pPr>
        <w:pStyle w:val="32"/>
        <w:ind w:firstLine="360"/>
        <w:sectPr>
          <w:headerReference r:id="rId11" w:type="default"/>
          <w:footerReference r:id="rId12" w:type="default"/>
          <w:pgSz w:w="11906" w:h="16838"/>
          <w:pgMar w:top="1440" w:right="1800" w:bottom="1440" w:left="1800" w:header="851" w:footer="992" w:gutter="0"/>
          <w:cols w:space="720" w:num="1"/>
          <w:docGrid w:linePitch="312" w:charSpace="0"/>
        </w:sectPr>
      </w:pPr>
    </w:p>
    <w:p w14:paraId="49399D94">
      <w:pPr>
        <w:keepNext/>
        <w:adjustRightInd w:val="0"/>
        <w:snapToGrid w:val="0"/>
        <w:spacing w:before="120" w:beforeLines="50"/>
        <w:ind w:firstLine="0" w:firstLineChars="0"/>
        <w:jc w:val="center"/>
        <w:outlineLvl w:val="0"/>
        <w:rPr>
          <w:rFonts w:ascii="黑体" w:hAnsi="黑体" w:eastAsia="黑体" w:cs="黑体"/>
          <w:b/>
          <w:bCs/>
          <w:sz w:val="32"/>
          <w:szCs w:val="32"/>
        </w:rPr>
      </w:pPr>
      <w:r>
        <w:rPr>
          <w:rFonts w:hint="eastAsia" w:ascii="黑体" w:hAnsi="黑体" w:eastAsia="黑体" w:cs="黑体"/>
          <w:b/>
          <w:bCs/>
          <w:sz w:val="32"/>
          <w:szCs w:val="32"/>
        </w:rPr>
        <w:t>第五章 响应文件组成</w:t>
      </w:r>
      <w:bookmarkEnd w:id="152"/>
      <w:bookmarkEnd w:id="153"/>
      <w:bookmarkEnd w:id="154"/>
      <w:bookmarkEnd w:id="155"/>
      <w:bookmarkEnd w:id="156"/>
      <w:bookmarkEnd w:id="157"/>
    </w:p>
    <w:p w14:paraId="021609DB">
      <w:pPr>
        <w:rPr>
          <w:rFonts w:ascii="Times New Roman" w:hAnsi="Times New Roman" w:cs="Times New Roman"/>
        </w:rPr>
      </w:pPr>
    </w:p>
    <w:p w14:paraId="1759A21A">
      <w:pPr>
        <w:ind w:firstLine="560"/>
        <w:jc w:val="center"/>
        <w:rPr>
          <w:rFonts w:ascii="Times New Roman" w:hAnsi="Times New Roman" w:eastAsia="黑体" w:cs="Times New Roman"/>
          <w:sz w:val="28"/>
          <w:szCs w:val="28"/>
        </w:rPr>
      </w:pPr>
      <w:bookmarkStart w:id="158" w:name="_Toc21932"/>
      <w:r>
        <w:rPr>
          <w:rFonts w:ascii="Times New Roman" w:hAnsi="Times New Roman" w:eastAsia="黑体" w:cs="Times New Roman"/>
          <w:sz w:val="28"/>
          <w:szCs w:val="28"/>
        </w:rPr>
        <w:t>目  录</w:t>
      </w:r>
      <w:bookmarkEnd w:id="158"/>
    </w:p>
    <w:p w14:paraId="1302CA14">
      <w:pPr>
        <w:rPr>
          <w:rFonts w:ascii="Times New Roman" w:hAnsi="Times New Roman" w:cs="Times New Roman"/>
        </w:rPr>
      </w:pPr>
    </w:p>
    <w:p w14:paraId="5CDC0567">
      <w:pPr>
        <w:rPr>
          <w:rFonts w:ascii="Times New Roman" w:hAnsi="Times New Roman" w:cs="Times New Roman"/>
        </w:rPr>
      </w:pPr>
      <w:r>
        <w:rPr>
          <w:rFonts w:ascii="Times New Roman" w:hAnsi="Times New Roman" w:cs="Times New Roman"/>
        </w:rPr>
        <w:t>供应商的响应文件应包含以下部分：</w:t>
      </w:r>
    </w:p>
    <w:p w14:paraId="4E36E7E9">
      <w:pPr>
        <w:adjustRightInd w:val="0"/>
        <w:snapToGrid w:val="0"/>
        <w:ind w:firstLine="422"/>
        <w:jc w:val="left"/>
        <w:rPr>
          <w:rFonts w:ascii="Times New Roman" w:hAnsi="Times New Roman" w:cs="Times New Roman"/>
          <w:b/>
          <w:szCs w:val="21"/>
        </w:rPr>
      </w:pPr>
      <w:bookmarkStart w:id="159" w:name="_Toc16289"/>
      <w:bookmarkStart w:id="160" w:name="_Toc15866"/>
      <w:bookmarkStart w:id="161" w:name="_Toc4014"/>
      <w:r>
        <w:rPr>
          <w:rFonts w:ascii="Times New Roman" w:hAnsi="Times New Roman" w:cs="Times New Roman"/>
          <w:b/>
          <w:szCs w:val="21"/>
        </w:rPr>
        <w:t>一、磋商响应声明</w:t>
      </w:r>
      <w:bookmarkEnd w:id="159"/>
      <w:bookmarkEnd w:id="160"/>
      <w:bookmarkEnd w:id="161"/>
    </w:p>
    <w:p w14:paraId="0AA35E21">
      <w:pPr>
        <w:pStyle w:val="22"/>
        <w:adjustRightInd w:val="0"/>
        <w:snapToGrid w:val="0"/>
        <w:rPr>
          <w:rFonts w:hAnsi="宋体" w:cs="宋体"/>
        </w:rPr>
      </w:pPr>
      <w:bookmarkStart w:id="162" w:name="_Toc10219"/>
      <w:bookmarkStart w:id="163" w:name="_Toc21438"/>
      <w:r>
        <w:rPr>
          <w:rFonts w:hint="eastAsia" w:hAnsi="宋体" w:cs="宋体"/>
        </w:rPr>
        <w:t>附件1-1 法定代表人身份证明</w:t>
      </w:r>
      <w:bookmarkEnd w:id="162"/>
      <w:bookmarkEnd w:id="163"/>
    </w:p>
    <w:p w14:paraId="1FA8002F">
      <w:pPr>
        <w:pStyle w:val="22"/>
        <w:adjustRightInd w:val="0"/>
        <w:snapToGrid w:val="0"/>
        <w:rPr>
          <w:rFonts w:hAnsi="宋体" w:cs="宋体"/>
        </w:rPr>
      </w:pPr>
      <w:r>
        <w:rPr>
          <w:rFonts w:hint="eastAsia" w:hAnsi="宋体" w:cs="宋体"/>
        </w:rPr>
        <w:t>附件1-2法定代表人授权委托书</w:t>
      </w:r>
    </w:p>
    <w:p w14:paraId="757AA5D1">
      <w:pPr>
        <w:pStyle w:val="233"/>
        <w:adjustRightInd w:val="0"/>
        <w:snapToGrid w:val="0"/>
        <w:ind w:firstLine="422"/>
        <w:jc w:val="left"/>
        <w:rPr>
          <w:rFonts w:ascii="宋体" w:hAnsi="宋体"/>
          <w:b/>
          <w:szCs w:val="21"/>
        </w:rPr>
      </w:pPr>
      <w:bookmarkStart w:id="164" w:name="_Toc9528"/>
      <w:bookmarkStart w:id="165" w:name="_Toc1490"/>
      <w:bookmarkStart w:id="166" w:name="_Toc10118"/>
      <w:r>
        <w:rPr>
          <w:rFonts w:hint="eastAsia" w:ascii="宋体" w:hAnsi="宋体"/>
          <w:b/>
          <w:szCs w:val="21"/>
        </w:rPr>
        <w:t>二、磋商保证金缴纳证明材料</w:t>
      </w:r>
      <w:bookmarkEnd w:id="164"/>
      <w:bookmarkEnd w:id="165"/>
      <w:bookmarkEnd w:id="166"/>
    </w:p>
    <w:p w14:paraId="6AD9CA80">
      <w:pPr>
        <w:adjustRightInd w:val="0"/>
        <w:snapToGrid w:val="0"/>
        <w:ind w:firstLine="422"/>
        <w:jc w:val="left"/>
        <w:rPr>
          <w:b/>
          <w:szCs w:val="21"/>
        </w:rPr>
      </w:pPr>
      <w:bookmarkStart w:id="167" w:name="_Toc1597"/>
      <w:bookmarkStart w:id="168" w:name="_Toc21014"/>
      <w:bookmarkStart w:id="169" w:name="_Toc30954"/>
      <w:r>
        <w:rPr>
          <w:rFonts w:hint="eastAsia"/>
          <w:b/>
          <w:szCs w:val="21"/>
        </w:rPr>
        <w:t>三、供应商的资格证明资料</w:t>
      </w:r>
      <w:bookmarkEnd w:id="167"/>
      <w:bookmarkEnd w:id="168"/>
      <w:bookmarkEnd w:id="169"/>
    </w:p>
    <w:p w14:paraId="7F120AEE">
      <w:pPr>
        <w:pStyle w:val="22"/>
        <w:adjustRightInd w:val="0"/>
        <w:snapToGrid w:val="0"/>
        <w:rPr>
          <w:rFonts w:hAnsi="宋体" w:cs="宋体"/>
        </w:rPr>
      </w:pPr>
      <w:r>
        <w:rPr>
          <w:rFonts w:hint="eastAsia" w:hAnsi="宋体" w:cs="宋体"/>
        </w:rPr>
        <w:t>附件2-1供应商基本情况表</w:t>
      </w:r>
    </w:p>
    <w:p w14:paraId="1CAD33A6">
      <w:pPr>
        <w:pStyle w:val="22"/>
        <w:adjustRightInd w:val="0"/>
        <w:snapToGrid w:val="0"/>
        <w:rPr>
          <w:rFonts w:hAnsi="宋体" w:cs="宋体"/>
        </w:rPr>
      </w:pPr>
      <w:bookmarkStart w:id="170" w:name="_Toc25635"/>
      <w:bookmarkStart w:id="171" w:name="_Toc23367"/>
      <w:r>
        <w:rPr>
          <w:rFonts w:hint="eastAsia" w:hAnsi="宋体" w:cs="宋体"/>
        </w:rPr>
        <w:t>附件2-2磋商文件规定的基本资格条件证明资料</w:t>
      </w:r>
      <w:bookmarkEnd w:id="170"/>
      <w:bookmarkEnd w:id="171"/>
    </w:p>
    <w:p w14:paraId="52E9C3D0">
      <w:pPr>
        <w:pStyle w:val="22"/>
        <w:adjustRightInd w:val="0"/>
        <w:snapToGrid w:val="0"/>
        <w:rPr>
          <w:rFonts w:hAnsi="宋体" w:cs="宋体"/>
          <w:sz w:val="20"/>
          <w:szCs w:val="20"/>
        </w:rPr>
      </w:pPr>
      <w:r>
        <w:rPr>
          <w:rFonts w:hint="eastAsia" w:hAnsi="宋体" w:cs="宋体"/>
        </w:rPr>
        <w:t>附件2-3湖南省政府采购供应商资格承诺函</w:t>
      </w:r>
    </w:p>
    <w:p w14:paraId="463D331B">
      <w:pPr>
        <w:pStyle w:val="22"/>
        <w:adjustRightInd w:val="0"/>
        <w:snapToGrid w:val="0"/>
        <w:rPr>
          <w:rFonts w:hAnsi="宋体" w:cs="宋体"/>
        </w:rPr>
      </w:pPr>
      <w:r>
        <w:rPr>
          <w:rFonts w:hint="eastAsia" w:hAnsi="宋体" w:cs="宋体"/>
        </w:rPr>
        <w:t>附件2-4磋商文件规定的特定资格条件证明资料</w:t>
      </w:r>
    </w:p>
    <w:p w14:paraId="356D66B1">
      <w:pPr>
        <w:pStyle w:val="22"/>
        <w:adjustRightInd w:val="0"/>
        <w:snapToGrid w:val="0"/>
        <w:rPr>
          <w:rFonts w:hAnsi="宋体" w:cs="宋体"/>
        </w:rPr>
      </w:pPr>
      <w:r>
        <w:rPr>
          <w:rFonts w:hint="eastAsia" w:hAnsi="宋体" w:cs="宋体"/>
        </w:rPr>
        <w:t>附件2-5其他说明</w:t>
      </w:r>
    </w:p>
    <w:p w14:paraId="12D39F47">
      <w:pPr>
        <w:pStyle w:val="22"/>
        <w:adjustRightInd w:val="0"/>
        <w:snapToGrid w:val="0"/>
        <w:ind w:firstLine="422"/>
        <w:rPr>
          <w:rFonts w:hAnsi="宋体" w:cs="宋体"/>
          <w:b/>
        </w:rPr>
      </w:pPr>
      <w:bookmarkStart w:id="172" w:name="_Toc29560"/>
      <w:bookmarkStart w:id="173" w:name="_Toc28942"/>
      <w:bookmarkStart w:id="174" w:name="_Toc11062"/>
      <w:r>
        <w:rPr>
          <w:rFonts w:hint="eastAsia" w:hAnsi="宋体" w:cs="宋体"/>
          <w:b/>
        </w:rPr>
        <w:t>四、</w:t>
      </w:r>
      <w:bookmarkEnd w:id="172"/>
      <w:bookmarkEnd w:id="173"/>
      <w:bookmarkEnd w:id="174"/>
      <w:r>
        <w:rPr>
          <w:rFonts w:hint="eastAsia" w:hAnsi="宋体" w:cs="宋体"/>
          <w:b/>
        </w:rPr>
        <w:t>服务方案</w:t>
      </w:r>
    </w:p>
    <w:p w14:paraId="3FB072B1">
      <w:pPr>
        <w:pStyle w:val="22"/>
        <w:adjustRightInd w:val="0"/>
        <w:snapToGrid w:val="0"/>
        <w:rPr>
          <w:rFonts w:hAnsi="宋体" w:cs="宋体"/>
        </w:rPr>
      </w:pPr>
      <w:r>
        <w:rPr>
          <w:rFonts w:hint="eastAsia" w:hAnsi="宋体" w:cs="宋体"/>
        </w:rPr>
        <w:t>附件3-1拟投入本项目人员汇总表</w:t>
      </w:r>
    </w:p>
    <w:p w14:paraId="33D81E25">
      <w:pPr>
        <w:pStyle w:val="22"/>
        <w:adjustRightInd w:val="0"/>
        <w:snapToGrid w:val="0"/>
        <w:rPr>
          <w:rFonts w:hAnsi="宋体" w:cs="宋体"/>
        </w:rPr>
      </w:pPr>
      <w:r>
        <w:rPr>
          <w:rFonts w:hint="eastAsia" w:hAnsi="宋体" w:cs="宋体"/>
        </w:rPr>
        <w:t>附件3-2主要人员简历表</w:t>
      </w:r>
    </w:p>
    <w:p w14:paraId="378FD083">
      <w:pPr>
        <w:adjustRightInd w:val="0"/>
        <w:snapToGrid w:val="0"/>
        <w:ind w:firstLine="422"/>
        <w:jc w:val="left"/>
        <w:rPr>
          <w:b/>
          <w:szCs w:val="21"/>
        </w:rPr>
      </w:pPr>
      <w:bookmarkStart w:id="175" w:name="_Toc6258"/>
      <w:bookmarkStart w:id="176" w:name="_Toc1707"/>
      <w:bookmarkStart w:id="177" w:name="_Toc6498"/>
      <w:r>
        <w:rPr>
          <w:rFonts w:hint="eastAsia"/>
          <w:b/>
          <w:szCs w:val="21"/>
        </w:rPr>
        <w:t>五、技术/商务响应与偏离表</w:t>
      </w:r>
      <w:bookmarkEnd w:id="175"/>
      <w:bookmarkEnd w:id="176"/>
      <w:bookmarkEnd w:id="177"/>
    </w:p>
    <w:p w14:paraId="5373A07B">
      <w:pPr>
        <w:adjustRightInd w:val="0"/>
        <w:snapToGrid w:val="0"/>
        <w:ind w:firstLine="422"/>
        <w:jc w:val="left"/>
        <w:rPr>
          <w:b/>
          <w:szCs w:val="21"/>
        </w:rPr>
      </w:pPr>
      <w:bookmarkStart w:id="178" w:name="_Toc6929"/>
      <w:bookmarkStart w:id="179" w:name="_Toc11500"/>
      <w:bookmarkStart w:id="180" w:name="_Toc11552"/>
      <w:r>
        <w:rPr>
          <w:rFonts w:hint="eastAsia"/>
          <w:b/>
          <w:szCs w:val="21"/>
        </w:rPr>
        <w:t>六、</w:t>
      </w:r>
      <w:bookmarkEnd w:id="178"/>
      <w:bookmarkEnd w:id="179"/>
      <w:bookmarkEnd w:id="180"/>
      <w:r>
        <w:rPr>
          <w:rFonts w:hint="eastAsia"/>
          <w:b/>
          <w:szCs w:val="21"/>
        </w:rPr>
        <w:t>享受政府采购政策优惠的证明资料</w:t>
      </w:r>
    </w:p>
    <w:p w14:paraId="183D1954">
      <w:pPr>
        <w:pStyle w:val="22"/>
        <w:adjustRightInd w:val="0"/>
        <w:snapToGrid w:val="0"/>
        <w:rPr>
          <w:rFonts w:hAnsi="宋体" w:cs="宋体"/>
        </w:rPr>
      </w:pPr>
      <w:r>
        <w:rPr>
          <w:rFonts w:hint="eastAsia" w:hAnsi="宋体" w:cs="宋体"/>
        </w:rPr>
        <w:t>附件4-1中小企业声明函</w:t>
      </w:r>
    </w:p>
    <w:p w14:paraId="1C55C6D5">
      <w:pPr>
        <w:pStyle w:val="22"/>
        <w:adjustRightInd w:val="0"/>
        <w:snapToGrid w:val="0"/>
        <w:rPr>
          <w:rFonts w:hAnsi="宋体" w:cs="宋体"/>
        </w:rPr>
      </w:pPr>
      <w:bookmarkStart w:id="181" w:name="_Toc20460"/>
      <w:bookmarkStart w:id="182" w:name="_Toc28748"/>
      <w:r>
        <w:rPr>
          <w:rFonts w:hint="eastAsia" w:hAnsi="宋体" w:cs="宋体"/>
        </w:rPr>
        <w:t>附件4-2残疾人福利性单位声明函</w:t>
      </w:r>
      <w:bookmarkEnd w:id="181"/>
      <w:bookmarkEnd w:id="182"/>
    </w:p>
    <w:p w14:paraId="1A71A383">
      <w:pPr>
        <w:pStyle w:val="22"/>
        <w:adjustRightInd w:val="0"/>
        <w:snapToGrid w:val="0"/>
        <w:rPr>
          <w:rFonts w:hAnsi="宋体" w:cs="宋体"/>
        </w:rPr>
      </w:pPr>
      <w:bookmarkStart w:id="183" w:name="_Toc34637807"/>
      <w:r>
        <w:rPr>
          <w:rFonts w:hint="eastAsia" w:hAnsi="宋体" w:cs="宋体"/>
        </w:rPr>
        <w:t>附件4-3监狱企业证明资料</w:t>
      </w:r>
      <w:bookmarkEnd w:id="183"/>
    </w:p>
    <w:p w14:paraId="51A40C68">
      <w:pPr>
        <w:adjustRightInd w:val="0"/>
        <w:snapToGrid w:val="0"/>
        <w:ind w:firstLine="422"/>
        <w:jc w:val="left"/>
        <w:rPr>
          <w:b/>
          <w:szCs w:val="21"/>
        </w:rPr>
      </w:pPr>
      <w:bookmarkStart w:id="184" w:name="_Toc13925"/>
      <w:bookmarkStart w:id="185" w:name="_Toc17074"/>
      <w:bookmarkStart w:id="186" w:name="_Toc26663"/>
      <w:r>
        <w:rPr>
          <w:rFonts w:hint="eastAsia"/>
          <w:b/>
          <w:szCs w:val="21"/>
        </w:rPr>
        <w:t>七、报价一览表及分项价格表</w:t>
      </w:r>
      <w:bookmarkEnd w:id="184"/>
      <w:bookmarkEnd w:id="185"/>
      <w:bookmarkEnd w:id="186"/>
    </w:p>
    <w:p w14:paraId="48EF8A17">
      <w:pPr>
        <w:pStyle w:val="22"/>
        <w:adjustRightInd w:val="0"/>
        <w:snapToGrid w:val="0"/>
        <w:rPr>
          <w:rFonts w:hAnsi="宋体" w:cs="宋体"/>
        </w:rPr>
      </w:pPr>
      <w:r>
        <w:rPr>
          <w:rFonts w:hint="eastAsia" w:hAnsi="宋体" w:cs="宋体"/>
        </w:rPr>
        <w:t>附件5-1报价一览表</w:t>
      </w:r>
    </w:p>
    <w:p w14:paraId="53808447">
      <w:pPr>
        <w:pStyle w:val="22"/>
        <w:adjustRightInd w:val="0"/>
        <w:snapToGrid w:val="0"/>
        <w:rPr>
          <w:rFonts w:hAnsi="宋体" w:cs="宋体"/>
        </w:rPr>
      </w:pPr>
      <w:r>
        <w:rPr>
          <w:rFonts w:hint="eastAsia" w:hAnsi="宋体" w:cs="宋体"/>
        </w:rPr>
        <w:t>附件5-2分项价格表</w:t>
      </w:r>
    </w:p>
    <w:p w14:paraId="42F404CC">
      <w:pPr>
        <w:adjustRightInd w:val="0"/>
        <w:snapToGrid w:val="0"/>
        <w:ind w:firstLine="422"/>
        <w:jc w:val="left"/>
        <w:rPr>
          <w:rFonts w:ascii="Times New Roman" w:hAnsi="Times New Roman" w:cs="Times New Roman"/>
          <w:b/>
          <w:szCs w:val="21"/>
        </w:rPr>
      </w:pPr>
      <w:bookmarkStart w:id="187" w:name="_Toc29761"/>
      <w:bookmarkStart w:id="188" w:name="_Toc31004"/>
      <w:bookmarkStart w:id="189" w:name="_Toc19721"/>
      <w:r>
        <w:rPr>
          <w:rFonts w:ascii="Times New Roman" w:hAnsi="Times New Roman" w:cs="Times New Roman"/>
          <w:b/>
          <w:szCs w:val="21"/>
        </w:rPr>
        <w:t>八、供应商认为需提供的其它资料</w:t>
      </w:r>
      <w:bookmarkEnd w:id="187"/>
      <w:bookmarkEnd w:id="188"/>
      <w:bookmarkEnd w:id="189"/>
    </w:p>
    <w:p w14:paraId="688DD1C9">
      <w:pPr>
        <w:adjustRightInd w:val="0"/>
        <w:snapToGrid w:val="0"/>
        <w:ind w:firstLine="422"/>
        <w:jc w:val="left"/>
        <w:rPr>
          <w:rFonts w:ascii="Times New Roman" w:hAnsi="Times New Roman" w:cs="Times New Roman"/>
          <w:b/>
          <w:szCs w:val="21"/>
        </w:rPr>
      </w:pPr>
      <w:bookmarkStart w:id="190" w:name="_Toc9730"/>
      <w:bookmarkStart w:id="191" w:name="_Toc12788"/>
      <w:bookmarkStart w:id="192" w:name="_Toc893"/>
      <w:r>
        <w:rPr>
          <w:rFonts w:ascii="Times New Roman" w:hAnsi="Times New Roman" w:cs="Times New Roman"/>
          <w:b/>
          <w:szCs w:val="21"/>
        </w:rPr>
        <w:t>九、最后报价</w:t>
      </w:r>
      <w:bookmarkEnd w:id="190"/>
      <w:bookmarkEnd w:id="191"/>
      <w:bookmarkEnd w:id="192"/>
    </w:p>
    <w:p w14:paraId="014E818D">
      <w:pPr>
        <w:pStyle w:val="43"/>
        <w:ind w:firstLine="211"/>
        <w:rPr>
          <w:rFonts w:ascii="Times New Roman" w:hAnsi="Times New Roman" w:cs="Times New Roman"/>
          <w:b/>
          <w:szCs w:val="21"/>
        </w:rPr>
      </w:pPr>
    </w:p>
    <w:p w14:paraId="6C85B2D2">
      <w:pPr>
        <w:pStyle w:val="43"/>
        <w:ind w:firstLine="211"/>
        <w:rPr>
          <w:rFonts w:ascii="Times New Roman" w:hAnsi="Times New Roman" w:cs="Times New Roman"/>
          <w:b/>
          <w:szCs w:val="21"/>
        </w:rPr>
        <w:sectPr>
          <w:pgSz w:w="11906" w:h="16838"/>
          <w:pgMar w:top="1474" w:right="1474" w:bottom="250" w:left="1588" w:header="851" w:footer="992" w:gutter="0"/>
          <w:cols w:space="720" w:num="1"/>
          <w:docGrid w:linePitch="312" w:charSpace="0"/>
        </w:sectPr>
      </w:pPr>
    </w:p>
    <w:p w14:paraId="72C7CB94">
      <w:pPr>
        <w:adjustRightInd w:val="0"/>
        <w:snapToGrid w:val="0"/>
        <w:ind w:firstLine="643"/>
        <w:jc w:val="center"/>
        <w:rPr>
          <w:rFonts w:ascii="Times New Roman" w:hAnsi="Times New Roman" w:eastAsia="黑体" w:cs="Times New Roman"/>
          <w:b/>
          <w:sz w:val="32"/>
          <w:szCs w:val="32"/>
        </w:rPr>
      </w:pPr>
    </w:p>
    <w:p w14:paraId="4ABEFEDB">
      <w:pPr>
        <w:ind w:firstLine="1446"/>
        <w:rPr>
          <w:rFonts w:ascii="Times New Roman" w:hAnsi="Times New Roman" w:cs="Times New Roman"/>
          <w:b/>
          <w:bCs/>
          <w:sz w:val="72"/>
          <w:szCs w:val="72"/>
        </w:rPr>
      </w:pPr>
    </w:p>
    <w:p w14:paraId="460D82E6">
      <w:pPr>
        <w:pStyle w:val="22"/>
        <w:adjustRightInd w:val="0"/>
        <w:snapToGrid w:val="0"/>
        <w:ind w:firstLine="0" w:firstLineChars="0"/>
        <w:jc w:val="center"/>
        <w:rPr>
          <w:rFonts w:ascii="Times New Roman" w:hAnsi="Times New Roman" w:cs="Times New Roman"/>
          <w:b/>
          <w:bCs/>
          <w:sz w:val="72"/>
          <w:szCs w:val="72"/>
        </w:rPr>
      </w:pPr>
      <w:bookmarkStart w:id="193" w:name="_Toc30764"/>
      <w:bookmarkStart w:id="194" w:name="_Toc20796"/>
      <w:bookmarkStart w:id="195" w:name="_Toc12780"/>
      <w:bookmarkStart w:id="196" w:name="_Toc17206"/>
      <w:bookmarkStart w:id="197" w:name="_Toc2073"/>
      <w:r>
        <w:rPr>
          <w:rFonts w:ascii="Times New Roman" w:hAnsi="Times New Roman" w:cs="Times New Roman"/>
          <w:b/>
          <w:bCs/>
          <w:sz w:val="72"/>
          <w:szCs w:val="72"/>
        </w:rPr>
        <w:t>政府采购</w:t>
      </w:r>
      <w:bookmarkEnd w:id="193"/>
      <w:bookmarkEnd w:id="194"/>
      <w:bookmarkEnd w:id="195"/>
      <w:bookmarkEnd w:id="196"/>
      <w:bookmarkEnd w:id="197"/>
    </w:p>
    <w:p w14:paraId="4DDCF3F4">
      <w:pPr>
        <w:adjustRightInd w:val="0"/>
        <w:snapToGrid w:val="0"/>
        <w:ind w:firstLine="0" w:firstLineChars="0"/>
        <w:jc w:val="center"/>
        <w:rPr>
          <w:rFonts w:ascii="Times New Roman" w:hAnsi="Times New Roman" w:cs="Times New Roman"/>
          <w:b/>
          <w:bCs/>
          <w:sz w:val="84"/>
          <w:szCs w:val="84"/>
        </w:rPr>
      </w:pPr>
      <w:bookmarkStart w:id="198" w:name="_Toc14509"/>
      <w:bookmarkStart w:id="199" w:name="_Toc1543"/>
      <w:bookmarkStart w:id="200" w:name="_Toc18586"/>
      <w:bookmarkStart w:id="201" w:name="_Toc19368"/>
      <w:bookmarkStart w:id="202" w:name="_Toc22520"/>
      <w:r>
        <w:rPr>
          <w:rFonts w:ascii="Times New Roman" w:hAnsi="Times New Roman" w:cs="Times New Roman"/>
          <w:b/>
          <w:bCs/>
          <w:sz w:val="84"/>
          <w:szCs w:val="84"/>
        </w:rPr>
        <w:t>响 应 文 件</w:t>
      </w:r>
      <w:bookmarkEnd w:id="198"/>
      <w:bookmarkEnd w:id="199"/>
      <w:bookmarkEnd w:id="200"/>
      <w:bookmarkEnd w:id="201"/>
      <w:bookmarkEnd w:id="202"/>
    </w:p>
    <w:p w14:paraId="22695DE0">
      <w:pPr>
        <w:adjustRightInd w:val="0"/>
        <w:snapToGrid w:val="0"/>
        <w:ind w:firstLine="643"/>
        <w:rPr>
          <w:rFonts w:ascii="Times New Roman" w:hAnsi="Times New Roman" w:eastAsia="黑体" w:cs="Times New Roman"/>
          <w:b/>
          <w:color w:val="000000"/>
          <w:sz w:val="32"/>
          <w:szCs w:val="32"/>
        </w:rPr>
      </w:pPr>
    </w:p>
    <w:p w14:paraId="32D17385">
      <w:pPr>
        <w:adjustRightInd w:val="0"/>
        <w:snapToGrid w:val="0"/>
        <w:ind w:firstLine="602"/>
        <w:rPr>
          <w:rFonts w:ascii="Times New Roman" w:hAnsi="Times New Roman" w:cs="Times New Roman"/>
          <w:b/>
          <w:color w:val="000000"/>
          <w:sz w:val="30"/>
          <w:szCs w:val="30"/>
        </w:rPr>
      </w:pPr>
    </w:p>
    <w:p w14:paraId="229AC7CC">
      <w:pPr>
        <w:pStyle w:val="22"/>
        <w:adjustRightInd w:val="0"/>
        <w:snapToGrid w:val="0"/>
        <w:ind w:left="840" w:leftChars="400" w:firstLine="602"/>
        <w:jc w:val="left"/>
        <w:rPr>
          <w:rFonts w:ascii="Times New Roman" w:hAnsi="Times New Roman" w:cs="Times New Roman"/>
          <w:b/>
          <w:bCs/>
          <w:sz w:val="30"/>
          <w:szCs w:val="30"/>
          <w:u w:val="single"/>
        </w:rPr>
      </w:pPr>
      <w:bookmarkStart w:id="203" w:name="_Toc16001"/>
      <w:bookmarkStart w:id="204" w:name="_Toc5580"/>
      <w:bookmarkStart w:id="205" w:name="_Toc2266"/>
      <w:bookmarkStart w:id="206" w:name="_Toc7278"/>
      <w:bookmarkStart w:id="207" w:name="_Toc19983"/>
      <w:r>
        <w:rPr>
          <w:rFonts w:ascii="Times New Roman" w:hAnsi="Times New Roman" w:cs="Times New Roman"/>
          <w:b/>
          <w:bCs/>
          <w:sz w:val="30"/>
          <w:szCs w:val="30"/>
        </w:rPr>
        <w:t>采购项目名称</w:t>
      </w:r>
      <w:bookmarkEnd w:id="203"/>
      <w:bookmarkEnd w:id="204"/>
      <w:r>
        <w:rPr>
          <w:rFonts w:ascii="Times New Roman" w:hAnsi="Times New Roman" w:cs="Times New Roman"/>
          <w:b/>
          <w:bCs/>
          <w:sz w:val="30"/>
          <w:szCs w:val="30"/>
        </w:rPr>
        <w:t>：</w:t>
      </w:r>
      <w:bookmarkEnd w:id="205"/>
      <w:bookmarkEnd w:id="206"/>
      <w:bookmarkEnd w:id="207"/>
      <w:bookmarkStart w:id="208" w:name="_Toc25482"/>
      <w:bookmarkStart w:id="209" w:name="_Toc5608"/>
      <w:bookmarkStart w:id="210" w:name="_Toc16838"/>
    </w:p>
    <w:p w14:paraId="2785FCBA">
      <w:pPr>
        <w:pStyle w:val="22"/>
        <w:adjustRightInd w:val="0"/>
        <w:snapToGrid w:val="0"/>
        <w:ind w:left="840" w:leftChars="400" w:firstLine="602"/>
        <w:jc w:val="left"/>
        <w:rPr>
          <w:rFonts w:ascii="Times New Roman" w:hAnsi="Times New Roman" w:cs="Times New Roman"/>
          <w:b/>
          <w:bCs/>
          <w:sz w:val="30"/>
          <w:szCs w:val="30"/>
        </w:rPr>
      </w:pPr>
      <w:bookmarkStart w:id="211" w:name="_Toc4832"/>
      <w:bookmarkStart w:id="212" w:name="_Toc29269"/>
      <w:r>
        <w:rPr>
          <w:rFonts w:ascii="Times New Roman" w:hAnsi="Times New Roman" w:cs="Times New Roman"/>
          <w:b/>
          <w:bCs/>
          <w:sz w:val="30"/>
          <w:szCs w:val="30"/>
        </w:rPr>
        <w:t>采   购   人</w:t>
      </w:r>
      <w:bookmarkEnd w:id="208"/>
      <w:bookmarkEnd w:id="209"/>
      <w:r>
        <w:rPr>
          <w:rFonts w:ascii="Times New Roman" w:hAnsi="Times New Roman" w:cs="Times New Roman"/>
          <w:b/>
          <w:bCs/>
          <w:sz w:val="30"/>
          <w:szCs w:val="30"/>
        </w:rPr>
        <w:t>：</w:t>
      </w:r>
      <w:bookmarkEnd w:id="210"/>
      <w:bookmarkEnd w:id="211"/>
      <w:bookmarkEnd w:id="212"/>
    </w:p>
    <w:p w14:paraId="2C51CC03">
      <w:pPr>
        <w:pStyle w:val="22"/>
        <w:adjustRightInd w:val="0"/>
        <w:snapToGrid w:val="0"/>
        <w:ind w:left="840" w:leftChars="400" w:firstLine="602"/>
        <w:jc w:val="left"/>
        <w:rPr>
          <w:rFonts w:ascii="Times New Roman" w:hAnsi="Times New Roman" w:cs="Times New Roman"/>
          <w:b/>
          <w:bCs/>
          <w:sz w:val="30"/>
          <w:szCs w:val="30"/>
          <w:u w:val="single"/>
        </w:rPr>
      </w:pPr>
      <w:bookmarkStart w:id="213" w:name="_Toc16653"/>
      <w:bookmarkStart w:id="214" w:name="_Toc27110"/>
      <w:bookmarkStart w:id="215" w:name="_Toc22666"/>
      <w:bookmarkStart w:id="216" w:name="_Toc27932"/>
      <w:bookmarkStart w:id="217" w:name="_Toc16126"/>
      <w:r>
        <w:rPr>
          <w:rFonts w:ascii="Times New Roman" w:hAnsi="Times New Roman" w:cs="Times New Roman"/>
          <w:b/>
          <w:bCs/>
          <w:sz w:val="30"/>
          <w:szCs w:val="30"/>
        </w:rPr>
        <w:t>政府采购</w:t>
      </w:r>
      <w:r>
        <w:rPr>
          <w:rFonts w:hint="eastAsia" w:ascii="Times New Roman" w:hAnsi="Times New Roman" w:cs="Times New Roman"/>
          <w:b/>
          <w:bCs/>
          <w:sz w:val="30"/>
          <w:szCs w:val="30"/>
        </w:rPr>
        <w:t>计划</w:t>
      </w:r>
      <w:r>
        <w:rPr>
          <w:rFonts w:ascii="Times New Roman" w:hAnsi="Times New Roman" w:cs="Times New Roman"/>
          <w:b/>
          <w:bCs/>
          <w:sz w:val="30"/>
          <w:szCs w:val="30"/>
        </w:rPr>
        <w:t>编号</w:t>
      </w:r>
      <w:bookmarkEnd w:id="213"/>
      <w:bookmarkEnd w:id="214"/>
      <w:r>
        <w:rPr>
          <w:rFonts w:ascii="Times New Roman" w:hAnsi="Times New Roman" w:cs="Times New Roman"/>
          <w:b/>
          <w:bCs/>
          <w:sz w:val="30"/>
          <w:szCs w:val="30"/>
        </w:rPr>
        <w:t>：</w:t>
      </w:r>
      <w:bookmarkEnd w:id="215"/>
      <w:bookmarkEnd w:id="216"/>
      <w:bookmarkEnd w:id="217"/>
    </w:p>
    <w:p w14:paraId="1F3A55E9">
      <w:pPr>
        <w:pStyle w:val="22"/>
        <w:adjustRightInd w:val="0"/>
        <w:snapToGrid w:val="0"/>
        <w:ind w:left="840" w:leftChars="400" w:firstLine="602"/>
        <w:jc w:val="left"/>
        <w:rPr>
          <w:rFonts w:ascii="Times New Roman" w:hAnsi="Times New Roman" w:cs="Times New Roman"/>
          <w:b/>
          <w:bCs/>
          <w:sz w:val="30"/>
          <w:szCs w:val="30"/>
          <w:u w:val="single"/>
        </w:rPr>
      </w:pPr>
      <w:bookmarkStart w:id="218" w:name="_Toc23999"/>
      <w:bookmarkStart w:id="219" w:name="_Toc20947"/>
      <w:bookmarkStart w:id="220" w:name="_Toc20520"/>
      <w:bookmarkStart w:id="221" w:name="_Toc12666"/>
      <w:bookmarkStart w:id="222" w:name="_Toc24788"/>
      <w:r>
        <w:rPr>
          <w:rFonts w:ascii="Times New Roman" w:hAnsi="Times New Roman" w:cs="Times New Roman"/>
          <w:b/>
          <w:bCs/>
          <w:sz w:val="30"/>
          <w:szCs w:val="30"/>
        </w:rPr>
        <w:t>采购代理编号</w:t>
      </w:r>
      <w:bookmarkEnd w:id="218"/>
      <w:bookmarkEnd w:id="219"/>
      <w:r>
        <w:rPr>
          <w:rFonts w:ascii="Times New Roman" w:hAnsi="Times New Roman" w:cs="Times New Roman"/>
          <w:b/>
          <w:bCs/>
          <w:sz w:val="30"/>
          <w:szCs w:val="30"/>
        </w:rPr>
        <w:t>：</w:t>
      </w:r>
      <w:bookmarkEnd w:id="220"/>
      <w:bookmarkEnd w:id="221"/>
      <w:bookmarkEnd w:id="222"/>
    </w:p>
    <w:p w14:paraId="6EAD7927">
      <w:pPr>
        <w:adjustRightInd w:val="0"/>
        <w:snapToGrid w:val="0"/>
        <w:ind w:firstLine="600"/>
        <w:rPr>
          <w:rFonts w:ascii="Times New Roman" w:hAnsi="Times New Roman" w:eastAsia="黑体" w:cs="Times New Roman"/>
          <w:color w:val="000000"/>
          <w:sz w:val="30"/>
          <w:szCs w:val="30"/>
        </w:rPr>
      </w:pPr>
    </w:p>
    <w:p w14:paraId="700BBB91">
      <w:pPr>
        <w:adjustRightInd w:val="0"/>
        <w:snapToGrid w:val="0"/>
        <w:ind w:firstLine="600"/>
        <w:rPr>
          <w:rFonts w:ascii="Times New Roman" w:hAnsi="Times New Roman" w:eastAsia="黑体" w:cs="Times New Roman"/>
          <w:color w:val="000000"/>
          <w:sz w:val="30"/>
          <w:szCs w:val="30"/>
        </w:rPr>
      </w:pPr>
    </w:p>
    <w:p w14:paraId="46F8236E">
      <w:pPr>
        <w:adjustRightInd w:val="0"/>
        <w:snapToGrid w:val="0"/>
        <w:ind w:firstLine="600"/>
        <w:rPr>
          <w:rFonts w:ascii="Times New Roman" w:hAnsi="Times New Roman" w:eastAsia="黑体" w:cs="Times New Roman"/>
          <w:color w:val="000000"/>
          <w:sz w:val="30"/>
          <w:szCs w:val="30"/>
        </w:rPr>
      </w:pPr>
    </w:p>
    <w:p w14:paraId="132F73B3">
      <w:pPr>
        <w:adjustRightInd w:val="0"/>
        <w:snapToGrid w:val="0"/>
        <w:ind w:firstLine="600"/>
        <w:rPr>
          <w:rFonts w:ascii="Times New Roman" w:hAnsi="Times New Roman" w:eastAsia="黑体" w:cs="Times New Roman"/>
          <w:color w:val="000000"/>
          <w:sz w:val="30"/>
          <w:szCs w:val="30"/>
        </w:rPr>
      </w:pPr>
    </w:p>
    <w:p w14:paraId="1F423C87">
      <w:pPr>
        <w:adjustRightInd w:val="0"/>
        <w:snapToGrid w:val="0"/>
        <w:ind w:firstLine="600"/>
        <w:rPr>
          <w:rFonts w:ascii="Times New Roman" w:hAnsi="Times New Roman" w:eastAsia="黑体" w:cs="Times New Roman"/>
          <w:color w:val="000000"/>
          <w:sz w:val="30"/>
          <w:szCs w:val="30"/>
        </w:rPr>
      </w:pPr>
    </w:p>
    <w:p w14:paraId="54C73D93">
      <w:pPr>
        <w:adjustRightInd w:val="0"/>
        <w:snapToGrid w:val="0"/>
        <w:ind w:firstLine="1984" w:firstLineChars="620"/>
        <w:rPr>
          <w:rFonts w:ascii="Times New Roman" w:hAnsi="Times New Roman" w:eastAsia="黑体" w:cs="Times New Roman"/>
          <w:color w:val="000000"/>
          <w:sz w:val="32"/>
          <w:szCs w:val="32"/>
          <w:u w:val="single"/>
        </w:rPr>
      </w:pPr>
      <w:bookmarkStart w:id="223" w:name="_Toc7693"/>
      <w:bookmarkStart w:id="224" w:name="_Toc12115"/>
      <w:bookmarkStart w:id="225" w:name="_Toc30510"/>
      <w:bookmarkStart w:id="226" w:name="_Toc16558"/>
      <w:bookmarkStart w:id="227" w:name="_Toc19218"/>
      <w:r>
        <w:rPr>
          <w:rFonts w:ascii="Times New Roman" w:hAnsi="Times New Roman" w:eastAsia="黑体" w:cs="Times New Roman"/>
          <w:color w:val="000000"/>
          <w:sz w:val="32"/>
          <w:szCs w:val="32"/>
        </w:rPr>
        <w:t>供应商</w:t>
      </w:r>
      <w:bookmarkEnd w:id="223"/>
      <w:bookmarkEnd w:id="224"/>
      <w:r>
        <w:rPr>
          <w:rFonts w:ascii="Times New Roman" w:hAnsi="Times New Roman" w:eastAsia="黑体" w:cs="Times New Roman"/>
          <w:color w:val="000000"/>
          <w:sz w:val="32"/>
          <w:szCs w:val="32"/>
        </w:rPr>
        <w:t>：</w:t>
      </w:r>
      <w:bookmarkEnd w:id="225"/>
      <w:bookmarkEnd w:id="226"/>
      <w:bookmarkEnd w:id="227"/>
    </w:p>
    <w:p w14:paraId="14855D34">
      <w:pPr>
        <w:ind w:firstLine="640"/>
        <w:jc w:val="center"/>
        <w:rPr>
          <w:rFonts w:ascii="Times New Roman" w:hAnsi="Times New Roman" w:eastAsia="黑体" w:cs="Times New Roman"/>
          <w:sz w:val="32"/>
          <w:szCs w:val="32"/>
        </w:rPr>
      </w:pPr>
      <w:bookmarkStart w:id="228" w:name="_Toc11755"/>
      <w:bookmarkStart w:id="229" w:name="_Toc6698"/>
    </w:p>
    <w:p w14:paraId="672A42E9">
      <w:pPr>
        <w:ind w:firstLine="640"/>
        <w:jc w:val="center"/>
        <w:rPr>
          <w:rFonts w:ascii="Times New Roman" w:hAnsi="Times New Roman" w:eastAsia="黑体" w:cs="Times New Roman"/>
          <w:sz w:val="32"/>
          <w:szCs w:val="32"/>
        </w:rPr>
      </w:pPr>
    </w:p>
    <w:p w14:paraId="583616C3">
      <w:pPr>
        <w:ind w:firstLine="3520" w:firstLineChars="1100"/>
        <w:rPr>
          <w:rFonts w:ascii="Times New Roman" w:hAnsi="Times New Roman" w:eastAsia="黑体" w:cs="Times New Roman"/>
          <w:sz w:val="32"/>
          <w:szCs w:val="32"/>
        </w:rPr>
      </w:pPr>
      <w:bookmarkStart w:id="230" w:name="_Toc5484"/>
      <w:bookmarkStart w:id="231" w:name="_Toc31704"/>
      <w:bookmarkStart w:id="232" w:name="_Toc10120"/>
      <w:r>
        <w:rPr>
          <w:rFonts w:ascii="Times New Roman" w:hAnsi="Times New Roman" w:eastAsia="黑体" w:cs="Times New Roman"/>
          <w:sz w:val="32"/>
          <w:szCs w:val="32"/>
        </w:rPr>
        <w:t>年  月  日</w:t>
      </w:r>
      <w:bookmarkEnd w:id="228"/>
      <w:bookmarkEnd w:id="229"/>
      <w:bookmarkEnd w:id="230"/>
      <w:bookmarkEnd w:id="231"/>
      <w:bookmarkEnd w:id="232"/>
    </w:p>
    <w:p w14:paraId="7FFCA9D1">
      <w:pPr>
        <w:adjustRightInd w:val="0"/>
        <w:snapToGrid w:val="0"/>
        <w:ind w:firstLine="643"/>
        <w:jc w:val="center"/>
        <w:rPr>
          <w:rFonts w:ascii="Times New Roman" w:hAnsi="Times New Roman" w:eastAsia="黑体" w:cs="Times New Roman"/>
          <w:b/>
          <w:sz w:val="32"/>
          <w:szCs w:val="32"/>
        </w:rPr>
      </w:pPr>
    </w:p>
    <w:p w14:paraId="350C6D40">
      <w:pPr>
        <w:ind w:firstLine="422"/>
        <w:rPr>
          <w:rFonts w:ascii="Times New Roman" w:hAnsi="Times New Roman" w:cs="Times New Roman"/>
          <w:b/>
          <w:bCs/>
        </w:rPr>
      </w:pPr>
      <w:bookmarkStart w:id="233" w:name="_Toc22201151"/>
      <w:bookmarkStart w:id="234" w:name="_Toc10266"/>
      <w:bookmarkStart w:id="235" w:name="_Toc11811"/>
      <w:bookmarkStart w:id="236" w:name="_Toc5398"/>
    </w:p>
    <w:p w14:paraId="2F44AFBC">
      <w:pPr>
        <w:ind w:firstLine="0" w:firstLineChars="0"/>
        <w:outlineLvl w:val="2"/>
        <w:rPr>
          <w:rFonts w:ascii="Times New Roman" w:hAnsi="Times New Roman" w:cs="Times New Roman"/>
          <w:b/>
          <w:bCs/>
        </w:rPr>
      </w:pPr>
      <w:bookmarkStart w:id="237" w:name="_Toc26372"/>
      <w:bookmarkStart w:id="238" w:name="_Toc29387"/>
      <w:r>
        <w:rPr>
          <w:rFonts w:ascii="Times New Roman" w:hAnsi="Times New Roman" w:cs="Times New Roman"/>
          <w:b/>
          <w:bCs/>
        </w:rPr>
        <w:t>索引表 符合性审查索引表</w:t>
      </w:r>
      <w:bookmarkEnd w:id="233"/>
      <w:bookmarkEnd w:id="234"/>
      <w:bookmarkEnd w:id="235"/>
      <w:bookmarkEnd w:id="236"/>
      <w:bookmarkEnd w:id="237"/>
      <w:bookmarkEnd w:id="238"/>
    </w:p>
    <w:p w14:paraId="3ED47DAC">
      <w:pPr>
        <w:adjustRightInd w:val="0"/>
        <w:spacing w:before="120" w:beforeLines="50"/>
        <w:ind w:firstLine="0" w:firstLineChars="0"/>
        <w:jc w:val="center"/>
        <w:rPr>
          <w:rFonts w:ascii="Times New Roman" w:hAnsi="Times New Roman" w:eastAsia="黑体" w:cs="Times New Roman"/>
          <w:b/>
          <w:sz w:val="28"/>
          <w:szCs w:val="28"/>
        </w:rPr>
      </w:pPr>
      <w:bookmarkStart w:id="239" w:name="_Toc2321"/>
      <w:bookmarkStart w:id="240" w:name="_Toc24902"/>
      <w:bookmarkStart w:id="241" w:name="_Toc10201"/>
      <w:bookmarkStart w:id="242" w:name="_Toc6460"/>
      <w:bookmarkStart w:id="243" w:name="_Toc15105"/>
      <w:r>
        <w:rPr>
          <w:rFonts w:ascii="Times New Roman" w:hAnsi="Times New Roman" w:eastAsia="黑体" w:cs="Times New Roman"/>
          <w:b/>
          <w:sz w:val="28"/>
          <w:szCs w:val="28"/>
        </w:rPr>
        <w:t>符合性审查索引表</w:t>
      </w:r>
      <w:bookmarkEnd w:id="239"/>
      <w:bookmarkEnd w:id="240"/>
      <w:bookmarkEnd w:id="241"/>
      <w:bookmarkEnd w:id="242"/>
      <w:bookmarkEnd w:id="243"/>
    </w:p>
    <w:tbl>
      <w:tblPr>
        <w:tblStyle w:val="45"/>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0D3A46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14:paraId="6E3320D7">
            <w:pPr>
              <w:adjustRightInd w:val="0"/>
              <w:snapToGrid w:val="0"/>
              <w:ind w:firstLine="0" w:firstLineChars="0"/>
              <w:jc w:val="center"/>
              <w:rPr>
                <w:rFonts w:ascii="Times New Roman" w:hAnsi="Times New Roman" w:cs="Times New Roman"/>
                <w:b/>
                <w:kern w:val="0"/>
                <w:szCs w:val="21"/>
              </w:rPr>
            </w:pPr>
            <w:r>
              <w:rPr>
                <w:rFonts w:ascii="Times New Roman" w:hAnsi="Times New Roman" w:cs="Times New Roman"/>
                <w:b/>
                <w:kern w:val="0"/>
                <w:szCs w:val="21"/>
              </w:rPr>
              <w:t>序号</w:t>
            </w:r>
          </w:p>
        </w:tc>
        <w:tc>
          <w:tcPr>
            <w:tcW w:w="1871" w:type="dxa"/>
            <w:tcBorders>
              <w:right w:val="single" w:color="auto" w:sz="4" w:space="0"/>
            </w:tcBorders>
            <w:shd w:val="clear" w:color="auto" w:fill="auto"/>
            <w:vAlign w:val="center"/>
          </w:tcPr>
          <w:p w14:paraId="67418426">
            <w:pPr>
              <w:adjustRightInd w:val="0"/>
              <w:snapToGrid w:val="0"/>
              <w:ind w:firstLine="0" w:firstLineChars="0"/>
              <w:jc w:val="center"/>
              <w:rPr>
                <w:rFonts w:ascii="Times New Roman" w:hAnsi="Times New Roman" w:cs="Times New Roman"/>
                <w:b/>
                <w:kern w:val="0"/>
                <w:sz w:val="20"/>
                <w:szCs w:val="21"/>
              </w:rPr>
            </w:pPr>
            <w:r>
              <w:rPr>
                <w:rFonts w:ascii="Times New Roman" w:hAnsi="Times New Roman" w:cs="Times New Roman"/>
                <w:b/>
                <w:kern w:val="0"/>
                <w:sz w:val="20"/>
                <w:szCs w:val="21"/>
              </w:rPr>
              <w:t>磋商文件条款号</w:t>
            </w:r>
          </w:p>
        </w:tc>
        <w:tc>
          <w:tcPr>
            <w:tcW w:w="2410" w:type="dxa"/>
            <w:tcBorders>
              <w:left w:val="single" w:color="auto" w:sz="4" w:space="0"/>
            </w:tcBorders>
            <w:shd w:val="clear" w:color="auto" w:fill="auto"/>
            <w:vAlign w:val="center"/>
          </w:tcPr>
          <w:p w14:paraId="0AAFB452">
            <w:pPr>
              <w:adjustRightInd w:val="0"/>
              <w:snapToGrid w:val="0"/>
              <w:ind w:firstLine="0" w:firstLineChars="0"/>
              <w:jc w:val="center"/>
              <w:rPr>
                <w:rFonts w:ascii="Times New Roman" w:hAnsi="Times New Roman" w:cs="Times New Roman"/>
                <w:b/>
                <w:kern w:val="0"/>
                <w:sz w:val="20"/>
                <w:szCs w:val="21"/>
              </w:rPr>
            </w:pPr>
            <w:r>
              <w:rPr>
                <w:rFonts w:ascii="Times New Roman" w:hAnsi="Times New Roman" w:cs="Times New Roman"/>
                <w:b/>
                <w:kern w:val="0"/>
                <w:szCs w:val="21"/>
              </w:rPr>
              <w:t>审查内容及标准</w:t>
            </w:r>
          </w:p>
        </w:tc>
        <w:tc>
          <w:tcPr>
            <w:tcW w:w="2268" w:type="dxa"/>
            <w:shd w:val="clear" w:color="auto" w:fill="auto"/>
            <w:vAlign w:val="center"/>
          </w:tcPr>
          <w:p w14:paraId="61BC689B">
            <w:pPr>
              <w:adjustRightInd w:val="0"/>
              <w:snapToGrid w:val="0"/>
              <w:ind w:firstLine="0" w:firstLineChars="0"/>
              <w:jc w:val="center"/>
              <w:rPr>
                <w:rFonts w:ascii="Times New Roman" w:hAnsi="Times New Roman" w:cs="Times New Roman"/>
                <w:b/>
                <w:kern w:val="0"/>
                <w:szCs w:val="21"/>
              </w:rPr>
            </w:pPr>
            <w:r>
              <w:rPr>
                <w:rFonts w:ascii="Times New Roman" w:hAnsi="Times New Roman" w:cs="Times New Roman"/>
                <w:b/>
                <w:kern w:val="0"/>
                <w:szCs w:val="21"/>
              </w:rPr>
              <w:t>响应文件及证明材料</w:t>
            </w:r>
          </w:p>
        </w:tc>
        <w:tc>
          <w:tcPr>
            <w:tcW w:w="1722" w:type="dxa"/>
            <w:shd w:val="clear" w:color="auto" w:fill="auto"/>
            <w:vAlign w:val="center"/>
          </w:tcPr>
          <w:p w14:paraId="1AAB41B5">
            <w:pPr>
              <w:adjustRightInd w:val="0"/>
              <w:snapToGrid w:val="0"/>
              <w:ind w:firstLine="0" w:firstLineChars="0"/>
              <w:jc w:val="center"/>
              <w:rPr>
                <w:rFonts w:ascii="Times New Roman" w:hAnsi="Times New Roman" w:cs="Times New Roman"/>
                <w:b/>
                <w:kern w:val="0"/>
                <w:sz w:val="20"/>
                <w:szCs w:val="21"/>
              </w:rPr>
            </w:pPr>
            <w:r>
              <w:rPr>
                <w:rFonts w:ascii="Times New Roman" w:hAnsi="Times New Roman" w:cs="Times New Roman"/>
                <w:b/>
                <w:kern w:val="0"/>
                <w:szCs w:val="21"/>
              </w:rPr>
              <w:t>响应文件对应内容的册及页码</w:t>
            </w:r>
          </w:p>
        </w:tc>
      </w:tr>
      <w:tr w14:paraId="68E95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4B3703A">
            <w:pPr>
              <w:adjustRightInd w:val="0"/>
              <w:snapToGrid w:val="0"/>
              <w:ind w:firstLine="0" w:firstLineChars="0"/>
              <w:jc w:val="center"/>
              <w:rPr>
                <w:rFonts w:ascii="Times New Roman" w:hAnsi="Times New Roman" w:cs="Times New Roman"/>
                <w:kern w:val="0"/>
                <w:szCs w:val="21"/>
              </w:rPr>
            </w:pPr>
          </w:p>
        </w:tc>
        <w:tc>
          <w:tcPr>
            <w:tcW w:w="1871" w:type="dxa"/>
            <w:tcBorders>
              <w:right w:val="single" w:color="auto" w:sz="4" w:space="0"/>
            </w:tcBorders>
            <w:shd w:val="clear" w:color="auto" w:fill="auto"/>
          </w:tcPr>
          <w:p w14:paraId="17DF909A">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61737913">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1866F029">
            <w:pPr>
              <w:adjustRightInd w:val="0"/>
              <w:snapToGrid w:val="0"/>
              <w:ind w:firstLine="0" w:firstLineChars="0"/>
              <w:jc w:val="center"/>
              <w:rPr>
                <w:rFonts w:ascii="Times New Roman" w:hAnsi="Times New Roman" w:cs="Times New Roman"/>
                <w:kern w:val="0"/>
                <w:szCs w:val="21"/>
              </w:rPr>
            </w:pPr>
          </w:p>
        </w:tc>
        <w:tc>
          <w:tcPr>
            <w:tcW w:w="1722" w:type="dxa"/>
            <w:shd w:val="clear" w:color="auto" w:fill="auto"/>
          </w:tcPr>
          <w:p w14:paraId="3C301250">
            <w:pPr>
              <w:adjustRightInd w:val="0"/>
              <w:snapToGrid w:val="0"/>
              <w:ind w:firstLine="0" w:firstLineChars="0"/>
              <w:jc w:val="center"/>
              <w:rPr>
                <w:rFonts w:ascii="Times New Roman" w:hAnsi="Times New Roman" w:cs="Times New Roman"/>
                <w:kern w:val="0"/>
                <w:sz w:val="20"/>
                <w:szCs w:val="21"/>
              </w:rPr>
            </w:pPr>
          </w:p>
        </w:tc>
      </w:tr>
      <w:tr w14:paraId="36380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AF7AE74">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780A1068">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5737F36F">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534FB918">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181B7982">
            <w:pPr>
              <w:adjustRightInd w:val="0"/>
              <w:snapToGrid w:val="0"/>
              <w:ind w:firstLine="0" w:firstLineChars="0"/>
              <w:jc w:val="center"/>
              <w:rPr>
                <w:rFonts w:ascii="Times New Roman" w:hAnsi="Times New Roman" w:cs="Times New Roman"/>
                <w:kern w:val="0"/>
                <w:sz w:val="20"/>
                <w:szCs w:val="21"/>
              </w:rPr>
            </w:pPr>
          </w:p>
        </w:tc>
      </w:tr>
      <w:tr w14:paraId="1C2459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7F510671">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657EFA6B">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510AAFE4">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5519606C">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2B54B0C4">
            <w:pPr>
              <w:adjustRightInd w:val="0"/>
              <w:snapToGrid w:val="0"/>
              <w:ind w:firstLine="0" w:firstLineChars="0"/>
              <w:jc w:val="center"/>
              <w:rPr>
                <w:rFonts w:ascii="Times New Roman" w:hAnsi="Times New Roman" w:cs="Times New Roman"/>
                <w:kern w:val="0"/>
                <w:sz w:val="20"/>
                <w:szCs w:val="21"/>
              </w:rPr>
            </w:pPr>
          </w:p>
        </w:tc>
      </w:tr>
      <w:tr w14:paraId="6C6DE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41792388">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6258EDAC">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75F4C72E">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5B74662F">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662BEF85">
            <w:pPr>
              <w:adjustRightInd w:val="0"/>
              <w:snapToGrid w:val="0"/>
              <w:ind w:firstLine="0" w:firstLineChars="0"/>
              <w:jc w:val="center"/>
              <w:rPr>
                <w:rFonts w:ascii="Times New Roman" w:hAnsi="Times New Roman" w:cs="Times New Roman"/>
                <w:kern w:val="0"/>
                <w:sz w:val="20"/>
                <w:szCs w:val="21"/>
              </w:rPr>
            </w:pPr>
          </w:p>
        </w:tc>
      </w:tr>
      <w:tr w14:paraId="728CD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69D1734">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056AB176">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2860A0DE">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4FDB2395">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1F8CDFE8">
            <w:pPr>
              <w:adjustRightInd w:val="0"/>
              <w:snapToGrid w:val="0"/>
              <w:ind w:firstLine="0" w:firstLineChars="0"/>
              <w:jc w:val="center"/>
              <w:rPr>
                <w:rFonts w:ascii="Times New Roman" w:hAnsi="Times New Roman" w:cs="Times New Roman"/>
                <w:kern w:val="0"/>
                <w:sz w:val="20"/>
                <w:szCs w:val="21"/>
              </w:rPr>
            </w:pPr>
          </w:p>
        </w:tc>
      </w:tr>
      <w:tr w14:paraId="388DB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B5E07A5">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254AA84F">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1A32BF42">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40F0369B">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6A904E9E">
            <w:pPr>
              <w:adjustRightInd w:val="0"/>
              <w:snapToGrid w:val="0"/>
              <w:ind w:firstLine="0" w:firstLineChars="0"/>
              <w:jc w:val="center"/>
              <w:rPr>
                <w:rFonts w:ascii="Times New Roman" w:hAnsi="Times New Roman" w:cs="Times New Roman"/>
                <w:kern w:val="0"/>
                <w:sz w:val="20"/>
                <w:szCs w:val="21"/>
              </w:rPr>
            </w:pPr>
          </w:p>
        </w:tc>
      </w:tr>
      <w:tr w14:paraId="713D8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6C783F44">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68C1696E">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413710E0">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2F52AC6D">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64D6DFC4">
            <w:pPr>
              <w:adjustRightInd w:val="0"/>
              <w:snapToGrid w:val="0"/>
              <w:ind w:firstLine="0" w:firstLineChars="0"/>
              <w:jc w:val="center"/>
              <w:rPr>
                <w:rFonts w:ascii="Times New Roman" w:hAnsi="Times New Roman" w:cs="Times New Roman"/>
                <w:kern w:val="0"/>
                <w:sz w:val="20"/>
                <w:szCs w:val="21"/>
              </w:rPr>
            </w:pPr>
          </w:p>
        </w:tc>
      </w:tr>
      <w:tr w14:paraId="598A3D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0A070A8">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472A21B9">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65D17F5A">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46D5580D">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35F67279">
            <w:pPr>
              <w:adjustRightInd w:val="0"/>
              <w:snapToGrid w:val="0"/>
              <w:ind w:firstLine="0" w:firstLineChars="0"/>
              <w:jc w:val="center"/>
              <w:rPr>
                <w:rFonts w:ascii="Times New Roman" w:hAnsi="Times New Roman" w:cs="Times New Roman"/>
                <w:kern w:val="0"/>
                <w:sz w:val="20"/>
                <w:szCs w:val="21"/>
              </w:rPr>
            </w:pPr>
          </w:p>
        </w:tc>
      </w:tr>
      <w:tr w14:paraId="7A134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52DD2148">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176C2A74">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01FC1834">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38607074">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1E9813B1">
            <w:pPr>
              <w:adjustRightInd w:val="0"/>
              <w:snapToGrid w:val="0"/>
              <w:ind w:firstLine="0" w:firstLineChars="0"/>
              <w:jc w:val="center"/>
              <w:rPr>
                <w:rFonts w:ascii="Times New Roman" w:hAnsi="Times New Roman" w:cs="Times New Roman"/>
                <w:kern w:val="0"/>
                <w:sz w:val="20"/>
                <w:szCs w:val="21"/>
              </w:rPr>
            </w:pPr>
          </w:p>
        </w:tc>
      </w:tr>
      <w:tr w14:paraId="4F64B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14:paraId="0471FABA">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5C2AD176">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768EA985">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098AC76D">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136F8A09">
            <w:pPr>
              <w:adjustRightInd w:val="0"/>
              <w:snapToGrid w:val="0"/>
              <w:ind w:firstLine="0" w:firstLineChars="0"/>
              <w:jc w:val="center"/>
              <w:rPr>
                <w:rFonts w:ascii="Times New Roman" w:hAnsi="Times New Roman" w:cs="Times New Roman"/>
                <w:kern w:val="0"/>
                <w:sz w:val="20"/>
                <w:szCs w:val="21"/>
              </w:rPr>
            </w:pPr>
          </w:p>
        </w:tc>
      </w:tr>
      <w:tr w14:paraId="06C92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14:paraId="668C9C1E">
            <w:pPr>
              <w:adjustRightInd w:val="0"/>
              <w:snapToGrid w:val="0"/>
              <w:ind w:firstLine="0" w:firstLineChars="0"/>
              <w:jc w:val="center"/>
              <w:rPr>
                <w:rFonts w:ascii="Times New Roman" w:hAnsi="Times New Roman" w:cs="Times New Roman"/>
                <w:kern w:val="0"/>
                <w:sz w:val="20"/>
                <w:szCs w:val="21"/>
              </w:rPr>
            </w:pPr>
          </w:p>
        </w:tc>
        <w:tc>
          <w:tcPr>
            <w:tcW w:w="1871" w:type="dxa"/>
            <w:tcBorders>
              <w:right w:val="single" w:color="auto" w:sz="4" w:space="0"/>
            </w:tcBorders>
            <w:shd w:val="clear" w:color="auto" w:fill="auto"/>
          </w:tcPr>
          <w:p w14:paraId="24A9A096">
            <w:pPr>
              <w:adjustRightInd w:val="0"/>
              <w:snapToGrid w:val="0"/>
              <w:ind w:firstLine="0" w:firstLineChars="0"/>
              <w:jc w:val="center"/>
              <w:rPr>
                <w:rFonts w:ascii="Times New Roman" w:hAnsi="Times New Roman" w:cs="Times New Roman"/>
                <w:kern w:val="0"/>
                <w:sz w:val="20"/>
                <w:szCs w:val="21"/>
              </w:rPr>
            </w:pPr>
          </w:p>
        </w:tc>
        <w:tc>
          <w:tcPr>
            <w:tcW w:w="2410" w:type="dxa"/>
            <w:tcBorders>
              <w:left w:val="single" w:color="auto" w:sz="4" w:space="0"/>
            </w:tcBorders>
            <w:shd w:val="clear" w:color="auto" w:fill="auto"/>
          </w:tcPr>
          <w:p w14:paraId="5FF2E285">
            <w:pPr>
              <w:adjustRightInd w:val="0"/>
              <w:snapToGrid w:val="0"/>
              <w:ind w:firstLine="0" w:firstLineChars="0"/>
              <w:jc w:val="center"/>
              <w:rPr>
                <w:rFonts w:ascii="Times New Roman" w:hAnsi="Times New Roman" w:cs="Times New Roman"/>
                <w:kern w:val="0"/>
                <w:sz w:val="20"/>
                <w:szCs w:val="21"/>
              </w:rPr>
            </w:pPr>
          </w:p>
        </w:tc>
        <w:tc>
          <w:tcPr>
            <w:tcW w:w="2268" w:type="dxa"/>
            <w:shd w:val="clear" w:color="auto" w:fill="auto"/>
          </w:tcPr>
          <w:p w14:paraId="05FDE38E">
            <w:pPr>
              <w:adjustRightInd w:val="0"/>
              <w:snapToGrid w:val="0"/>
              <w:ind w:firstLine="0" w:firstLineChars="0"/>
              <w:jc w:val="center"/>
              <w:rPr>
                <w:rFonts w:ascii="Times New Roman" w:hAnsi="Times New Roman" w:cs="Times New Roman"/>
                <w:kern w:val="0"/>
                <w:sz w:val="20"/>
                <w:szCs w:val="21"/>
              </w:rPr>
            </w:pPr>
          </w:p>
        </w:tc>
        <w:tc>
          <w:tcPr>
            <w:tcW w:w="1722" w:type="dxa"/>
            <w:shd w:val="clear" w:color="auto" w:fill="auto"/>
          </w:tcPr>
          <w:p w14:paraId="6BA15C08">
            <w:pPr>
              <w:adjustRightInd w:val="0"/>
              <w:snapToGrid w:val="0"/>
              <w:ind w:firstLine="0" w:firstLineChars="0"/>
              <w:jc w:val="center"/>
              <w:rPr>
                <w:rFonts w:ascii="Times New Roman" w:hAnsi="Times New Roman" w:cs="Times New Roman"/>
                <w:kern w:val="0"/>
                <w:sz w:val="20"/>
                <w:szCs w:val="21"/>
              </w:rPr>
            </w:pPr>
          </w:p>
        </w:tc>
      </w:tr>
    </w:tbl>
    <w:p w14:paraId="7BDFE0EA">
      <w:pPr>
        <w:ind w:firstLine="643"/>
        <w:jc w:val="center"/>
        <w:rPr>
          <w:rFonts w:ascii="Times New Roman" w:hAnsi="Times New Roman" w:eastAsia="黑体" w:cs="Times New Roman"/>
          <w:b/>
          <w:sz w:val="32"/>
          <w:szCs w:val="32"/>
        </w:rPr>
      </w:pPr>
    </w:p>
    <w:p w14:paraId="1D062875">
      <w:pPr>
        <w:rPr>
          <w:rFonts w:ascii="Times New Roman" w:hAnsi="Times New Roman" w:cs="Times New Roman"/>
        </w:rPr>
      </w:pPr>
    </w:p>
    <w:p w14:paraId="25516EC1">
      <w:pPr>
        <w:rPr>
          <w:rFonts w:ascii="Times New Roman" w:hAnsi="Times New Roman" w:cs="Times New Roman"/>
        </w:rPr>
      </w:pPr>
    </w:p>
    <w:p w14:paraId="62BDD968">
      <w:pPr>
        <w:rPr>
          <w:rFonts w:ascii="Times New Roman" w:hAnsi="Times New Roman" w:cs="Times New Roman"/>
        </w:rPr>
      </w:pPr>
    </w:p>
    <w:p w14:paraId="60FB77F2">
      <w:pPr>
        <w:rPr>
          <w:rFonts w:ascii="Times New Roman" w:hAnsi="Times New Roman" w:cs="Times New Roman"/>
        </w:rPr>
      </w:pPr>
    </w:p>
    <w:p w14:paraId="122E7BD5">
      <w:pPr>
        <w:rPr>
          <w:rFonts w:ascii="Times New Roman" w:hAnsi="Times New Roman" w:cs="Times New Roman"/>
        </w:rPr>
      </w:pPr>
    </w:p>
    <w:p w14:paraId="1DE023C2">
      <w:pPr>
        <w:rPr>
          <w:rFonts w:ascii="Times New Roman" w:hAnsi="Times New Roman" w:cs="Times New Roman"/>
        </w:rPr>
      </w:pPr>
    </w:p>
    <w:p w14:paraId="18CB2A80">
      <w:pPr>
        <w:rPr>
          <w:rFonts w:ascii="Times New Roman" w:hAnsi="Times New Roman" w:cs="Times New Roman"/>
        </w:rPr>
      </w:pPr>
    </w:p>
    <w:p w14:paraId="749CF55F">
      <w:pPr>
        <w:rPr>
          <w:rFonts w:ascii="Times New Roman" w:hAnsi="Times New Roman" w:cs="Times New Roman"/>
        </w:rPr>
      </w:pPr>
    </w:p>
    <w:p w14:paraId="50EFA02B">
      <w:pPr>
        <w:rPr>
          <w:rFonts w:ascii="Times New Roman" w:hAnsi="Times New Roman" w:cs="Times New Roman"/>
        </w:rPr>
      </w:pPr>
    </w:p>
    <w:p w14:paraId="28D7704D">
      <w:pPr>
        <w:rPr>
          <w:rFonts w:ascii="Times New Roman" w:hAnsi="Times New Roman" w:cs="Times New Roman"/>
        </w:rPr>
      </w:pPr>
    </w:p>
    <w:p w14:paraId="41E43683">
      <w:pPr>
        <w:rPr>
          <w:rFonts w:ascii="Times New Roman" w:hAnsi="Times New Roman" w:cs="Times New Roman"/>
        </w:rPr>
      </w:pPr>
    </w:p>
    <w:p w14:paraId="3E9D0EC5">
      <w:pPr>
        <w:rPr>
          <w:rFonts w:ascii="Times New Roman" w:hAnsi="Times New Roman" w:cs="Times New Roman"/>
        </w:rPr>
      </w:pPr>
    </w:p>
    <w:p w14:paraId="7B3998BD">
      <w:pPr>
        <w:spacing w:line="360" w:lineRule="exact"/>
        <w:ind w:firstLine="643"/>
        <w:jc w:val="center"/>
        <w:rPr>
          <w:rFonts w:ascii="Times New Roman" w:hAnsi="Times New Roman" w:eastAsia="黑体" w:cs="Times New Roman"/>
          <w:b/>
          <w:sz w:val="32"/>
          <w:szCs w:val="32"/>
        </w:rPr>
      </w:pPr>
    </w:p>
    <w:p w14:paraId="24AD5ECA">
      <w:pPr>
        <w:ind w:firstLine="643"/>
        <w:rPr>
          <w:rFonts w:ascii="Times New Roman" w:hAnsi="Times New Roman" w:eastAsia="黑体" w:cs="Times New Roman"/>
          <w:b/>
          <w:sz w:val="32"/>
          <w:szCs w:val="32"/>
        </w:rPr>
      </w:pPr>
      <w:r>
        <w:rPr>
          <w:rFonts w:ascii="Times New Roman" w:hAnsi="Times New Roman" w:eastAsia="黑体" w:cs="Times New Roman"/>
          <w:b/>
          <w:sz w:val="32"/>
          <w:szCs w:val="32"/>
        </w:rPr>
        <w:br w:type="page"/>
      </w:r>
    </w:p>
    <w:p w14:paraId="3213BDFC">
      <w:pPr>
        <w:ind w:firstLine="0" w:firstLineChars="0"/>
        <w:jc w:val="center"/>
        <w:outlineLvl w:val="1"/>
        <w:rPr>
          <w:rFonts w:ascii="Times New Roman" w:hAnsi="Times New Roman" w:eastAsia="黑体" w:cs="Times New Roman"/>
          <w:b/>
          <w:sz w:val="28"/>
          <w:szCs w:val="28"/>
        </w:rPr>
      </w:pPr>
      <w:bookmarkStart w:id="244" w:name="_Toc9343"/>
      <w:bookmarkStart w:id="245" w:name="_Toc3352"/>
      <w:bookmarkStart w:id="246" w:name="_Toc8629"/>
      <w:bookmarkStart w:id="247" w:name="_Toc9374"/>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0" t="0" r="10795" b="11430"/>
                <wp:wrapNone/>
                <wp:docPr id="95" name="矩形 95"/>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96C9D8"/>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CtTCUxBgIAADgEAAAOAAAAAAAAAAEAIAAAACYB&#10;AABkcnMvZTJvRG9jLnhtbFBLBQYAAAAABgAGAFkBAACeBQAAAAA=&#10;">
                <v:fill on="t" focussize="0,0"/>
                <v:stroke color="#000000" joinstyle="miter"/>
                <v:imagedata o:title=""/>
                <o:lock v:ext="edit" aspectratio="f"/>
                <v:textbox>
                  <w:txbxContent>
                    <w:p w14:paraId="5896C9D8"/>
                  </w:txbxContent>
                </v:textbox>
              </v:rect>
            </w:pict>
          </mc:Fallback>
        </mc:AlternateContent>
      </w:r>
      <w:r>
        <w:rPr>
          <w:rFonts w:ascii="Times New Roman" w:hAnsi="Times New Roman" w:eastAsia="黑体" w:cs="Times New Roman"/>
          <w:b/>
          <w:sz w:val="28"/>
          <w:szCs w:val="28"/>
        </w:rPr>
        <w:t>一、磋商响应声明</w:t>
      </w:r>
      <w:bookmarkEnd w:id="244"/>
      <w:bookmarkEnd w:id="245"/>
      <w:bookmarkEnd w:id="246"/>
      <w:bookmarkEnd w:id="247"/>
    </w:p>
    <w:p w14:paraId="77D9D0D1">
      <w:pPr>
        <w:adjustRightInd w:val="0"/>
        <w:snapToGrid w:val="0"/>
        <w:ind w:firstLine="0" w:firstLineChars="0"/>
        <w:rPr>
          <w:szCs w:val="21"/>
        </w:rPr>
      </w:pPr>
      <w:r>
        <w:rPr>
          <w:rFonts w:hint="eastAsia"/>
          <w:szCs w:val="21"/>
        </w:rPr>
        <w:t>致 (采购人、采购代理机构)：</w:t>
      </w:r>
    </w:p>
    <w:p w14:paraId="1B792F35">
      <w:pPr>
        <w:adjustRightInd w:val="0"/>
        <w:snapToGrid w:val="0"/>
        <w:rPr>
          <w:szCs w:val="21"/>
        </w:rPr>
      </w:pPr>
      <w:r>
        <w:rPr>
          <w:rFonts w:hint="eastAsia"/>
          <w:szCs w:val="21"/>
        </w:rPr>
        <w:t>我方已仔细研究了</w:t>
      </w:r>
      <w:r>
        <w:rPr>
          <w:rFonts w:hint="eastAsia"/>
          <w:szCs w:val="21"/>
          <w:u w:val="single"/>
        </w:rPr>
        <w:t xml:space="preserve">                 (</w:t>
      </w:r>
      <w:r>
        <w:rPr>
          <w:rFonts w:hint="eastAsia"/>
          <w:szCs w:val="21"/>
        </w:rPr>
        <w:t>项目名称)的竞争性磋商文件（政府采购计划编号： ；委托代理编号：）的全部内容，</w:t>
      </w:r>
      <w:r>
        <w:rPr>
          <w:rFonts w:hint="eastAsia"/>
        </w:rPr>
        <w:t>知悉参加竞争性磋商的风险，我方承诺接受磋商文件的全部条款且无任何异议。</w:t>
      </w:r>
    </w:p>
    <w:p w14:paraId="38AE0EA9">
      <w:pPr>
        <w:pStyle w:val="22"/>
        <w:adjustRightInd w:val="0"/>
        <w:snapToGrid w:val="0"/>
        <w:rPr>
          <w:rFonts w:hAnsi="宋体" w:cs="宋体"/>
        </w:rPr>
      </w:pPr>
      <w:r>
        <w:rPr>
          <w:rFonts w:hint="eastAsia" w:hAnsi="宋体" w:cs="宋体"/>
        </w:rPr>
        <w:t>一、我方同意在磋商文件中规定的提交首次响应文件截止时间起日内(响应文件有效期)遵守本响应文件中的承诺且在此期限期满之前均具有法律约束力。</w:t>
      </w:r>
    </w:p>
    <w:p w14:paraId="47F2A85A">
      <w:pPr>
        <w:pStyle w:val="22"/>
        <w:adjustRightInd w:val="0"/>
        <w:snapToGrid w:val="0"/>
        <w:rPr>
          <w:rFonts w:hAnsi="宋体" w:cs="宋体"/>
        </w:rPr>
      </w:pPr>
      <w:r>
        <w:rPr>
          <w:rFonts w:hint="eastAsia" w:hAnsi="宋体" w:cs="宋体"/>
        </w:rPr>
        <w:t>二、我方提交响应文件正本一份和副本一式份，并保证响应文件提供的数据和资料全部内容真实、合法、准确和完整，我们对此负责，并愿承担由此引起的法律责任。</w:t>
      </w:r>
    </w:p>
    <w:p w14:paraId="6990D276">
      <w:pPr>
        <w:pStyle w:val="22"/>
        <w:adjustRightInd w:val="0"/>
        <w:snapToGrid w:val="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14:paraId="4B024943">
      <w:pPr>
        <w:pStyle w:val="22"/>
        <w:adjustRightInd w:val="0"/>
        <w:snapToGrid w:val="0"/>
        <w:rPr>
          <w:rFonts w:hAnsi="宋体" w:cs="宋体"/>
        </w:rPr>
      </w:pPr>
      <w:r>
        <w:rPr>
          <w:rFonts w:hint="eastAsia" w:hAnsi="宋体" w:cs="宋体"/>
        </w:rPr>
        <w:t>四、我方愿意按磋商文件规定和磋商小组要求重新提交响应文件和最后报价。</w:t>
      </w:r>
    </w:p>
    <w:p w14:paraId="1C7977E9">
      <w:pPr>
        <w:pStyle w:val="22"/>
        <w:adjustRightInd w:val="0"/>
        <w:snapToGrid w:val="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036174AA">
      <w:pPr>
        <w:pStyle w:val="22"/>
        <w:adjustRightInd w:val="0"/>
        <w:snapToGrid w:val="0"/>
        <w:rPr>
          <w:rFonts w:hAnsi="宋体" w:cs="宋体"/>
          <w:color w:val="000000"/>
        </w:rPr>
      </w:pPr>
      <w:bookmarkStart w:id="248" w:name="_Toc12043"/>
      <w:bookmarkStart w:id="249" w:name="_Toc29581"/>
      <w:r>
        <w:rPr>
          <w:rFonts w:hint="eastAsia" w:hAnsi="宋体" w:cs="宋体"/>
        </w:rPr>
        <w:t>六、</w:t>
      </w:r>
      <w:r>
        <w:rPr>
          <w:rFonts w:hint="eastAsia" w:hAnsi="宋体" w:cs="宋体"/>
          <w:color w:val="000000"/>
        </w:rPr>
        <w:t>我方在此声明：</w:t>
      </w:r>
      <w:bookmarkEnd w:id="248"/>
      <w:bookmarkEnd w:id="249"/>
    </w:p>
    <w:p w14:paraId="3B114847">
      <w:pPr>
        <w:pStyle w:val="22"/>
        <w:adjustRightInd w:val="0"/>
        <w:snapToGrid w:val="0"/>
        <w:rPr>
          <w:rFonts w:hAnsi="宋体" w:cs="宋体"/>
          <w:color w:val="000000"/>
        </w:rPr>
      </w:pPr>
      <w:r>
        <w:rPr>
          <w:rFonts w:hint="eastAsia" w:hAnsi="宋体" w:cs="宋体"/>
          <w:color w:val="000000"/>
        </w:rPr>
        <w:t>（一）我方与采购人或采购代理机构不存在隶属关系或者其他利害关系。</w:t>
      </w:r>
    </w:p>
    <w:p w14:paraId="3361D26C">
      <w:pPr>
        <w:pStyle w:val="22"/>
        <w:adjustRightInd w:val="0"/>
        <w:snapToGrid w:val="0"/>
        <w:rPr>
          <w:rFonts w:hAnsi="宋体" w:cs="宋体"/>
          <w:color w:val="000000"/>
        </w:rPr>
      </w:pPr>
      <w:r>
        <w:rPr>
          <w:rFonts w:hint="eastAsia" w:hAnsi="宋体" w:cs="宋体"/>
          <w:color w:val="000000"/>
        </w:rPr>
        <w:t>（二）我方与参加本项目的其他供应商不存在直接控股、管理关系，或者与其他供应商法定代表人（或者负责人）为同一人。</w:t>
      </w:r>
    </w:p>
    <w:p w14:paraId="1DA8034F">
      <w:pPr>
        <w:pStyle w:val="22"/>
        <w:adjustRightInd w:val="0"/>
        <w:snapToGrid w:val="0"/>
        <w:rPr>
          <w:rFonts w:hAnsi="宋体" w:cs="宋体"/>
          <w:color w:val="000000"/>
        </w:rPr>
      </w:pPr>
      <w:r>
        <w:rPr>
          <w:rFonts w:hint="eastAsia" w:hAnsi="宋体" w:cs="宋体"/>
          <w:color w:val="000000"/>
        </w:rPr>
        <w:t>（三）我方未为本项目前期准备提供设计或咨询服务。</w:t>
      </w:r>
    </w:p>
    <w:p w14:paraId="190C25FE">
      <w:pPr>
        <w:pStyle w:val="22"/>
        <w:adjustRightInd w:val="0"/>
        <w:snapToGrid w:val="0"/>
        <w:rPr>
          <w:rFonts w:hAnsi="宋体" w:cs="宋体"/>
          <w:color w:val="000000"/>
        </w:rPr>
      </w:pPr>
      <w:r>
        <w:rPr>
          <w:rFonts w:hint="eastAsia" w:hAnsi="宋体" w:cs="宋体"/>
          <w:color w:val="000000"/>
        </w:rPr>
        <w:t>（四）我方承诺（承诺期：成立三年以上的，为提交首次响应文件截止时间前三年内；成立不足三年的，为实际时间）：</w:t>
      </w:r>
    </w:p>
    <w:p w14:paraId="4584AB55">
      <w:pPr>
        <w:pStyle w:val="22"/>
        <w:adjustRightInd w:val="0"/>
        <w:snapToGrid w:val="0"/>
        <w:rPr>
          <w:rFonts w:hAnsi="宋体" w:cs="宋体"/>
          <w:color w:val="000000"/>
        </w:rPr>
      </w:pPr>
      <w:r>
        <w:rPr>
          <w:rFonts w:hint="eastAsia" w:hAnsi="宋体" w:cs="宋体"/>
          <w:color w:val="000000"/>
        </w:rPr>
        <w:t>1、我方依法缴纳了各项税费及各项社会保障资金，没有偷税、漏税及欠缴行为。</w:t>
      </w:r>
    </w:p>
    <w:p w14:paraId="2BA5B886">
      <w:pPr>
        <w:pStyle w:val="22"/>
        <w:adjustRightInd w:val="0"/>
        <w:snapToGrid w:val="0"/>
        <w:rPr>
          <w:rFonts w:hAnsi="宋体" w:cs="宋体"/>
          <w:color w:val="000000"/>
        </w:rPr>
      </w:pPr>
      <w:bookmarkStart w:id="250" w:name="_Toc24535"/>
      <w:bookmarkStart w:id="251" w:name="_Toc15284"/>
      <w:r>
        <w:rPr>
          <w:rFonts w:hint="eastAsia" w:hAnsi="宋体" w:cs="宋体"/>
          <w:color w:val="000000"/>
        </w:rPr>
        <w:t>2、我方在经营活动中没有存在下列重大违法记录：</w:t>
      </w:r>
      <w:bookmarkEnd w:id="250"/>
      <w:bookmarkEnd w:id="251"/>
    </w:p>
    <w:p w14:paraId="3DE230D6">
      <w:pPr>
        <w:pStyle w:val="22"/>
        <w:adjustRightInd w:val="0"/>
        <w:snapToGrid w:val="0"/>
        <w:rPr>
          <w:rFonts w:hAnsi="宋体" w:cs="宋体"/>
          <w:color w:val="000000"/>
        </w:rPr>
      </w:pPr>
      <w:r>
        <w:rPr>
          <w:rFonts w:hint="eastAsia" w:hAnsi="宋体" w:cs="宋体"/>
          <w:color w:val="000000"/>
        </w:rPr>
        <w:t>(1)受到刑事处罚；</w:t>
      </w:r>
    </w:p>
    <w:p w14:paraId="05874818">
      <w:pPr>
        <w:pStyle w:val="22"/>
        <w:adjustRightInd w:val="0"/>
        <w:snapToGrid w:val="0"/>
        <w:rPr>
          <w:rFonts w:hAnsi="宋体" w:cs="宋体"/>
          <w:color w:val="000000"/>
        </w:rPr>
      </w:pPr>
      <w:r>
        <w:rPr>
          <w:rFonts w:hint="eastAsia" w:hAnsi="宋体" w:cs="宋体"/>
          <w:color w:val="000000"/>
        </w:rPr>
        <w:t>(2)受到三万元以上的罚款、责令停产停业、在一至三年内禁止参加政府采购活动、暂扣或者吊销许可证、暂扣或者吊销执照的行政处罚。</w:t>
      </w:r>
    </w:p>
    <w:p w14:paraId="6865C05E">
      <w:pPr>
        <w:adjustRightInd w:val="0"/>
        <w:snapToGrid w:val="0"/>
        <w:rPr>
          <w:szCs w:val="21"/>
        </w:rPr>
      </w:pPr>
      <w:bookmarkStart w:id="252" w:name="_Toc31644"/>
      <w:bookmarkStart w:id="253" w:name="_Toc13548"/>
      <w:r>
        <w:rPr>
          <w:rFonts w:hint="eastAsia"/>
          <w:bCs/>
          <w:szCs w:val="21"/>
        </w:rPr>
        <w:t>附件1：</w:t>
      </w:r>
      <w:r>
        <w:rPr>
          <w:rFonts w:hint="eastAsia"/>
          <w:szCs w:val="21"/>
        </w:rPr>
        <w:t>法定代表人身份证明</w:t>
      </w:r>
      <w:bookmarkEnd w:id="252"/>
      <w:bookmarkEnd w:id="253"/>
    </w:p>
    <w:p w14:paraId="436F8B03">
      <w:pPr>
        <w:adjustRightInd w:val="0"/>
        <w:snapToGrid w:val="0"/>
      </w:pPr>
      <w:r>
        <w:rPr>
          <w:rFonts w:hint="eastAsia"/>
          <w:bCs/>
          <w:szCs w:val="21"/>
        </w:rPr>
        <w:t>附件2</w:t>
      </w:r>
      <w:r>
        <w:rPr>
          <w:rFonts w:hint="eastAsia"/>
          <w:szCs w:val="21"/>
        </w:rPr>
        <w:t>：法定代表人授权书</w:t>
      </w:r>
    </w:p>
    <w:p w14:paraId="34E36124">
      <w:pPr>
        <w:pStyle w:val="22"/>
        <w:adjustRightInd w:val="0"/>
        <w:snapToGrid w:val="0"/>
        <w:ind w:firstLine="444"/>
        <w:rPr>
          <w:rFonts w:hAnsi="宋体" w:cs="宋体"/>
          <w:kern w:val="21"/>
        </w:rPr>
      </w:pPr>
      <w:r>
        <w:rPr>
          <w:rFonts w:ascii="Times New Roman" w:hAnsi="Times New Roman" w:cs="Times New Roman"/>
          <w:spacing w:val="6"/>
          <w:kern w:val="21"/>
        </w:rPr>
        <w:t>供应商名称（盖单位公章）</w:t>
      </w:r>
      <w:r>
        <w:rPr>
          <w:rFonts w:hint="eastAsia" w:hAnsi="宋体" w:cs="宋体"/>
          <w:kern w:val="21"/>
        </w:rPr>
        <w:t>：</w:t>
      </w:r>
    </w:p>
    <w:p w14:paraId="78BF9E10">
      <w:pPr>
        <w:ind w:firstLine="412"/>
        <w:rPr>
          <w:szCs w:val="21"/>
        </w:rPr>
      </w:pPr>
      <w:r>
        <w:rPr>
          <w:rFonts w:hint="eastAsia" w:cs="微软雅黑"/>
          <w:spacing w:val="-2"/>
          <w:kern w:val="0"/>
          <w:szCs w:val="21"/>
        </w:rPr>
        <w:t>法</w:t>
      </w:r>
      <w:r>
        <w:rPr>
          <w:rFonts w:hint="eastAsia" w:cs="微软雅黑"/>
          <w:kern w:val="0"/>
          <w:szCs w:val="21"/>
        </w:rPr>
        <w:t>定</w:t>
      </w:r>
      <w:r>
        <w:rPr>
          <w:rFonts w:hint="eastAsia" w:cs="微软雅黑"/>
          <w:spacing w:val="-2"/>
          <w:kern w:val="0"/>
          <w:szCs w:val="21"/>
        </w:rPr>
        <w:t>代</w:t>
      </w:r>
      <w:r>
        <w:rPr>
          <w:rFonts w:hint="eastAsia" w:cs="微软雅黑"/>
          <w:kern w:val="0"/>
          <w:szCs w:val="21"/>
        </w:rPr>
        <w:t>表</w:t>
      </w:r>
      <w:r>
        <w:rPr>
          <w:rFonts w:hint="eastAsia" w:cs="微软雅黑"/>
          <w:spacing w:val="-2"/>
          <w:kern w:val="0"/>
          <w:szCs w:val="21"/>
        </w:rPr>
        <w:t>人</w:t>
      </w:r>
      <w:r>
        <w:rPr>
          <w:rFonts w:hint="eastAsia" w:cs="微软雅黑"/>
          <w:kern w:val="0"/>
          <w:szCs w:val="21"/>
        </w:rPr>
        <w:t>（</w:t>
      </w:r>
      <w:r>
        <w:rPr>
          <w:rFonts w:hint="eastAsia" w:cs="微软雅黑"/>
          <w:spacing w:val="-2"/>
          <w:kern w:val="0"/>
          <w:szCs w:val="21"/>
        </w:rPr>
        <w:t>单</w:t>
      </w:r>
      <w:r>
        <w:rPr>
          <w:rFonts w:hint="eastAsia" w:cs="微软雅黑"/>
          <w:kern w:val="0"/>
          <w:szCs w:val="21"/>
        </w:rPr>
        <w:t>位</w:t>
      </w:r>
      <w:r>
        <w:rPr>
          <w:rFonts w:hint="eastAsia" w:cs="微软雅黑"/>
          <w:spacing w:val="-2"/>
          <w:kern w:val="0"/>
          <w:szCs w:val="21"/>
        </w:rPr>
        <w:t>负</w:t>
      </w:r>
      <w:r>
        <w:rPr>
          <w:rFonts w:hint="eastAsia" w:cs="微软雅黑"/>
          <w:kern w:val="0"/>
          <w:szCs w:val="21"/>
        </w:rPr>
        <w:t>责人</w:t>
      </w:r>
      <w:r>
        <w:rPr>
          <w:rFonts w:hint="eastAsia" w:cs="微软雅黑"/>
          <w:spacing w:val="-2"/>
          <w:kern w:val="0"/>
          <w:szCs w:val="21"/>
        </w:rPr>
        <w:t>）</w:t>
      </w:r>
      <w:r>
        <w:rPr>
          <w:rFonts w:hint="eastAsia"/>
          <w:szCs w:val="21"/>
        </w:rPr>
        <w:t>或其委托代理人（签字或印章）：</w:t>
      </w:r>
    </w:p>
    <w:p w14:paraId="62581697">
      <w:pPr>
        <w:adjustRightInd w:val="0"/>
        <w:snapToGrid w:val="0"/>
      </w:pPr>
      <w:r>
        <w:rPr>
          <w:rFonts w:hint="eastAsia"/>
          <w:szCs w:val="21"/>
        </w:rPr>
        <w:t>日 期：年月日</w:t>
      </w:r>
    </w:p>
    <w:p w14:paraId="63838B8A">
      <w:pPr>
        <w:rPr>
          <w:rFonts w:ascii="Times New Roman" w:hAnsi="Times New Roman" w:cs="Times New Roman"/>
        </w:rPr>
      </w:pPr>
    </w:p>
    <w:p w14:paraId="64F04A78">
      <w:pPr>
        <w:rPr>
          <w:rFonts w:ascii="Times New Roman" w:hAnsi="Times New Roman" w:cs="Times New Roman"/>
        </w:rPr>
      </w:pPr>
    </w:p>
    <w:p w14:paraId="77061298">
      <w:pPr>
        <w:adjustRightInd w:val="0"/>
        <w:snapToGrid w:val="0"/>
        <w:ind w:right="24" w:firstLine="0" w:firstLineChars="0"/>
        <w:outlineLvl w:val="2"/>
        <w:rPr>
          <w:rFonts w:asciiTheme="majorEastAsia" w:hAnsiTheme="majorEastAsia" w:eastAsiaTheme="majorEastAsia" w:cstheme="majorEastAsia"/>
          <w:b/>
          <w:szCs w:val="21"/>
        </w:rPr>
      </w:pPr>
      <w:bookmarkStart w:id="254" w:name="_Toc502"/>
      <w:bookmarkStart w:id="255" w:name="_Toc4603"/>
      <w:bookmarkStart w:id="256" w:name="_Toc14385"/>
      <w:bookmarkStart w:id="257" w:name="_Toc3495"/>
      <w:bookmarkStart w:id="258" w:name="_Toc9624"/>
      <w:r>
        <w:rPr>
          <w:rFonts w:hint="eastAsia" w:asciiTheme="majorEastAsia" w:hAnsiTheme="majorEastAsia" w:eastAsiaTheme="majorEastAsia" w:cstheme="majorEastAsia"/>
          <w:b/>
          <w:szCs w:val="21"/>
        </w:rPr>
        <w:t>附件1</w:t>
      </w:r>
      <w:bookmarkEnd w:id="254"/>
      <w:bookmarkEnd w:id="255"/>
      <w:bookmarkEnd w:id="256"/>
      <w:r>
        <w:rPr>
          <w:rFonts w:hint="eastAsia" w:asciiTheme="majorEastAsia" w:hAnsiTheme="majorEastAsia" w:eastAsiaTheme="majorEastAsia" w:cstheme="majorEastAsia"/>
          <w:b/>
          <w:szCs w:val="21"/>
        </w:rPr>
        <w:t>-1 法定代表人（单位负责人）身份证明</w:t>
      </w:r>
      <w:bookmarkEnd w:id="257"/>
      <w:bookmarkEnd w:id="258"/>
    </w:p>
    <w:p w14:paraId="20FBEA87">
      <w:pPr>
        <w:adjustRightInd w:val="0"/>
        <w:snapToGrid w:val="0"/>
        <w:ind w:right="24"/>
        <w:rPr>
          <w:rFonts w:asciiTheme="majorEastAsia" w:hAnsiTheme="majorEastAsia" w:eastAsiaTheme="majorEastAsia" w:cstheme="majorEastAsia"/>
          <w:bCs/>
          <w:szCs w:val="21"/>
        </w:rPr>
      </w:pPr>
    </w:p>
    <w:p w14:paraId="3229CDBA">
      <w:pPr>
        <w:ind w:firstLine="562"/>
        <w:jc w:val="center"/>
        <w:rPr>
          <w:rFonts w:ascii="Times New Roman" w:hAnsi="Times New Roman" w:eastAsia="黑体" w:cs="Times New Roman"/>
          <w:b/>
          <w:sz w:val="28"/>
          <w:szCs w:val="28"/>
        </w:rPr>
      </w:pPr>
      <w:r>
        <w:rPr>
          <w:rFonts w:ascii="Times New Roman" w:hAnsi="Times New Roman" w:eastAsia="黑体" w:cs="Times New Roman"/>
          <w:b/>
          <w:sz w:val="28"/>
          <w:szCs w:val="28"/>
        </w:rPr>
        <w:t>法定代表人（单位负责人）身份证明</w:t>
      </w:r>
    </w:p>
    <w:p w14:paraId="795BB9BD">
      <w:pPr>
        <w:tabs>
          <w:tab w:val="left" w:pos="3880"/>
        </w:tabs>
        <w:autoSpaceDE w:val="0"/>
        <w:autoSpaceDN w:val="0"/>
        <w:adjustRightInd w:val="0"/>
        <w:snapToGrid w:val="0"/>
        <w:ind w:left="100" w:right="-20"/>
        <w:jc w:val="left"/>
        <w:rPr>
          <w:rFonts w:ascii="Times New Roman" w:hAnsi="Times New Roman" w:cs="Times New Roman"/>
          <w:kern w:val="0"/>
          <w:szCs w:val="21"/>
        </w:rPr>
      </w:pPr>
      <w:r>
        <w:rPr>
          <w:rFonts w:ascii="Times New Roman" w:hAnsi="Times New Roman" w:cs="Times New Roman"/>
          <w:kern w:val="0"/>
          <w:position w:val="-4"/>
          <w:szCs w:val="21"/>
        </w:rPr>
        <w:t>供应商名</w:t>
      </w:r>
      <w:r>
        <w:rPr>
          <w:rFonts w:ascii="Times New Roman" w:hAnsi="Times New Roman" w:cs="Times New Roman"/>
          <w:spacing w:val="-2"/>
          <w:kern w:val="0"/>
          <w:position w:val="-4"/>
          <w:szCs w:val="21"/>
        </w:rPr>
        <w:t>称</w:t>
      </w:r>
      <w:r>
        <w:rPr>
          <w:rFonts w:ascii="Times New Roman" w:hAnsi="Times New Roman" w:cs="Times New Roman"/>
          <w:kern w:val="0"/>
          <w:position w:val="-4"/>
          <w:szCs w:val="21"/>
        </w:rPr>
        <w:t>：</w:t>
      </w:r>
    </w:p>
    <w:p w14:paraId="47DF2512">
      <w:pPr>
        <w:tabs>
          <w:tab w:val="left" w:pos="2400"/>
          <w:tab w:val="left" w:pos="3880"/>
          <w:tab w:val="left" w:pos="5340"/>
          <w:tab w:val="left" w:pos="6820"/>
        </w:tabs>
        <w:autoSpaceDE w:val="0"/>
        <w:autoSpaceDN w:val="0"/>
        <w:adjustRightInd w:val="0"/>
        <w:snapToGrid w:val="0"/>
        <w:ind w:left="100" w:right="-20"/>
        <w:jc w:val="left"/>
        <w:rPr>
          <w:rFonts w:ascii="Times New Roman" w:hAnsi="Times New Roman" w:cs="Times New Roman"/>
          <w:kern w:val="0"/>
          <w:position w:val="-2"/>
          <w:szCs w:val="21"/>
        </w:rPr>
      </w:pPr>
      <w:r>
        <w:rPr>
          <w:rFonts w:ascii="Times New Roman" w:hAnsi="Times New Roman" w:cs="Times New Roman"/>
          <w:kern w:val="0"/>
          <w:position w:val="-2"/>
          <w:szCs w:val="21"/>
        </w:rPr>
        <w:t>统一社会信用代码：</w:t>
      </w:r>
    </w:p>
    <w:p w14:paraId="2976DE4F">
      <w:pPr>
        <w:tabs>
          <w:tab w:val="left" w:pos="2400"/>
          <w:tab w:val="left" w:pos="3880"/>
          <w:tab w:val="left" w:pos="5340"/>
          <w:tab w:val="left" w:pos="6820"/>
        </w:tabs>
        <w:autoSpaceDE w:val="0"/>
        <w:autoSpaceDN w:val="0"/>
        <w:adjustRightInd w:val="0"/>
        <w:snapToGrid w:val="0"/>
        <w:ind w:left="100" w:right="-20"/>
        <w:jc w:val="left"/>
        <w:rPr>
          <w:rFonts w:ascii="Times New Roman" w:hAnsi="Times New Roman" w:cs="Times New Roman"/>
          <w:kern w:val="0"/>
          <w:position w:val="-2"/>
          <w:szCs w:val="21"/>
        </w:rPr>
      </w:pPr>
      <w:r>
        <w:rPr>
          <w:rFonts w:ascii="Times New Roman" w:hAnsi="Times New Roman" w:cs="Times New Roman"/>
          <w:kern w:val="0"/>
          <w:position w:val="-2"/>
          <w:szCs w:val="21"/>
        </w:rPr>
        <w:t>注册地址：</w:t>
      </w:r>
    </w:p>
    <w:p w14:paraId="7023A50D">
      <w:pPr>
        <w:tabs>
          <w:tab w:val="left" w:pos="2400"/>
          <w:tab w:val="left" w:pos="3880"/>
          <w:tab w:val="left" w:pos="5340"/>
          <w:tab w:val="left" w:pos="6820"/>
        </w:tabs>
        <w:autoSpaceDE w:val="0"/>
        <w:autoSpaceDN w:val="0"/>
        <w:adjustRightInd w:val="0"/>
        <w:snapToGrid w:val="0"/>
        <w:ind w:left="102" w:right="-23"/>
        <w:jc w:val="left"/>
        <w:rPr>
          <w:rFonts w:ascii="Times New Roman" w:hAnsi="Times New Roman" w:cs="Times New Roman"/>
          <w:kern w:val="0"/>
          <w:szCs w:val="21"/>
        </w:rPr>
      </w:pPr>
      <w:r>
        <w:rPr>
          <w:rFonts w:ascii="Times New Roman" w:hAnsi="Times New Roman" w:cs="Times New Roman"/>
          <w:kern w:val="0"/>
          <w:position w:val="-2"/>
          <w:szCs w:val="21"/>
        </w:rPr>
        <w:t>姓名</w:t>
      </w:r>
      <w:r>
        <w:rPr>
          <w:rFonts w:ascii="Times New Roman" w:hAnsi="Times New Roman" w:cs="Times New Roman"/>
          <w:spacing w:val="-2"/>
          <w:kern w:val="0"/>
          <w:position w:val="-2"/>
          <w:szCs w:val="21"/>
        </w:rPr>
        <w:t>：</w:t>
      </w:r>
      <w:r>
        <w:rPr>
          <w:rFonts w:ascii="Times New Roman" w:hAnsi="Times New Roman" w:cs="Times New Roman"/>
          <w:kern w:val="0"/>
          <w:position w:val="-2"/>
          <w:szCs w:val="21"/>
        </w:rPr>
        <w:t>性别</w:t>
      </w:r>
      <w:r>
        <w:rPr>
          <w:rFonts w:ascii="Times New Roman" w:hAnsi="Times New Roman" w:cs="Times New Roman"/>
          <w:spacing w:val="-2"/>
          <w:kern w:val="0"/>
          <w:position w:val="-2"/>
          <w:szCs w:val="21"/>
        </w:rPr>
        <w:t>：</w:t>
      </w:r>
      <w:r>
        <w:rPr>
          <w:rFonts w:ascii="Times New Roman" w:hAnsi="Times New Roman" w:cs="Times New Roman"/>
          <w:kern w:val="0"/>
          <w:position w:val="-2"/>
          <w:szCs w:val="21"/>
        </w:rPr>
        <w:t>年</w:t>
      </w:r>
      <w:r>
        <w:rPr>
          <w:rFonts w:ascii="Times New Roman" w:hAnsi="Times New Roman" w:cs="Times New Roman"/>
          <w:spacing w:val="-2"/>
          <w:kern w:val="0"/>
          <w:position w:val="-2"/>
          <w:szCs w:val="21"/>
        </w:rPr>
        <w:t>龄</w:t>
      </w:r>
      <w:r>
        <w:rPr>
          <w:rFonts w:ascii="Times New Roman" w:hAnsi="Times New Roman" w:cs="Times New Roman"/>
          <w:kern w:val="0"/>
          <w:position w:val="-2"/>
          <w:szCs w:val="21"/>
        </w:rPr>
        <w:t>：   职</w:t>
      </w:r>
      <w:r>
        <w:rPr>
          <w:rFonts w:ascii="Times New Roman" w:hAnsi="Times New Roman" w:cs="Times New Roman"/>
          <w:spacing w:val="-2"/>
          <w:kern w:val="0"/>
          <w:position w:val="-2"/>
          <w:szCs w:val="21"/>
        </w:rPr>
        <w:t>务</w:t>
      </w:r>
      <w:r>
        <w:rPr>
          <w:rFonts w:ascii="Times New Roman" w:hAnsi="Times New Roman" w:cs="Times New Roman"/>
          <w:kern w:val="0"/>
          <w:position w:val="-2"/>
          <w:szCs w:val="21"/>
        </w:rPr>
        <w:t>：    系</w:t>
      </w:r>
      <w:r>
        <w:rPr>
          <w:rFonts w:ascii="Times New Roman" w:hAnsi="Times New Roman" w:cs="Times New Roman"/>
          <w:spacing w:val="-2"/>
          <w:kern w:val="0"/>
          <w:position w:val="-2"/>
          <w:szCs w:val="21"/>
        </w:rPr>
        <w:t>（</w:t>
      </w:r>
      <w:r>
        <w:rPr>
          <w:rFonts w:ascii="Times New Roman" w:hAnsi="Times New Roman" w:cs="Times New Roman"/>
          <w:kern w:val="0"/>
          <w:position w:val="-2"/>
          <w:szCs w:val="21"/>
        </w:rPr>
        <w:t>供应商</w:t>
      </w:r>
      <w:r>
        <w:rPr>
          <w:rFonts w:ascii="Times New Roman" w:hAnsi="Times New Roman" w:cs="Times New Roman"/>
          <w:spacing w:val="-2"/>
          <w:kern w:val="0"/>
          <w:position w:val="-2"/>
          <w:szCs w:val="21"/>
        </w:rPr>
        <w:t>名</w:t>
      </w:r>
      <w:r>
        <w:rPr>
          <w:rFonts w:ascii="Times New Roman" w:hAnsi="Times New Roman" w:cs="Times New Roman"/>
          <w:kern w:val="0"/>
          <w:position w:val="-2"/>
          <w:szCs w:val="21"/>
        </w:rPr>
        <w:t>称</w:t>
      </w:r>
      <w:r>
        <w:rPr>
          <w:rFonts w:ascii="Times New Roman" w:hAnsi="Times New Roman" w:cs="Times New Roman"/>
          <w:spacing w:val="-2"/>
          <w:kern w:val="0"/>
          <w:position w:val="-2"/>
          <w:szCs w:val="21"/>
        </w:rPr>
        <w:t>）</w:t>
      </w:r>
      <w:r>
        <w:rPr>
          <w:rFonts w:ascii="Times New Roman" w:hAnsi="Times New Roman" w:cs="Times New Roman"/>
          <w:kern w:val="0"/>
          <w:position w:val="-2"/>
          <w:szCs w:val="21"/>
        </w:rPr>
        <w:t>的</w:t>
      </w:r>
      <w:r>
        <w:rPr>
          <w:rFonts w:ascii="Times New Roman" w:hAnsi="Times New Roman" w:cs="Times New Roman"/>
          <w:spacing w:val="-2"/>
          <w:kern w:val="0"/>
          <w:position w:val="-2"/>
          <w:szCs w:val="21"/>
        </w:rPr>
        <w:t>法定</w:t>
      </w:r>
      <w:r>
        <w:rPr>
          <w:rFonts w:ascii="Times New Roman" w:hAnsi="Times New Roman" w:cs="Times New Roman"/>
          <w:kern w:val="0"/>
          <w:position w:val="-2"/>
          <w:szCs w:val="21"/>
        </w:rPr>
        <w:t>代表</w:t>
      </w:r>
      <w:r>
        <w:rPr>
          <w:rFonts w:ascii="Times New Roman" w:hAnsi="Times New Roman" w:cs="Times New Roman"/>
          <w:spacing w:val="-2"/>
          <w:kern w:val="0"/>
          <w:position w:val="-2"/>
          <w:szCs w:val="21"/>
        </w:rPr>
        <w:t>人</w:t>
      </w:r>
      <w:r>
        <w:rPr>
          <w:rFonts w:ascii="Times New Roman" w:hAnsi="Times New Roman" w:cs="Times New Roman"/>
          <w:kern w:val="0"/>
          <w:position w:val="-2"/>
          <w:szCs w:val="21"/>
        </w:rPr>
        <w:t>（</w:t>
      </w:r>
      <w:r>
        <w:rPr>
          <w:rFonts w:ascii="Times New Roman" w:hAnsi="Times New Roman" w:cs="Times New Roman"/>
          <w:spacing w:val="-2"/>
          <w:kern w:val="0"/>
          <w:position w:val="-2"/>
          <w:szCs w:val="21"/>
        </w:rPr>
        <w:t>单</w:t>
      </w:r>
      <w:r>
        <w:rPr>
          <w:rFonts w:ascii="Times New Roman" w:hAnsi="Times New Roman" w:cs="Times New Roman"/>
          <w:kern w:val="0"/>
          <w:position w:val="-2"/>
          <w:szCs w:val="21"/>
        </w:rPr>
        <w:t>位</w:t>
      </w:r>
      <w:r>
        <w:rPr>
          <w:rFonts w:ascii="Times New Roman" w:hAnsi="Times New Roman" w:cs="Times New Roman"/>
          <w:spacing w:val="-2"/>
          <w:kern w:val="0"/>
          <w:position w:val="-2"/>
          <w:szCs w:val="21"/>
        </w:rPr>
        <w:t>负</w:t>
      </w:r>
      <w:r>
        <w:rPr>
          <w:rFonts w:ascii="Times New Roman" w:hAnsi="Times New Roman" w:cs="Times New Roman"/>
          <w:kern w:val="0"/>
          <w:position w:val="-2"/>
          <w:szCs w:val="21"/>
        </w:rPr>
        <w:t>责</w:t>
      </w:r>
      <w:r>
        <w:rPr>
          <w:rFonts w:ascii="Times New Roman" w:hAnsi="Times New Roman" w:cs="Times New Roman"/>
          <w:spacing w:val="-2"/>
          <w:kern w:val="0"/>
          <w:position w:val="-2"/>
          <w:szCs w:val="21"/>
        </w:rPr>
        <w:t>人</w:t>
      </w:r>
      <w:r>
        <w:rPr>
          <w:rFonts w:ascii="Times New Roman" w:hAnsi="Times New Roman" w:cs="Times New Roman"/>
          <w:spacing w:val="-106"/>
          <w:kern w:val="0"/>
          <w:position w:val="-2"/>
          <w:szCs w:val="21"/>
        </w:rPr>
        <w:t>）</w:t>
      </w:r>
      <w:r>
        <w:rPr>
          <w:rFonts w:ascii="Times New Roman" w:hAnsi="Times New Roman" w:cs="Times New Roman"/>
          <w:kern w:val="0"/>
          <w:position w:val="-2"/>
          <w:szCs w:val="21"/>
        </w:rPr>
        <w:t>。</w:t>
      </w:r>
    </w:p>
    <w:p w14:paraId="57298E76">
      <w:pPr>
        <w:autoSpaceDE w:val="0"/>
        <w:autoSpaceDN w:val="0"/>
        <w:adjustRightInd w:val="0"/>
        <w:snapToGrid w:val="0"/>
        <w:ind w:left="520" w:right="-20"/>
        <w:jc w:val="left"/>
        <w:rPr>
          <w:rFonts w:ascii="Times New Roman" w:hAnsi="Times New Roman" w:cs="Times New Roman"/>
          <w:kern w:val="0"/>
          <w:szCs w:val="21"/>
        </w:rPr>
      </w:pPr>
      <w:r>
        <w:rPr>
          <w:rFonts w:ascii="Times New Roman" w:hAnsi="Times New Roman" w:cs="Times New Roman"/>
          <w:kern w:val="0"/>
          <w:szCs w:val="21"/>
        </w:rPr>
        <w:t>特此</w:t>
      </w:r>
      <w:r>
        <w:rPr>
          <w:rFonts w:ascii="Times New Roman" w:hAnsi="Times New Roman" w:cs="Times New Roman"/>
          <w:spacing w:val="-2"/>
          <w:kern w:val="0"/>
          <w:szCs w:val="21"/>
        </w:rPr>
        <w:t>证</w:t>
      </w:r>
      <w:r>
        <w:rPr>
          <w:rFonts w:ascii="Times New Roman" w:hAnsi="Times New Roman" w:cs="Times New Roman"/>
          <w:kern w:val="0"/>
          <w:szCs w:val="21"/>
        </w:rPr>
        <w:t>明。</w:t>
      </w:r>
    </w:p>
    <w:p w14:paraId="18DFB8D8">
      <w:pPr>
        <w:autoSpaceDE w:val="0"/>
        <w:autoSpaceDN w:val="0"/>
        <w:adjustRightInd w:val="0"/>
        <w:snapToGrid w:val="0"/>
        <w:ind w:left="100" w:right="4231"/>
        <w:jc w:val="left"/>
        <w:rPr>
          <w:rFonts w:ascii="Times New Roman" w:hAnsi="Times New Roman" w:cs="Times New Roman"/>
          <w:kern w:val="0"/>
          <w:szCs w:val="21"/>
        </w:rPr>
      </w:pPr>
      <w:r>
        <w:rPr>
          <w:rFonts w:ascii="Times New Roman" w:hAnsi="Times New Roman" w:cs="Times New Roman"/>
          <w:kern w:val="0"/>
          <w:szCs w:val="21"/>
        </w:rPr>
        <w:t>附：</w:t>
      </w:r>
      <w:r>
        <w:rPr>
          <w:rFonts w:ascii="Times New Roman" w:hAnsi="Times New Roman" w:cs="Times New Roman"/>
          <w:spacing w:val="-2"/>
          <w:kern w:val="0"/>
          <w:szCs w:val="21"/>
        </w:rPr>
        <w:t>法</w:t>
      </w:r>
      <w:r>
        <w:rPr>
          <w:rFonts w:ascii="Times New Roman" w:hAnsi="Times New Roman" w:cs="Times New Roman"/>
          <w:kern w:val="0"/>
          <w:szCs w:val="21"/>
        </w:rPr>
        <w:t>定</w:t>
      </w:r>
      <w:r>
        <w:rPr>
          <w:rFonts w:ascii="Times New Roman" w:hAnsi="Times New Roman" w:cs="Times New Roman"/>
          <w:spacing w:val="-2"/>
          <w:kern w:val="0"/>
          <w:szCs w:val="21"/>
        </w:rPr>
        <w:t>代</w:t>
      </w:r>
      <w:r>
        <w:rPr>
          <w:rFonts w:ascii="Times New Roman" w:hAnsi="Times New Roman" w:cs="Times New Roman"/>
          <w:kern w:val="0"/>
          <w:szCs w:val="21"/>
        </w:rPr>
        <w:t>表</w:t>
      </w:r>
      <w:r>
        <w:rPr>
          <w:rFonts w:ascii="Times New Roman" w:hAnsi="Times New Roman" w:cs="Times New Roman"/>
          <w:spacing w:val="-2"/>
          <w:kern w:val="0"/>
          <w:szCs w:val="21"/>
        </w:rPr>
        <w:t>人</w:t>
      </w:r>
      <w:r>
        <w:rPr>
          <w:rFonts w:ascii="Times New Roman" w:hAnsi="Times New Roman" w:cs="Times New Roman"/>
          <w:kern w:val="0"/>
          <w:szCs w:val="21"/>
        </w:rPr>
        <w:t>（</w:t>
      </w:r>
      <w:r>
        <w:rPr>
          <w:rFonts w:ascii="Times New Roman" w:hAnsi="Times New Roman" w:cs="Times New Roman"/>
          <w:spacing w:val="-2"/>
          <w:kern w:val="0"/>
          <w:szCs w:val="21"/>
        </w:rPr>
        <w:t>单</w:t>
      </w:r>
      <w:r>
        <w:rPr>
          <w:rFonts w:ascii="Times New Roman" w:hAnsi="Times New Roman" w:cs="Times New Roman"/>
          <w:kern w:val="0"/>
          <w:szCs w:val="21"/>
        </w:rPr>
        <w:t>位</w:t>
      </w:r>
      <w:r>
        <w:rPr>
          <w:rFonts w:ascii="Times New Roman" w:hAnsi="Times New Roman" w:cs="Times New Roman"/>
          <w:spacing w:val="-2"/>
          <w:kern w:val="0"/>
          <w:szCs w:val="21"/>
        </w:rPr>
        <w:t>负</w:t>
      </w:r>
      <w:r>
        <w:rPr>
          <w:rFonts w:ascii="Times New Roman" w:hAnsi="Times New Roman" w:cs="Times New Roman"/>
          <w:kern w:val="0"/>
          <w:szCs w:val="21"/>
        </w:rPr>
        <w:t>责人</w:t>
      </w:r>
      <w:r>
        <w:rPr>
          <w:rFonts w:ascii="Times New Roman" w:hAnsi="Times New Roman" w:cs="Times New Roman"/>
          <w:spacing w:val="-2"/>
          <w:kern w:val="0"/>
          <w:szCs w:val="21"/>
        </w:rPr>
        <w:t>）</w:t>
      </w:r>
      <w:r>
        <w:rPr>
          <w:rFonts w:ascii="Times New Roman" w:hAnsi="Times New Roman" w:cs="Times New Roman"/>
          <w:kern w:val="0"/>
          <w:szCs w:val="21"/>
        </w:rPr>
        <w:t>身</w:t>
      </w:r>
      <w:r>
        <w:rPr>
          <w:rFonts w:ascii="Times New Roman" w:hAnsi="Times New Roman" w:cs="Times New Roman"/>
          <w:spacing w:val="-2"/>
          <w:kern w:val="0"/>
          <w:szCs w:val="21"/>
        </w:rPr>
        <w:t>份</w:t>
      </w:r>
      <w:r>
        <w:rPr>
          <w:rFonts w:ascii="Times New Roman" w:hAnsi="Times New Roman" w:cs="Times New Roman"/>
          <w:kern w:val="0"/>
          <w:szCs w:val="21"/>
        </w:rPr>
        <w:t>证</w:t>
      </w:r>
      <w:r>
        <w:rPr>
          <w:rFonts w:ascii="Times New Roman" w:hAnsi="Times New Roman" w:cs="Times New Roman"/>
          <w:spacing w:val="-2"/>
          <w:kern w:val="0"/>
          <w:szCs w:val="21"/>
        </w:rPr>
        <w:t>原件</w:t>
      </w:r>
      <w:r>
        <w:rPr>
          <w:rFonts w:hint="eastAsia" w:ascii="Times New Roman" w:hAnsi="Times New Roman" w:cs="Times New Roman"/>
          <w:spacing w:val="-2"/>
          <w:kern w:val="0"/>
          <w:szCs w:val="21"/>
        </w:rPr>
        <w:t>复印件</w:t>
      </w:r>
      <w:r>
        <w:rPr>
          <w:rFonts w:ascii="Times New Roman" w:hAnsi="Times New Roman" w:cs="Times New Roman"/>
          <w:kern w:val="0"/>
          <w:szCs w:val="21"/>
        </w:rPr>
        <w:t>。</w:t>
      </w:r>
    </w:p>
    <w:tbl>
      <w:tblPr>
        <w:tblStyle w:val="45"/>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4324"/>
      </w:tblGrid>
      <w:tr w14:paraId="7527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3" w:type="dxa"/>
            <w:vAlign w:val="center"/>
          </w:tcPr>
          <w:p w14:paraId="20502B3B">
            <w:pPr>
              <w:adjustRightInd w:val="0"/>
              <w:snapToGrid w:val="0"/>
              <w:jc w:val="center"/>
              <w:rPr>
                <w:rFonts w:ascii="Times New Roman" w:hAnsi="Times New Roman" w:cs="Times New Roman"/>
                <w:szCs w:val="21"/>
              </w:rPr>
            </w:pPr>
            <w:r>
              <w:rPr>
                <w:rFonts w:ascii="Times New Roman" w:hAnsi="Times New Roman" w:cs="Times New Roman"/>
                <w:szCs w:val="21"/>
              </w:rPr>
              <w:t>身份证（正面）</w:t>
            </w:r>
          </w:p>
        </w:tc>
        <w:tc>
          <w:tcPr>
            <w:tcW w:w="4324" w:type="dxa"/>
            <w:vAlign w:val="center"/>
          </w:tcPr>
          <w:p w14:paraId="29CDBC05">
            <w:pPr>
              <w:adjustRightInd w:val="0"/>
              <w:snapToGrid w:val="0"/>
              <w:jc w:val="center"/>
              <w:rPr>
                <w:rFonts w:ascii="Times New Roman" w:hAnsi="Times New Roman" w:cs="Times New Roman"/>
                <w:szCs w:val="21"/>
              </w:rPr>
            </w:pPr>
            <w:r>
              <w:rPr>
                <w:rFonts w:ascii="Times New Roman" w:hAnsi="Times New Roman" w:cs="Times New Roman"/>
                <w:szCs w:val="21"/>
              </w:rPr>
              <w:t>身份证（反面）</w:t>
            </w:r>
          </w:p>
        </w:tc>
      </w:tr>
    </w:tbl>
    <w:p w14:paraId="12CEBDE8">
      <w:pPr>
        <w:adjustRightInd w:val="0"/>
        <w:snapToGrid w:val="0"/>
        <w:ind w:firstLine="210" w:firstLineChars="100"/>
        <w:rPr>
          <w:rFonts w:ascii="Times New Roman" w:hAnsi="Times New Roman" w:cs="Times New Roman"/>
          <w:szCs w:val="21"/>
        </w:rPr>
      </w:pPr>
      <w:r>
        <w:rPr>
          <w:rFonts w:ascii="Times New Roman" w:hAnsi="Times New Roman" w:cs="Times New Roman"/>
          <w:szCs w:val="21"/>
        </w:rPr>
        <w:t>注：供应商代表为法定代表人（单位负责人）的提供。自然人投标的无需提供。</w:t>
      </w:r>
    </w:p>
    <w:p w14:paraId="5BFAADA5">
      <w:pPr>
        <w:adjustRightInd w:val="0"/>
        <w:snapToGrid w:val="0"/>
        <w:rPr>
          <w:rFonts w:ascii="Times New Roman" w:hAnsi="Times New Roman" w:cs="Times New Roman"/>
          <w:szCs w:val="21"/>
        </w:rPr>
      </w:pPr>
    </w:p>
    <w:p w14:paraId="288608B1">
      <w:pPr>
        <w:adjustRightInd w:val="0"/>
        <w:snapToGrid w:val="0"/>
        <w:rPr>
          <w:rFonts w:ascii="Times New Roman" w:hAnsi="Times New Roman" w:cs="Times New Roman"/>
          <w:szCs w:val="21"/>
        </w:rPr>
      </w:pPr>
    </w:p>
    <w:p w14:paraId="6C61BA6F">
      <w:pPr>
        <w:adjustRightInd w:val="0"/>
        <w:snapToGrid w:val="0"/>
        <w:ind w:firstLine="444"/>
        <w:rPr>
          <w:rFonts w:ascii="Times New Roman" w:hAnsi="Times New Roman" w:cs="Times New Roman"/>
          <w:szCs w:val="21"/>
        </w:rPr>
      </w:pPr>
      <w:r>
        <w:rPr>
          <w:rFonts w:ascii="Times New Roman" w:hAnsi="Times New Roman" w:cs="Times New Roman"/>
          <w:spacing w:val="6"/>
          <w:kern w:val="0"/>
          <w:szCs w:val="21"/>
        </w:rPr>
        <w:t>供应商名称（盖单位公章）</w:t>
      </w:r>
      <w:r>
        <w:rPr>
          <w:rFonts w:ascii="Times New Roman" w:hAnsi="Times New Roman" w:cs="Times New Roman"/>
          <w:szCs w:val="21"/>
        </w:rPr>
        <w:t>：</w:t>
      </w:r>
    </w:p>
    <w:p w14:paraId="5E0AAC10">
      <w:pPr>
        <w:adjustRightInd w:val="0"/>
        <w:snapToGrid w:val="0"/>
        <w:ind w:right="420"/>
        <w:rPr>
          <w:rFonts w:ascii="Times New Roman" w:hAnsi="Times New Roman" w:cs="Times New Roman"/>
          <w:szCs w:val="21"/>
        </w:rPr>
      </w:pPr>
      <w:r>
        <w:rPr>
          <w:rFonts w:ascii="Times New Roman" w:hAnsi="Times New Roman" w:cs="Times New Roman"/>
          <w:szCs w:val="21"/>
        </w:rPr>
        <w:t>日期：年月日</w:t>
      </w:r>
    </w:p>
    <w:p w14:paraId="287C93AE">
      <w:pPr>
        <w:snapToGrid w:val="0"/>
        <w:spacing w:line="480" w:lineRule="auto"/>
        <w:rPr>
          <w:rFonts w:ascii="Times New Roman" w:hAnsi="Times New Roman" w:cs="Times New Roman"/>
          <w:szCs w:val="21"/>
        </w:rPr>
      </w:pPr>
    </w:p>
    <w:p w14:paraId="6C481164">
      <w:pPr>
        <w:snapToGrid w:val="0"/>
        <w:rPr>
          <w:rFonts w:ascii="Times New Roman" w:hAnsi="Times New Roman" w:cs="Times New Roman"/>
          <w:szCs w:val="21"/>
        </w:rPr>
      </w:pPr>
    </w:p>
    <w:p w14:paraId="7B2DB50C">
      <w:pPr>
        <w:snapToGrid w:val="0"/>
        <w:rPr>
          <w:rFonts w:ascii="Times New Roman" w:hAnsi="Times New Roman" w:cs="Times New Roman"/>
          <w:szCs w:val="21"/>
        </w:rPr>
      </w:pPr>
    </w:p>
    <w:p w14:paraId="09DDD936">
      <w:pPr>
        <w:snapToGrid w:val="0"/>
        <w:rPr>
          <w:rFonts w:ascii="Times New Roman" w:hAnsi="Times New Roman" w:cs="Times New Roman"/>
          <w:szCs w:val="21"/>
        </w:rPr>
      </w:pPr>
    </w:p>
    <w:p w14:paraId="4D473625">
      <w:pPr>
        <w:snapToGrid w:val="0"/>
        <w:rPr>
          <w:rFonts w:ascii="Times New Roman" w:hAnsi="Times New Roman" w:cs="Times New Roman"/>
          <w:szCs w:val="21"/>
        </w:rPr>
      </w:pPr>
    </w:p>
    <w:p w14:paraId="189CCC66">
      <w:pPr>
        <w:rPr>
          <w:rFonts w:ascii="Times New Roman" w:hAnsi="Times New Roman" w:cs="Times New Roman"/>
        </w:rPr>
      </w:pPr>
    </w:p>
    <w:p w14:paraId="7C1CD039">
      <w:pPr>
        <w:rPr>
          <w:rFonts w:ascii="Times New Roman" w:hAnsi="Times New Roman" w:cs="Times New Roman"/>
        </w:rPr>
      </w:pPr>
    </w:p>
    <w:p w14:paraId="14218A85">
      <w:pPr>
        <w:rPr>
          <w:rFonts w:ascii="Times New Roman" w:hAnsi="Times New Roman" w:cs="Times New Roman"/>
        </w:rPr>
      </w:pPr>
    </w:p>
    <w:p w14:paraId="379DF121">
      <w:pPr>
        <w:rPr>
          <w:rFonts w:ascii="Times New Roman" w:hAnsi="Times New Roman" w:cs="Times New Roman"/>
        </w:rPr>
      </w:pPr>
    </w:p>
    <w:p w14:paraId="17CDE21D">
      <w:pPr>
        <w:rPr>
          <w:rFonts w:ascii="Times New Roman" w:hAnsi="Times New Roman" w:cs="Times New Roman"/>
        </w:rPr>
      </w:pPr>
    </w:p>
    <w:p w14:paraId="25D99138">
      <w:pPr>
        <w:rPr>
          <w:rFonts w:ascii="Times New Roman" w:hAnsi="Times New Roman" w:cs="Times New Roman"/>
        </w:rPr>
      </w:pPr>
    </w:p>
    <w:p w14:paraId="629E938E">
      <w:pPr>
        <w:rPr>
          <w:rFonts w:ascii="Times New Roman" w:hAnsi="Times New Roman" w:cs="Times New Roman"/>
        </w:rPr>
      </w:pPr>
    </w:p>
    <w:p w14:paraId="59B11BD0">
      <w:pPr>
        <w:rPr>
          <w:rFonts w:ascii="Times New Roman" w:hAnsi="Times New Roman" w:cs="Times New Roman"/>
        </w:rPr>
      </w:pPr>
    </w:p>
    <w:p w14:paraId="436B15B5">
      <w:pPr>
        <w:rPr>
          <w:rFonts w:ascii="Times New Roman" w:hAnsi="Times New Roman" w:cs="Times New Roman"/>
        </w:rPr>
      </w:pPr>
    </w:p>
    <w:p w14:paraId="6C639619">
      <w:pPr>
        <w:rPr>
          <w:rFonts w:ascii="Times New Roman" w:hAnsi="Times New Roman" w:cs="Times New Roman"/>
        </w:rPr>
      </w:pPr>
    </w:p>
    <w:p w14:paraId="00965DB1">
      <w:pPr>
        <w:ind w:firstLine="600"/>
        <w:rPr>
          <w:rFonts w:ascii="Times New Roman" w:hAnsi="Times New Roman" w:eastAsia="黑体" w:cs="Times New Roman"/>
          <w:bCs/>
          <w:sz w:val="30"/>
          <w:szCs w:val="30"/>
        </w:rPr>
      </w:pPr>
      <w:bookmarkStart w:id="259" w:name="_Toc13048"/>
      <w:r>
        <w:rPr>
          <w:rFonts w:ascii="Times New Roman" w:hAnsi="Times New Roman" w:eastAsia="黑体" w:cs="Times New Roman"/>
          <w:bCs/>
          <w:sz w:val="30"/>
          <w:szCs w:val="30"/>
        </w:rPr>
        <w:br w:type="page"/>
      </w:r>
    </w:p>
    <w:p w14:paraId="0564C60F">
      <w:pPr>
        <w:adjustRightInd w:val="0"/>
        <w:snapToGrid w:val="0"/>
        <w:spacing w:before="120" w:beforeLines="50"/>
        <w:ind w:firstLine="0" w:firstLineChars="0"/>
        <w:outlineLvl w:val="2"/>
        <w:rPr>
          <w:rFonts w:ascii="Times New Roman" w:hAnsi="Times New Roman" w:eastAsia="黑体" w:cs="Times New Roman"/>
          <w:sz w:val="30"/>
          <w:szCs w:val="30"/>
        </w:rPr>
      </w:pPr>
      <w:bookmarkStart w:id="260" w:name="_Toc20480"/>
      <w:bookmarkStart w:id="261" w:name="_Toc15367"/>
      <w:bookmarkStart w:id="262" w:name="_Toc26743"/>
      <w:bookmarkStart w:id="263" w:name="_Toc23885"/>
      <w:r>
        <w:rPr>
          <w:rFonts w:hint="eastAsia" w:asciiTheme="minorEastAsia" w:hAnsiTheme="minorEastAsia" w:eastAsiaTheme="minorEastAsia" w:cstheme="minorEastAsia"/>
          <w:b/>
          <w:szCs w:val="21"/>
        </w:rPr>
        <w:t>附件</w:t>
      </w:r>
      <w:r>
        <w:rPr>
          <w:rFonts w:hint="eastAsia" w:asciiTheme="majorEastAsia" w:hAnsiTheme="majorEastAsia" w:eastAsiaTheme="majorEastAsia" w:cstheme="majorEastAsia"/>
          <w:b/>
          <w:szCs w:val="21"/>
        </w:rPr>
        <w:t>1-2</w:t>
      </w:r>
      <w:bookmarkEnd w:id="259"/>
      <w:bookmarkEnd w:id="260"/>
      <w:bookmarkEnd w:id="261"/>
      <w:r>
        <w:rPr>
          <w:rFonts w:hint="eastAsia" w:asciiTheme="majorEastAsia" w:hAnsiTheme="majorEastAsia" w:eastAsiaTheme="majorEastAsia" w:cstheme="majorEastAsia"/>
          <w:b/>
          <w:szCs w:val="21"/>
        </w:rPr>
        <w:t xml:space="preserve"> 法定代表人</w:t>
      </w:r>
      <w:r>
        <w:rPr>
          <w:rFonts w:ascii="Times New Roman" w:hAnsi="Times New Roman" w:cs="Times New Roman"/>
          <w:b/>
          <w:kern w:val="0"/>
          <w:szCs w:val="21"/>
        </w:rPr>
        <w:t>（</w:t>
      </w:r>
      <w:r>
        <w:rPr>
          <w:rFonts w:ascii="Times New Roman" w:hAnsi="Times New Roman" w:cs="Times New Roman"/>
          <w:b/>
          <w:spacing w:val="-2"/>
          <w:kern w:val="0"/>
          <w:szCs w:val="21"/>
        </w:rPr>
        <w:t>单</w:t>
      </w:r>
      <w:r>
        <w:rPr>
          <w:rFonts w:ascii="Times New Roman" w:hAnsi="Times New Roman" w:cs="Times New Roman"/>
          <w:b/>
          <w:kern w:val="0"/>
          <w:szCs w:val="21"/>
        </w:rPr>
        <w:t>位</w:t>
      </w:r>
      <w:r>
        <w:rPr>
          <w:rFonts w:ascii="Times New Roman" w:hAnsi="Times New Roman" w:cs="Times New Roman"/>
          <w:b/>
          <w:spacing w:val="-2"/>
          <w:kern w:val="0"/>
          <w:szCs w:val="21"/>
        </w:rPr>
        <w:t>负</w:t>
      </w:r>
      <w:r>
        <w:rPr>
          <w:rFonts w:ascii="Times New Roman" w:hAnsi="Times New Roman" w:cs="Times New Roman"/>
          <w:b/>
          <w:kern w:val="0"/>
          <w:szCs w:val="21"/>
        </w:rPr>
        <w:t>责人</w:t>
      </w:r>
      <w:r>
        <w:rPr>
          <w:rFonts w:ascii="Times New Roman" w:hAnsi="Times New Roman" w:cs="Times New Roman"/>
          <w:b/>
          <w:spacing w:val="-2"/>
          <w:kern w:val="0"/>
          <w:szCs w:val="21"/>
        </w:rPr>
        <w:t>）</w:t>
      </w:r>
      <w:r>
        <w:rPr>
          <w:rFonts w:hint="eastAsia" w:asciiTheme="majorEastAsia" w:hAnsiTheme="majorEastAsia" w:eastAsiaTheme="majorEastAsia" w:cstheme="majorEastAsia"/>
          <w:b/>
          <w:szCs w:val="21"/>
        </w:rPr>
        <w:t>授权委托书</w:t>
      </w:r>
      <w:bookmarkEnd w:id="262"/>
      <w:bookmarkEnd w:id="263"/>
    </w:p>
    <w:p w14:paraId="3DFB7A72">
      <w:pPr>
        <w:ind w:firstLine="0" w:firstLineChars="0"/>
        <w:jc w:val="center"/>
        <w:rPr>
          <w:rFonts w:ascii="Times New Roman" w:hAnsi="Times New Roman" w:eastAsia="黑体" w:cs="Times New Roman"/>
          <w:b/>
          <w:sz w:val="28"/>
          <w:szCs w:val="28"/>
        </w:rPr>
      </w:pPr>
    </w:p>
    <w:p w14:paraId="3E07336E">
      <w:pPr>
        <w:ind w:firstLine="0" w:firstLineChars="0"/>
        <w:jc w:val="center"/>
        <w:rPr>
          <w:rFonts w:ascii="Times New Roman" w:hAnsi="Times New Roman" w:eastAsia="黑体" w:cs="Times New Roman"/>
          <w:b/>
          <w:sz w:val="28"/>
          <w:szCs w:val="28"/>
        </w:rPr>
      </w:pPr>
      <w:r>
        <w:rPr>
          <w:rFonts w:ascii="Times New Roman" w:hAnsi="Times New Roman" w:eastAsia="黑体" w:cs="Times New Roman"/>
          <w:b/>
          <w:sz w:val="28"/>
          <w:szCs w:val="28"/>
        </w:rPr>
        <w:t>法定代表人（单位负责人）授权委托书</w:t>
      </w:r>
    </w:p>
    <w:p w14:paraId="19B6107A">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本人（姓名、职务）系（</w:t>
      </w:r>
      <w:r>
        <w:rPr>
          <w:rFonts w:ascii="Times New Roman" w:hAnsi="Times New Roman" w:cs="Times New Roman"/>
          <w:szCs w:val="21"/>
        </w:rPr>
        <w:t>供应商</w:t>
      </w:r>
      <w:r>
        <w:rPr>
          <w:rFonts w:ascii="Times New Roman" w:hAnsi="Times New Roman" w:cs="Times New Roman"/>
          <w:kern w:val="0"/>
          <w:szCs w:val="21"/>
        </w:rPr>
        <w:t>名称）的法定代表人（</w:t>
      </w:r>
      <w:r>
        <w:rPr>
          <w:rFonts w:ascii="Times New Roman" w:hAnsi="Times New Roman" w:cs="Times New Roman"/>
          <w:spacing w:val="-2"/>
          <w:kern w:val="0"/>
          <w:szCs w:val="21"/>
        </w:rPr>
        <w:t>单</w:t>
      </w:r>
      <w:r>
        <w:rPr>
          <w:rFonts w:ascii="Times New Roman" w:hAnsi="Times New Roman" w:cs="Times New Roman"/>
          <w:kern w:val="0"/>
          <w:szCs w:val="21"/>
        </w:rPr>
        <w:t>位</w:t>
      </w:r>
      <w:r>
        <w:rPr>
          <w:rFonts w:ascii="Times New Roman" w:hAnsi="Times New Roman" w:cs="Times New Roman"/>
          <w:spacing w:val="-2"/>
          <w:kern w:val="0"/>
          <w:szCs w:val="21"/>
        </w:rPr>
        <w:t>负</w:t>
      </w:r>
      <w:r>
        <w:rPr>
          <w:rFonts w:ascii="Times New Roman" w:hAnsi="Times New Roman" w:cs="Times New Roman"/>
          <w:kern w:val="0"/>
          <w:szCs w:val="21"/>
        </w:rPr>
        <w:t>责人</w:t>
      </w:r>
      <w:r>
        <w:rPr>
          <w:rFonts w:ascii="Times New Roman" w:hAnsi="Times New Roman" w:cs="Times New Roman"/>
          <w:spacing w:val="-2"/>
          <w:kern w:val="0"/>
          <w:szCs w:val="21"/>
        </w:rPr>
        <w:t>）</w:t>
      </w:r>
      <w:r>
        <w:rPr>
          <w:rFonts w:ascii="Times New Roman" w:hAnsi="Times New Roman" w:cs="Times New Roman"/>
          <w:kern w:val="0"/>
          <w:szCs w:val="21"/>
        </w:rPr>
        <w:t>，现授权（姓名、职务）为我方代理人。代理人根据授权，以我方名义签署、澄清、说明、补正、递交、撤回、修改（项目名称）（</w:t>
      </w:r>
      <w:r>
        <w:rPr>
          <w:rFonts w:hint="eastAsia" w:cs="Times New Roman"/>
        </w:rPr>
        <w:t>政府采购计划编号</w:t>
      </w:r>
      <w:r>
        <w:rPr>
          <w:rFonts w:ascii="Times New Roman" w:hAnsi="Times New Roman" w:cs="Times New Roman"/>
          <w:iCs/>
        </w:rPr>
        <w:t>：，</w:t>
      </w:r>
      <w:r>
        <w:rPr>
          <w:rFonts w:ascii="Times New Roman" w:hAnsi="Times New Roman" w:cs="Times New Roman"/>
          <w:kern w:val="0"/>
          <w:szCs w:val="21"/>
        </w:rPr>
        <w:t>采购代理编号： ）投标文件、签订合同和处理有关事宜，其法律后果由我方承担。</w:t>
      </w:r>
    </w:p>
    <w:p w14:paraId="4155753B">
      <w:pPr>
        <w:autoSpaceDE w:val="0"/>
        <w:autoSpaceDN w:val="0"/>
        <w:adjustRightInd w:val="0"/>
        <w:snapToGrid w:val="0"/>
        <w:jc w:val="left"/>
        <w:rPr>
          <w:rFonts w:ascii="Times New Roman" w:hAnsi="Times New Roman" w:cs="Times New Roman"/>
          <w:kern w:val="0"/>
          <w:szCs w:val="21"/>
        </w:rPr>
      </w:pPr>
      <w:r>
        <w:rPr>
          <w:rFonts w:ascii="Times New Roman" w:hAnsi="Times New Roman" w:cs="Times New Roman"/>
          <w:kern w:val="0"/>
          <w:szCs w:val="21"/>
        </w:rPr>
        <w:t>委托期限：。</w:t>
      </w:r>
    </w:p>
    <w:p w14:paraId="67AE4776">
      <w:pPr>
        <w:adjustRightInd w:val="0"/>
        <w:snapToGrid w:val="0"/>
        <w:rPr>
          <w:rFonts w:ascii="Times New Roman" w:hAnsi="Times New Roman" w:cs="Times New Roman"/>
          <w:kern w:val="0"/>
          <w:szCs w:val="21"/>
        </w:rPr>
      </w:pPr>
      <w:r>
        <w:rPr>
          <w:rFonts w:ascii="Times New Roman" w:hAnsi="Times New Roman" w:cs="Times New Roman"/>
          <w:kern w:val="0"/>
          <w:szCs w:val="21"/>
        </w:rPr>
        <w:t>代理人无转委托权。</w:t>
      </w:r>
    </w:p>
    <w:p w14:paraId="79F4A714">
      <w:pPr>
        <w:adjustRightInd w:val="0"/>
        <w:snapToGrid w:val="0"/>
        <w:rPr>
          <w:rFonts w:ascii="Times New Roman" w:hAnsi="Times New Roman" w:cs="Times New Roman"/>
          <w:kern w:val="0"/>
          <w:szCs w:val="21"/>
        </w:rPr>
      </w:pPr>
      <w:r>
        <w:rPr>
          <w:rFonts w:ascii="Times New Roman" w:hAnsi="Times New Roman" w:cs="Times New Roman"/>
          <w:szCs w:val="21"/>
        </w:rPr>
        <w:t>本授权书于年月日签字生效，特此声明。</w:t>
      </w:r>
    </w:p>
    <w:tbl>
      <w:tblPr>
        <w:tblStyle w:val="4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324"/>
      </w:tblGrid>
      <w:tr w14:paraId="2C8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4465" w:type="dxa"/>
            <w:vAlign w:val="center"/>
          </w:tcPr>
          <w:p w14:paraId="58A40255">
            <w:pPr>
              <w:adjustRightInd w:val="0"/>
              <w:snapToGrid w:val="0"/>
              <w:jc w:val="center"/>
              <w:rPr>
                <w:rFonts w:ascii="Times New Roman" w:hAnsi="Times New Roman" w:cs="Times New Roman"/>
                <w:szCs w:val="21"/>
              </w:rPr>
            </w:pPr>
            <w:r>
              <w:rPr>
                <w:rFonts w:ascii="Times New Roman" w:hAnsi="Times New Roman" w:cs="Times New Roman"/>
                <w:szCs w:val="21"/>
              </w:rPr>
              <w:t>法人身份证（正面）</w:t>
            </w:r>
          </w:p>
        </w:tc>
        <w:tc>
          <w:tcPr>
            <w:tcW w:w="4324" w:type="dxa"/>
            <w:vAlign w:val="center"/>
          </w:tcPr>
          <w:p w14:paraId="0E263613">
            <w:pPr>
              <w:adjustRightInd w:val="0"/>
              <w:snapToGrid w:val="0"/>
              <w:jc w:val="center"/>
              <w:rPr>
                <w:rFonts w:ascii="Times New Roman" w:hAnsi="Times New Roman" w:cs="Times New Roman"/>
                <w:szCs w:val="21"/>
              </w:rPr>
            </w:pPr>
            <w:r>
              <w:rPr>
                <w:rFonts w:ascii="Times New Roman" w:hAnsi="Times New Roman" w:cs="Times New Roman"/>
                <w:szCs w:val="21"/>
              </w:rPr>
              <w:t>法人身份证（反面）</w:t>
            </w:r>
          </w:p>
        </w:tc>
      </w:tr>
      <w:tr w14:paraId="2849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465" w:type="dxa"/>
            <w:vAlign w:val="center"/>
          </w:tcPr>
          <w:p w14:paraId="10FA45A4">
            <w:pPr>
              <w:adjustRightInd w:val="0"/>
              <w:snapToGrid w:val="0"/>
              <w:jc w:val="center"/>
              <w:rPr>
                <w:rFonts w:ascii="Times New Roman" w:hAnsi="Times New Roman" w:cs="Times New Roman"/>
                <w:szCs w:val="21"/>
              </w:rPr>
            </w:pPr>
            <w:r>
              <w:rPr>
                <w:rFonts w:ascii="Times New Roman" w:hAnsi="Times New Roman" w:cs="Times New Roman"/>
                <w:szCs w:val="21"/>
              </w:rPr>
              <w:t>委托人身份证（正面）</w:t>
            </w:r>
          </w:p>
        </w:tc>
        <w:tc>
          <w:tcPr>
            <w:tcW w:w="4324" w:type="dxa"/>
            <w:vAlign w:val="center"/>
          </w:tcPr>
          <w:p w14:paraId="2671D051">
            <w:pPr>
              <w:adjustRightInd w:val="0"/>
              <w:snapToGrid w:val="0"/>
              <w:jc w:val="center"/>
              <w:rPr>
                <w:rFonts w:ascii="Times New Roman" w:hAnsi="Times New Roman" w:cs="Times New Roman"/>
                <w:szCs w:val="21"/>
              </w:rPr>
            </w:pPr>
            <w:r>
              <w:rPr>
                <w:rFonts w:ascii="Times New Roman" w:hAnsi="Times New Roman" w:cs="Times New Roman"/>
                <w:szCs w:val="21"/>
              </w:rPr>
              <w:t>委托人身份证（反面）</w:t>
            </w:r>
          </w:p>
        </w:tc>
      </w:tr>
    </w:tbl>
    <w:p w14:paraId="3BB6EA49">
      <w:pPr>
        <w:adjustRightInd w:val="0"/>
        <w:snapToGrid w:val="0"/>
        <w:rPr>
          <w:rFonts w:ascii="Times New Roman" w:hAnsi="Times New Roman" w:cs="Times New Roman"/>
          <w:szCs w:val="21"/>
        </w:rPr>
      </w:pPr>
      <w:r>
        <w:rPr>
          <w:rFonts w:ascii="Times New Roman" w:hAnsi="Times New Roman" w:cs="Times New Roman"/>
          <w:szCs w:val="21"/>
        </w:rPr>
        <w:t>注：供应商代表不是供应商的法定代表人（单位负责人）的提供。自然人投标的无需提供。</w:t>
      </w:r>
    </w:p>
    <w:p w14:paraId="0308BB0E">
      <w:pPr>
        <w:adjustRightInd w:val="0"/>
        <w:snapToGrid w:val="0"/>
        <w:rPr>
          <w:rFonts w:ascii="Times New Roman" w:hAnsi="Times New Roman" w:cs="Times New Roman"/>
          <w:szCs w:val="21"/>
        </w:rPr>
      </w:pPr>
    </w:p>
    <w:p w14:paraId="161CA07A">
      <w:pPr>
        <w:adjustRightInd w:val="0"/>
        <w:snapToGrid w:val="0"/>
        <w:rPr>
          <w:rFonts w:ascii="Times New Roman" w:hAnsi="Times New Roman" w:cs="Times New Roman"/>
          <w:szCs w:val="21"/>
        </w:rPr>
      </w:pPr>
    </w:p>
    <w:p w14:paraId="182903A3">
      <w:pPr>
        <w:adjustRightInd w:val="0"/>
        <w:snapToGrid w:val="0"/>
        <w:ind w:firstLine="444"/>
        <w:rPr>
          <w:rFonts w:ascii="Times New Roman" w:hAnsi="Times New Roman" w:cs="Times New Roman"/>
          <w:szCs w:val="21"/>
        </w:rPr>
      </w:pPr>
      <w:r>
        <w:rPr>
          <w:rFonts w:ascii="Times New Roman" w:hAnsi="Times New Roman" w:cs="Times New Roman"/>
          <w:spacing w:val="6"/>
          <w:kern w:val="0"/>
          <w:szCs w:val="21"/>
        </w:rPr>
        <w:t>供应商名称（盖单位公章）</w:t>
      </w:r>
      <w:r>
        <w:rPr>
          <w:rFonts w:ascii="Times New Roman" w:hAnsi="Times New Roman" w:cs="Times New Roman"/>
          <w:szCs w:val="21"/>
        </w:rPr>
        <w:t>：</w:t>
      </w:r>
    </w:p>
    <w:p w14:paraId="08239E2D">
      <w:pPr>
        <w:adjustRightInd w:val="0"/>
        <w:snapToGrid w:val="0"/>
        <w:ind w:right="420" w:firstLine="412"/>
        <w:rPr>
          <w:rFonts w:ascii="Times New Roman" w:hAnsi="Times New Roman" w:cs="Times New Roman"/>
          <w:szCs w:val="21"/>
        </w:rPr>
      </w:pPr>
      <w:r>
        <w:rPr>
          <w:rFonts w:ascii="Times New Roman" w:hAnsi="Times New Roman" w:cs="Times New Roman"/>
          <w:spacing w:val="-2"/>
          <w:kern w:val="0"/>
          <w:szCs w:val="21"/>
        </w:rPr>
        <w:t>法</w:t>
      </w:r>
      <w:r>
        <w:rPr>
          <w:rFonts w:ascii="Times New Roman" w:hAnsi="Times New Roman" w:cs="Times New Roman"/>
          <w:kern w:val="0"/>
          <w:szCs w:val="21"/>
        </w:rPr>
        <w:t>定</w:t>
      </w:r>
      <w:r>
        <w:rPr>
          <w:rFonts w:ascii="Times New Roman" w:hAnsi="Times New Roman" w:cs="Times New Roman"/>
          <w:spacing w:val="-2"/>
          <w:kern w:val="0"/>
          <w:szCs w:val="21"/>
        </w:rPr>
        <w:t>代</w:t>
      </w:r>
      <w:r>
        <w:rPr>
          <w:rFonts w:ascii="Times New Roman" w:hAnsi="Times New Roman" w:cs="Times New Roman"/>
          <w:kern w:val="0"/>
          <w:szCs w:val="21"/>
        </w:rPr>
        <w:t>表</w:t>
      </w:r>
      <w:r>
        <w:rPr>
          <w:rFonts w:ascii="Times New Roman" w:hAnsi="Times New Roman" w:cs="Times New Roman"/>
          <w:spacing w:val="-2"/>
          <w:kern w:val="0"/>
          <w:szCs w:val="21"/>
        </w:rPr>
        <w:t>人</w:t>
      </w:r>
      <w:r>
        <w:rPr>
          <w:rFonts w:ascii="Times New Roman" w:hAnsi="Times New Roman" w:cs="Times New Roman"/>
          <w:kern w:val="0"/>
          <w:szCs w:val="21"/>
        </w:rPr>
        <w:t>（</w:t>
      </w:r>
      <w:r>
        <w:rPr>
          <w:rFonts w:ascii="Times New Roman" w:hAnsi="Times New Roman" w:cs="Times New Roman"/>
          <w:spacing w:val="-2"/>
          <w:kern w:val="0"/>
          <w:szCs w:val="21"/>
        </w:rPr>
        <w:t>单</w:t>
      </w:r>
      <w:r>
        <w:rPr>
          <w:rFonts w:ascii="Times New Roman" w:hAnsi="Times New Roman" w:cs="Times New Roman"/>
          <w:kern w:val="0"/>
          <w:szCs w:val="21"/>
        </w:rPr>
        <w:t>位</w:t>
      </w:r>
      <w:r>
        <w:rPr>
          <w:rFonts w:ascii="Times New Roman" w:hAnsi="Times New Roman" w:cs="Times New Roman"/>
          <w:spacing w:val="-2"/>
          <w:kern w:val="0"/>
          <w:szCs w:val="21"/>
        </w:rPr>
        <w:t>负</w:t>
      </w:r>
      <w:r>
        <w:rPr>
          <w:rFonts w:ascii="Times New Roman" w:hAnsi="Times New Roman" w:cs="Times New Roman"/>
          <w:kern w:val="0"/>
          <w:szCs w:val="21"/>
        </w:rPr>
        <w:t>责人</w:t>
      </w:r>
      <w:r>
        <w:rPr>
          <w:rFonts w:ascii="Times New Roman" w:hAnsi="Times New Roman" w:cs="Times New Roman"/>
          <w:spacing w:val="-2"/>
          <w:kern w:val="0"/>
          <w:szCs w:val="21"/>
        </w:rPr>
        <w:t>）</w:t>
      </w:r>
      <w:r>
        <w:rPr>
          <w:rFonts w:ascii="Times New Roman" w:hAnsi="Times New Roman" w:cs="Times New Roman"/>
          <w:szCs w:val="21"/>
        </w:rPr>
        <w:t>（签字或印章）：</w:t>
      </w:r>
    </w:p>
    <w:p w14:paraId="389A0734">
      <w:pPr>
        <w:adjustRightInd w:val="0"/>
        <w:snapToGrid w:val="0"/>
        <w:ind w:right="420"/>
        <w:rPr>
          <w:rFonts w:ascii="Times New Roman" w:hAnsi="Times New Roman" w:cs="Times New Roman"/>
          <w:szCs w:val="21"/>
        </w:rPr>
      </w:pPr>
      <w:r>
        <w:rPr>
          <w:rFonts w:ascii="Times New Roman" w:hAnsi="Times New Roman" w:cs="Times New Roman"/>
          <w:szCs w:val="21"/>
        </w:rPr>
        <w:t>委托代理人（签字或印章）：</w:t>
      </w:r>
    </w:p>
    <w:p w14:paraId="20747159">
      <w:pPr>
        <w:adjustRightInd w:val="0"/>
        <w:snapToGrid w:val="0"/>
        <w:ind w:right="420"/>
        <w:rPr>
          <w:rFonts w:ascii="Times New Roman" w:hAnsi="Times New Roman" w:cs="Times New Roman"/>
          <w:szCs w:val="21"/>
        </w:rPr>
      </w:pPr>
      <w:r>
        <w:rPr>
          <w:rFonts w:ascii="Times New Roman" w:hAnsi="Times New Roman" w:cs="Times New Roman"/>
          <w:szCs w:val="21"/>
        </w:rPr>
        <w:t>日期：年月日</w:t>
      </w:r>
    </w:p>
    <w:p w14:paraId="62742126">
      <w:pPr>
        <w:rPr>
          <w:rFonts w:ascii="Times New Roman" w:hAnsi="Times New Roman" w:cs="Times New Roman"/>
        </w:rPr>
      </w:pPr>
    </w:p>
    <w:p w14:paraId="4AF144D0">
      <w:pPr>
        <w:rPr>
          <w:rFonts w:ascii="Times New Roman" w:hAnsi="Times New Roman" w:cs="Times New Roman"/>
        </w:rPr>
      </w:pPr>
    </w:p>
    <w:p w14:paraId="7989D15D">
      <w:pPr>
        <w:rPr>
          <w:rFonts w:ascii="Times New Roman" w:hAnsi="Times New Roman" w:cs="Times New Roman"/>
        </w:rPr>
      </w:pPr>
    </w:p>
    <w:p w14:paraId="4825512F">
      <w:pPr>
        <w:rPr>
          <w:rFonts w:ascii="Times New Roman" w:hAnsi="Times New Roman" w:cs="Times New Roman"/>
        </w:rPr>
      </w:pPr>
    </w:p>
    <w:p w14:paraId="3CA05243">
      <w:pPr>
        <w:rPr>
          <w:rFonts w:ascii="Times New Roman" w:hAnsi="Times New Roman" w:cs="Times New Roman"/>
        </w:rPr>
      </w:pPr>
    </w:p>
    <w:p w14:paraId="369D242B">
      <w:pPr>
        <w:rPr>
          <w:rFonts w:ascii="Times New Roman" w:hAnsi="Times New Roman" w:cs="Times New Roman"/>
        </w:rPr>
      </w:pPr>
    </w:p>
    <w:p w14:paraId="399C8EA0">
      <w:pPr>
        <w:rPr>
          <w:rFonts w:ascii="Times New Roman" w:hAnsi="Times New Roman" w:cs="Times New Roman"/>
        </w:rPr>
      </w:pPr>
    </w:p>
    <w:p w14:paraId="537137D2">
      <w:pPr>
        <w:rPr>
          <w:rFonts w:ascii="Times New Roman" w:hAnsi="Times New Roman" w:cs="Times New Roman"/>
        </w:rPr>
      </w:pPr>
    </w:p>
    <w:p w14:paraId="096DA8C0">
      <w:pPr>
        <w:rPr>
          <w:rFonts w:ascii="Times New Roman" w:hAnsi="Times New Roman" w:cs="Times New Roman"/>
        </w:rPr>
      </w:pPr>
    </w:p>
    <w:p w14:paraId="3E701B1E">
      <w:pPr>
        <w:rPr>
          <w:rFonts w:ascii="Times New Roman" w:hAnsi="Times New Roman" w:cs="Times New Roman"/>
        </w:rPr>
      </w:pPr>
    </w:p>
    <w:p w14:paraId="4570C545">
      <w:pPr>
        <w:rPr>
          <w:rFonts w:ascii="Times New Roman" w:hAnsi="Times New Roman" w:cs="Times New Roman"/>
        </w:rPr>
      </w:pPr>
    </w:p>
    <w:p w14:paraId="00E1CB17">
      <w:pPr>
        <w:ind w:firstLine="562"/>
        <w:rPr>
          <w:rFonts w:ascii="Times New Roman" w:hAnsi="Times New Roman" w:eastAsia="黑体" w:cs="Times New Roman"/>
          <w:b/>
          <w:sz w:val="28"/>
          <w:szCs w:val="28"/>
        </w:rPr>
      </w:pPr>
      <w:bookmarkStart w:id="264" w:name="_Toc2053"/>
      <w:bookmarkStart w:id="265" w:name="_Toc21680"/>
      <w:bookmarkStart w:id="266" w:name="_Toc31395"/>
      <w:r>
        <w:rPr>
          <w:rFonts w:ascii="Times New Roman" w:hAnsi="Times New Roman" w:eastAsia="黑体" w:cs="Times New Roman"/>
          <w:b/>
          <w:sz w:val="28"/>
          <w:szCs w:val="28"/>
        </w:rPr>
        <w:br w:type="page"/>
      </w:r>
    </w:p>
    <w:p w14:paraId="7C3F2EAA">
      <w:pPr>
        <w:spacing w:line="360" w:lineRule="exact"/>
        <w:ind w:firstLine="0" w:firstLineChars="0"/>
        <w:jc w:val="center"/>
        <w:outlineLvl w:val="1"/>
        <w:rPr>
          <w:rFonts w:ascii="Times New Roman" w:hAnsi="Times New Roman" w:eastAsia="黑体" w:cs="Times New Roman"/>
          <w:b/>
          <w:sz w:val="28"/>
          <w:szCs w:val="28"/>
        </w:rPr>
      </w:pPr>
      <w:bookmarkStart w:id="267" w:name="_Toc13554"/>
      <w:r>
        <w:rPr>
          <w:rFonts w:ascii="Times New Roman" w:hAnsi="Times New Roman" w:eastAsia="黑体" w:cs="Times New Roman"/>
          <w:b/>
          <w:sz w:val="28"/>
          <w:szCs w:val="28"/>
        </w:rPr>
        <w:t>二、磋商保证金缴纳证明材料</w:t>
      </w:r>
      <w:bookmarkEnd w:id="264"/>
      <w:bookmarkEnd w:id="265"/>
      <w:bookmarkEnd w:id="266"/>
      <w:bookmarkEnd w:id="267"/>
    </w:p>
    <w:p w14:paraId="331D68CE">
      <w:pPr>
        <w:pStyle w:val="22"/>
        <w:adjustRightInd w:val="0"/>
        <w:snapToGrid w:val="0"/>
        <w:spacing w:before="120" w:beforeLines="50"/>
        <w:rPr>
          <w:rFonts w:ascii="Times New Roman" w:hAnsi="Times New Roman" w:cs="Times New Roman"/>
        </w:rPr>
      </w:pPr>
    </w:p>
    <w:p w14:paraId="13DCCD42">
      <w:pPr>
        <w:adjustRightInd w:val="0"/>
        <w:snapToGrid w:val="0"/>
        <w:spacing w:before="120" w:beforeLines="50"/>
        <w:ind w:firstLine="422"/>
        <w:jc w:val="left"/>
        <w:rPr>
          <w:rFonts w:ascii="Times New Roman" w:hAnsi="Times New Roman" w:cs="Times New Roman"/>
          <w:color w:val="000000"/>
          <w:szCs w:val="21"/>
        </w:rPr>
      </w:pPr>
      <w:r>
        <w:rPr>
          <w:rFonts w:ascii="Times New Roman" w:hAnsi="Times New Roman" w:cs="Times New Roman"/>
          <w:b/>
          <w:color w:val="000000"/>
          <w:szCs w:val="21"/>
        </w:rPr>
        <w:t>备注</w:t>
      </w:r>
      <w:r>
        <w:rPr>
          <w:rFonts w:ascii="Times New Roman" w:hAnsi="Times New Roman" w:cs="Times New Roman"/>
          <w:color w:val="000000"/>
          <w:szCs w:val="21"/>
        </w:rPr>
        <w:t>：提供：付款凭证复印件，或金融机构、担保机构出具的保函原件。</w:t>
      </w:r>
    </w:p>
    <w:p w14:paraId="03130F17">
      <w:pPr>
        <w:adjustRightInd w:val="0"/>
        <w:snapToGrid w:val="0"/>
        <w:spacing w:before="120" w:beforeLines="50"/>
        <w:jc w:val="left"/>
        <w:rPr>
          <w:rFonts w:ascii="Times New Roman" w:hAnsi="Times New Roman" w:cs="Times New Roman"/>
          <w:color w:val="000000"/>
        </w:rPr>
      </w:pPr>
    </w:p>
    <w:p w14:paraId="73AF12F1">
      <w:pPr>
        <w:adjustRightInd w:val="0"/>
        <w:snapToGrid w:val="0"/>
        <w:rPr>
          <w:rFonts w:ascii="Times New Roman" w:hAnsi="Times New Roman" w:cs="Times New Roman"/>
        </w:rPr>
      </w:pPr>
    </w:p>
    <w:p w14:paraId="74E06BDF">
      <w:pPr>
        <w:rPr>
          <w:rFonts w:ascii="Times New Roman" w:hAnsi="Times New Roman" w:cs="Times New Roman"/>
        </w:rPr>
      </w:pPr>
    </w:p>
    <w:p w14:paraId="0DA6FA84">
      <w:pPr>
        <w:rPr>
          <w:rFonts w:ascii="Times New Roman" w:hAnsi="Times New Roman" w:cs="Times New Roman"/>
        </w:rPr>
      </w:pPr>
    </w:p>
    <w:p w14:paraId="3246B957">
      <w:pPr>
        <w:rPr>
          <w:rFonts w:ascii="Times New Roman" w:hAnsi="Times New Roman" w:cs="Times New Roman"/>
        </w:rPr>
      </w:pPr>
    </w:p>
    <w:p w14:paraId="24B8145F">
      <w:pPr>
        <w:rPr>
          <w:rFonts w:ascii="Times New Roman" w:hAnsi="Times New Roman" w:cs="Times New Roman"/>
        </w:rPr>
      </w:pPr>
    </w:p>
    <w:p w14:paraId="74D0E770">
      <w:pPr>
        <w:rPr>
          <w:rFonts w:ascii="Times New Roman" w:hAnsi="Times New Roman" w:cs="Times New Roman"/>
        </w:rPr>
      </w:pPr>
    </w:p>
    <w:p w14:paraId="541C5CBC">
      <w:pPr>
        <w:rPr>
          <w:rFonts w:ascii="Times New Roman" w:hAnsi="Times New Roman" w:cs="Times New Roman"/>
        </w:rPr>
      </w:pPr>
    </w:p>
    <w:p w14:paraId="3A7EC8CB">
      <w:pPr>
        <w:rPr>
          <w:rFonts w:ascii="Times New Roman" w:hAnsi="Times New Roman" w:cs="Times New Roman"/>
        </w:rPr>
      </w:pPr>
    </w:p>
    <w:p w14:paraId="716D04C8">
      <w:pPr>
        <w:rPr>
          <w:rFonts w:ascii="Times New Roman" w:hAnsi="Times New Roman" w:cs="Times New Roman"/>
        </w:rPr>
      </w:pPr>
    </w:p>
    <w:p w14:paraId="0F5A954B">
      <w:pPr>
        <w:rPr>
          <w:rFonts w:ascii="Times New Roman" w:hAnsi="Times New Roman" w:cs="Times New Roman"/>
        </w:rPr>
      </w:pPr>
    </w:p>
    <w:p w14:paraId="25502740">
      <w:pPr>
        <w:spacing w:line="360" w:lineRule="exact"/>
        <w:ind w:firstLine="643"/>
        <w:jc w:val="center"/>
        <w:rPr>
          <w:rFonts w:ascii="Times New Roman" w:hAnsi="Times New Roman" w:eastAsia="黑体" w:cs="Times New Roman"/>
          <w:b/>
          <w:sz w:val="32"/>
          <w:szCs w:val="32"/>
        </w:rPr>
      </w:pPr>
    </w:p>
    <w:p w14:paraId="7E980C07">
      <w:pPr>
        <w:spacing w:line="360" w:lineRule="exact"/>
        <w:ind w:firstLine="643"/>
        <w:jc w:val="center"/>
        <w:rPr>
          <w:rFonts w:ascii="Times New Roman" w:hAnsi="Times New Roman" w:eastAsia="黑体" w:cs="Times New Roman"/>
          <w:b/>
          <w:sz w:val="32"/>
          <w:szCs w:val="32"/>
        </w:rPr>
      </w:pPr>
    </w:p>
    <w:p w14:paraId="58BDB2F7">
      <w:pPr>
        <w:spacing w:line="360" w:lineRule="exact"/>
        <w:ind w:firstLine="643"/>
        <w:jc w:val="center"/>
        <w:rPr>
          <w:rFonts w:ascii="Times New Roman" w:hAnsi="Times New Roman" w:eastAsia="黑体" w:cs="Times New Roman"/>
          <w:b/>
          <w:sz w:val="32"/>
          <w:szCs w:val="32"/>
        </w:rPr>
      </w:pPr>
    </w:p>
    <w:p w14:paraId="7FA60F85">
      <w:pPr>
        <w:spacing w:line="360" w:lineRule="exact"/>
        <w:ind w:firstLine="643"/>
        <w:jc w:val="center"/>
        <w:rPr>
          <w:rFonts w:ascii="Times New Roman" w:hAnsi="Times New Roman" w:eastAsia="黑体" w:cs="Times New Roman"/>
          <w:b/>
          <w:sz w:val="32"/>
          <w:szCs w:val="32"/>
        </w:rPr>
      </w:pPr>
    </w:p>
    <w:p w14:paraId="425EA0CE">
      <w:pPr>
        <w:spacing w:line="360" w:lineRule="exact"/>
        <w:ind w:firstLine="643"/>
        <w:jc w:val="center"/>
        <w:rPr>
          <w:rFonts w:ascii="Times New Roman" w:hAnsi="Times New Roman" w:eastAsia="黑体" w:cs="Times New Roman"/>
          <w:b/>
          <w:sz w:val="32"/>
          <w:szCs w:val="32"/>
        </w:rPr>
      </w:pPr>
    </w:p>
    <w:p w14:paraId="7701F782">
      <w:pPr>
        <w:spacing w:line="360" w:lineRule="exact"/>
        <w:ind w:firstLine="643"/>
        <w:jc w:val="center"/>
        <w:rPr>
          <w:rFonts w:ascii="Times New Roman" w:hAnsi="Times New Roman" w:eastAsia="黑体" w:cs="Times New Roman"/>
          <w:b/>
          <w:sz w:val="32"/>
          <w:szCs w:val="32"/>
        </w:rPr>
      </w:pPr>
    </w:p>
    <w:p w14:paraId="309BA37C">
      <w:pPr>
        <w:spacing w:line="360" w:lineRule="exact"/>
        <w:ind w:firstLine="643"/>
        <w:jc w:val="center"/>
        <w:rPr>
          <w:rFonts w:ascii="Times New Roman" w:hAnsi="Times New Roman" w:eastAsia="黑体" w:cs="Times New Roman"/>
          <w:b/>
          <w:sz w:val="32"/>
          <w:szCs w:val="32"/>
        </w:rPr>
      </w:pPr>
    </w:p>
    <w:p w14:paraId="5DE569D7">
      <w:pPr>
        <w:spacing w:line="360" w:lineRule="exact"/>
        <w:ind w:firstLine="643"/>
        <w:jc w:val="center"/>
        <w:rPr>
          <w:rFonts w:ascii="Times New Roman" w:hAnsi="Times New Roman" w:eastAsia="黑体" w:cs="Times New Roman"/>
          <w:b/>
          <w:sz w:val="32"/>
          <w:szCs w:val="32"/>
        </w:rPr>
      </w:pPr>
    </w:p>
    <w:p w14:paraId="54842EDD">
      <w:pPr>
        <w:spacing w:line="360" w:lineRule="exact"/>
        <w:ind w:firstLine="643"/>
        <w:jc w:val="center"/>
        <w:rPr>
          <w:rFonts w:ascii="Times New Roman" w:hAnsi="Times New Roman" w:eastAsia="黑体" w:cs="Times New Roman"/>
          <w:b/>
          <w:sz w:val="32"/>
          <w:szCs w:val="32"/>
        </w:rPr>
      </w:pPr>
    </w:p>
    <w:p w14:paraId="3D296543">
      <w:pPr>
        <w:spacing w:line="360" w:lineRule="exact"/>
        <w:ind w:firstLine="643"/>
        <w:jc w:val="center"/>
        <w:rPr>
          <w:rFonts w:ascii="Times New Roman" w:hAnsi="Times New Roman" w:eastAsia="黑体" w:cs="Times New Roman"/>
          <w:b/>
          <w:sz w:val="32"/>
          <w:szCs w:val="32"/>
        </w:rPr>
      </w:pPr>
    </w:p>
    <w:p w14:paraId="6F33E665">
      <w:pPr>
        <w:spacing w:line="360" w:lineRule="exact"/>
        <w:ind w:firstLine="643"/>
        <w:jc w:val="center"/>
        <w:rPr>
          <w:rFonts w:ascii="Times New Roman" w:hAnsi="Times New Roman" w:eastAsia="黑体" w:cs="Times New Roman"/>
          <w:b/>
          <w:sz w:val="32"/>
          <w:szCs w:val="32"/>
        </w:rPr>
      </w:pPr>
    </w:p>
    <w:p w14:paraId="7887783A">
      <w:pPr>
        <w:spacing w:line="360" w:lineRule="exact"/>
        <w:ind w:firstLine="643"/>
        <w:jc w:val="center"/>
        <w:rPr>
          <w:rFonts w:ascii="Times New Roman" w:hAnsi="Times New Roman" w:eastAsia="黑体" w:cs="Times New Roman"/>
          <w:b/>
          <w:sz w:val="32"/>
          <w:szCs w:val="32"/>
        </w:rPr>
      </w:pPr>
    </w:p>
    <w:p w14:paraId="56B07FC6">
      <w:pPr>
        <w:spacing w:line="360" w:lineRule="exact"/>
        <w:ind w:firstLine="643"/>
        <w:jc w:val="center"/>
        <w:rPr>
          <w:rFonts w:ascii="Times New Roman" w:hAnsi="Times New Roman" w:eastAsia="黑体" w:cs="Times New Roman"/>
          <w:b/>
          <w:sz w:val="32"/>
          <w:szCs w:val="32"/>
        </w:rPr>
      </w:pPr>
    </w:p>
    <w:p w14:paraId="6EAD8E2B">
      <w:pPr>
        <w:spacing w:line="360" w:lineRule="exact"/>
        <w:ind w:firstLine="643"/>
        <w:jc w:val="center"/>
        <w:rPr>
          <w:rFonts w:ascii="Times New Roman" w:hAnsi="Times New Roman" w:eastAsia="黑体" w:cs="Times New Roman"/>
          <w:b/>
          <w:sz w:val="32"/>
          <w:szCs w:val="32"/>
        </w:rPr>
      </w:pPr>
    </w:p>
    <w:p w14:paraId="2068CF1A">
      <w:pPr>
        <w:spacing w:line="360" w:lineRule="exact"/>
        <w:ind w:firstLine="643"/>
        <w:jc w:val="center"/>
        <w:rPr>
          <w:rFonts w:ascii="Times New Roman" w:hAnsi="Times New Roman" w:eastAsia="黑体" w:cs="Times New Roman"/>
          <w:b/>
          <w:sz w:val="32"/>
          <w:szCs w:val="32"/>
        </w:rPr>
      </w:pPr>
    </w:p>
    <w:p w14:paraId="1E2C58DB">
      <w:pPr>
        <w:spacing w:line="360" w:lineRule="exact"/>
        <w:ind w:firstLine="643"/>
        <w:jc w:val="center"/>
        <w:rPr>
          <w:rFonts w:ascii="Times New Roman" w:hAnsi="Times New Roman" w:eastAsia="黑体" w:cs="Times New Roman"/>
          <w:b/>
          <w:sz w:val="32"/>
          <w:szCs w:val="32"/>
        </w:rPr>
      </w:pPr>
    </w:p>
    <w:p w14:paraId="6FEFA193">
      <w:pPr>
        <w:ind w:firstLine="643"/>
        <w:rPr>
          <w:rFonts w:ascii="Times New Roman" w:hAnsi="Times New Roman" w:eastAsia="黑体" w:cs="Times New Roman"/>
          <w:b/>
          <w:sz w:val="32"/>
          <w:szCs w:val="32"/>
        </w:rPr>
      </w:pPr>
      <w:r>
        <w:rPr>
          <w:rFonts w:ascii="Times New Roman" w:hAnsi="Times New Roman" w:eastAsia="黑体" w:cs="Times New Roman"/>
          <w:b/>
          <w:sz w:val="32"/>
          <w:szCs w:val="32"/>
        </w:rPr>
        <w:br w:type="page"/>
      </w:r>
    </w:p>
    <w:p w14:paraId="1D02E899">
      <w:pPr>
        <w:spacing w:line="360" w:lineRule="exact"/>
        <w:ind w:firstLine="0" w:firstLineChars="0"/>
        <w:jc w:val="center"/>
        <w:outlineLvl w:val="1"/>
        <w:rPr>
          <w:rFonts w:ascii="Times New Roman" w:hAnsi="Times New Roman" w:eastAsia="黑体" w:cs="Times New Roman"/>
          <w:b/>
          <w:sz w:val="28"/>
          <w:szCs w:val="28"/>
        </w:rPr>
      </w:pPr>
      <w:bookmarkStart w:id="268" w:name="_Toc12389"/>
      <w:bookmarkStart w:id="269" w:name="_Toc25719"/>
      <w:bookmarkStart w:id="270" w:name="_Toc20012"/>
      <w:bookmarkStart w:id="271" w:name="_Toc23612"/>
      <w:r>
        <w:rPr>
          <w:rFonts w:ascii="Times New Roman" w:hAnsi="Times New Roman" w:eastAsia="黑体" w:cs="Times New Roman"/>
          <w:b/>
          <w:sz w:val="28"/>
          <w:szCs w:val="28"/>
        </w:rPr>
        <w:t>三、供应商的资格证明资料</w:t>
      </w:r>
      <w:bookmarkEnd w:id="268"/>
      <w:bookmarkEnd w:id="269"/>
      <w:bookmarkEnd w:id="270"/>
      <w:bookmarkEnd w:id="271"/>
    </w:p>
    <w:p w14:paraId="2E318047">
      <w:pPr>
        <w:spacing w:line="480" w:lineRule="exact"/>
        <w:ind w:firstLine="0" w:firstLineChars="0"/>
        <w:outlineLvl w:val="2"/>
        <w:rPr>
          <w:rFonts w:ascii="Times New Roman" w:hAnsi="Times New Roman" w:eastAsia="黑体" w:cs="Times New Roman"/>
          <w:sz w:val="30"/>
          <w:szCs w:val="30"/>
        </w:rPr>
      </w:pPr>
      <w:bookmarkStart w:id="272" w:name="_Toc15092"/>
      <w:bookmarkStart w:id="273" w:name="_Toc5007"/>
      <w:bookmarkStart w:id="274" w:name="_Toc5839"/>
      <w:bookmarkStart w:id="275" w:name="_Toc6274"/>
      <w:bookmarkStart w:id="276" w:name="_Toc3243"/>
      <w:bookmarkStart w:id="277" w:name="_Toc4517_WPSOffice_Level1"/>
      <w:r>
        <w:rPr>
          <w:rFonts w:hint="eastAsia" w:asciiTheme="majorEastAsia" w:hAnsiTheme="majorEastAsia" w:eastAsiaTheme="majorEastAsia" w:cstheme="majorEastAsia"/>
          <w:b/>
          <w:bCs/>
          <w:szCs w:val="21"/>
        </w:rPr>
        <w:t>附件</w:t>
      </w:r>
      <w:bookmarkEnd w:id="272"/>
      <w:bookmarkEnd w:id="273"/>
      <w:bookmarkEnd w:id="274"/>
      <w:r>
        <w:rPr>
          <w:rFonts w:hint="eastAsia" w:asciiTheme="majorEastAsia" w:hAnsiTheme="majorEastAsia" w:eastAsiaTheme="majorEastAsia" w:cstheme="majorEastAsia"/>
          <w:b/>
          <w:bCs/>
          <w:szCs w:val="21"/>
        </w:rPr>
        <w:t>2-1 供应商基本情况表</w:t>
      </w:r>
      <w:bookmarkEnd w:id="275"/>
      <w:bookmarkEnd w:id="276"/>
    </w:p>
    <w:p w14:paraId="32A24B05">
      <w:pPr>
        <w:spacing w:line="360" w:lineRule="exact"/>
        <w:ind w:firstLine="0" w:firstLineChars="0"/>
        <w:jc w:val="center"/>
        <w:rPr>
          <w:rFonts w:ascii="Times New Roman" w:hAnsi="Times New Roman" w:eastAsia="黑体" w:cs="Times New Roman"/>
          <w:b/>
          <w:sz w:val="28"/>
          <w:szCs w:val="28"/>
        </w:rPr>
      </w:pPr>
      <w:r>
        <w:rPr>
          <w:rFonts w:ascii="Times New Roman" w:hAnsi="Times New Roman" w:eastAsia="黑体" w:cs="Times New Roman"/>
          <w:b/>
          <w:sz w:val="28"/>
          <w:szCs w:val="28"/>
        </w:rPr>
        <w:t>供应商基本情况表</w:t>
      </w:r>
      <w:bookmarkEnd w:id="277"/>
    </w:p>
    <w:p w14:paraId="4C978143">
      <w:pPr>
        <w:adjustRightInd w:val="0"/>
        <w:snapToGrid w:val="0"/>
        <w:rPr>
          <w:rFonts w:ascii="Times New Roman" w:hAnsi="Times New Roman" w:cs="Times New Roman"/>
          <w:szCs w:val="21"/>
        </w:rPr>
      </w:pPr>
      <w:r>
        <w:rPr>
          <w:rFonts w:ascii="Times New Roman" w:hAnsi="Times New Roman" w:cs="Times New Roman"/>
          <w:szCs w:val="21"/>
        </w:rPr>
        <w:t>盖供应商单位章</w:t>
      </w:r>
    </w:p>
    <w:tbl>
      <w:tblPr>
        <w:tblStyle w:val="45"/>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7FCFB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41FECB56">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108643D6">
            <w:pPr>
              <w:topLinePunct/>
              <w:spacing w:line="440" w:lineRule="exact"/>
              <w:ind w:firstLine="0" w:firstLineChars="0"/>
              <w:jc w:val="center"/>
              <w:rPr>
                <w:rFonts w:ascii="Times New Roman" w:hAnsi="Times New Roman" w:cs="Times New Roman"/>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3934DCE9">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22324A67">
            <w:pPr>
              <w:topLinePunct/>
              <w:spacing w:line="440" w:lineRule="exact"/>
              <w:ind w:firstLine="0" w:firstLineChars="0"/>
              <w:jc w:val="center"/>
              <w:rPr>
                <w:rFonts w:ascii="Times New Roman" w:hAnsi="Times New Roman" w:cs="Times New Roman"/>
                <w:szCs w:val="21"/>
              </w:rPr>
            </w:pPr>
          </w:p>
        </w:tc>
      </w:tr>
      <w:tr w14:paraId="66531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C7430A2">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3373B577">
            <w:pPr>
              <w:topLinePunct/>
              <w:spacing w:line="440" w:lineRule="exact"/>
              <w:ind w:firstLine="0" w:firstLineChars="0"/>
              <w:jc w:val="center"/>
              <w:rPr>
                <w:rFonts w:ascii="Times New Roman" w:hAnsi="Times New Roman" w:cs="Times New Roman"/>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56AA4D68">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5D47FE0D">
            <w:pPr>
              <w:topLinePunct/>
              <w:spacing w:line="440" w:lineRule="exact"/>
              <w:ind w:firstLine="0" w:firstLineChars="0"/>
              <w:jc w:val="center"/>
              <w:rPr>
                <w:rFonts w:ascii="Times New Roman" w:hAnsi="Times New Roman" w:cs="Times New Roman"/>
                <w:szCs w:val="21"/>
              </w:rPr>
            </w:pPr>
          </w:p>
        </w:tc>
      </w:tr>
      <w:tr w14:paraId="07B3E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AB92144">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组织机构代码</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E974ECB">
            <w:pPr>
              <w:topLinePunct/>
              <w:spacing w:line="440" w:lineRule="exact"/>
              <w:ind w:firstLine="0" w:firstLineChars="0"/>
              <w:jc w:val="center"/>
              <w:rPr>
                <w:rFonts w:ascii="Times New Roman" w:hAnsi="Times New Roman" w:cs="Times New Roman"/>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10F3322D">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635101B1">
            <w:pPr>
              <w:topLinePunct/>
              <w:spacing w:line="440" w:lineRule="exact"/>
              <w:ind w:firstLine="0" w:firstLineChars="0"/>
              <w:jc w:val="center"/>
              <w:rPr>
                <w:rFonts w:ascii="Times New Roman" w:hAnsi="Times New Roman" w:cs="Times New Roman"/>
                <w:szCs w:val="21"/>
              </w:rPr>
            </w:pPr>
          </w:p>
        </w:tc>
      </w:tr>
      <w:tr w14:paraId="723AD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1F6A3F1">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132DD6B9">
            <w:pPr>
              <w:topLinePunct/>
              <w:spacing w:line="440" w:lineRule="exact"/>
              <w:ind w:firstLine="0" w:firstLineChars="0"/>
              <w:jc w:val="center"/>
              <w:rPr>
                <w:rFonts w:ascii="Times New Roman" w:hAnsi="Times New Roman" w:cs="Times New Roman"/>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277DCD4B">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420FBF78">
            <w:pPr>
              <w:topLinePunct/>
              <w:spacing w:line="440" w:lineRule="exact"/>
              <w:ind w:firstLine="0" w:firstLineChars="0"/>
              <w:jc w:val="center"/>
              <w:rPr>
                <w:rFonts w:ascii="Times New Roman" w:hAnsi="Times New Roman" w:cs="Times New Roman"/>
                <w:szCs w:val="21"/>
              </w:rPr>
            </w:pPr>
          </w:p>
        </w:tc>
      </w:tr>
      <w:tr w14:paraId="2AC7C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5522499E">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931B391">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6E3687E">
            <w:pPr>
              <w:topLinePunct/>
              <w:spacing w:line="440" w:lineRule="exact"/>
              <w:ind w:firstLine="0" w:firstLineChars="0"/>
              <w:jc w:val="center"/>
              <w:rPr>
                <w:rFonts w:ascii="Times New Roman" w:hAnsi="Times New Roman"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522F9482">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AA72AA3">
            <w:pPr>
              <w:topLinePunct/>
              <w:spacing w:line="440" w:lineRule="exact"/>
              <w:ind w:firstLine="0" w:firstLineChars="0"/>
              <w:jc w:val="center"/>
              <w:rPr>
                <w:rFonts w:ascii="Times New Roman" w:hAnsi="Times New Roman" w:cs="Times New Roman"/>
                <w:szCs w:val="21"/>
              </w:rPr>
            </w:pPr>
          </w:p>
        </w:tc>
      </w:tr>
      <w:tr w14:paraId="39FB7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5D6FE3E8">
            <w:pPr>
              <w:topLinePunct/>
              <w:spacing w:line="440" w:lineRule="exact"/>
              <w:ind w:firstLine="0" w:firstLineChars="0"/>
              <w:jc w:val="center"/>
              <w:rPr>
                <w:rFonts w:ascii="Times New Roman" w:hAnsi="Times New Roman"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23EBCE6">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2CF77A1">
            <w:pPr>
              <w:topLinePunct/>
              <w:spacing w:line="440" w:lineRule="exact"/>
              <w:ind w:firstLine="0" w:firstLineChars="0"/>
              <w:jc w:val="center"/>
              <w:rPr>
                <w:rFonts w:ascii="Times New Roman" w:hAnsi="Times New Roman"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933C5EF">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808B09B">
            <w:pPr>
              <w:topLinePunct/>
              <w:spacing w:line="440" w:lineRule="exact"/>
              <w:ind w:firstLine="0" w:firstLineChars="0"/>
              <w:jc w:val="center"/>
              <w:rPr>
                <w:rFonts w:ascii="Times New Roman" w:hAnsi="Times New Roman" w:cs="Times New Roman"/>
                <w:szCs w:val="21"/>
              </w:rPr>
            </w:pPr>
          </w:p>
        </w:tc>
      </w:tr>
      <w:tr w14:paraId="595FB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1E322F97">
            <w:pPr>
              <w:topLinePunct/>
              <w:spacing w:line="440" w:lineRule="exact"/>
              <w:ind w:firstLine="0" w:firstLineChars="0"/>
              <w:jc w:val="center"/>
              <w:rPr>
                <w:rFonts w:ascii="Times New Roman" w:hAnsi="Times New Roman"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F10EDD4">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013F34B7">
            <w:pPr>
              <w:topLinePunct/>
              <w:spacing w:line="440" w:lineRule="exact"/>
              <w:ind w:firstLine="0" w:firstLineChars="0"/>
              <w:jc w:val="center"/>
              <w:rPr>
                <w:rFonts w:ascii="Times New Roman" w:hAnsi="Times New Roman" w:cs="Times New Roman"/>
                <w:szCs w:val="21"/>
              </w:rPr>
            </w:pPr>
          </w:p>
        </w:tc>
      </w:tr>
      <w:tr w14:paraId="3ED18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6B294992">
            <w:pPr>
              <w:topLinePunct/>
              <w:spacing w:line="440" w:lineRule="exact"/>
              <w:ind w:firstLine="0" w:firstLineChars="0"/>
              <w:jc w:val="center"/>
              <w:rPr>
                <w:rFonts w:ascii="Times New Roman" w:hAnsi="Times New Roman"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DF32948">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4FA043D4">
            <w:pPr>
              <w:topLinePunct/>
              <w:spacing w:line="440" w:lineRule="exact"/>
              <w:ind w:firstLine="0" w:firstLineChars="0"/>
              <w:jc w:val="center"/>
              <w:rPr>
                <w:rFonts w:ascii="Times New Roman" w:hAnsi="Times New Roman" w:cs="Times New Roman"/>
                <w:szCs w:val="21"/>
              </w:rPr>
            </w:pPr>
          </w:p>
        </w:tc>
      </w:tr>
      <w:tr w14:paraId="7751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3D4F3F0">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20614DBD">
            <w:pPr>
              <w:topLinePunct/>
              <w:spacing w:line="440" w:lineRule="exact"/>
              <w:ind w:firstLine="0" w:firstLineChars="0"/>
              <w:jc w:val="center"/>
              <w:rPr>
                <w:rFonts w:ascii="Times New Roman" w:hAnsi="Times New Roman" w:cs="Times New Roman"/>
                <w:szCs w:val="21"/>
              </w:rPr>
            </w:pPr>
          </w:p>
        </w:tc>
      </w:tr>
      <w:tr w14:paraId="77E57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6A2CE15">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70313D44">
            <w:pPr>
              <w:topLinePunct/>
              <w:spacing w:line="440" w:lineRule="exact"/>
              <w:ind w:firstLine="0" w:firstLineChars="0"/>
              <w:jc w:val="center"/>
              <w:rPr>
                <w:rFonts w:ascii="Times New Roman" w:hAnsi="Times New Roman" w:cs="Times New Roman"/>
                <w:szCs w:val="21"/>
              </w:rPr>
            </w:pPr>
          </w:p>
        </w:tc>
      </w:tr>
      <w:tr w14:paraId="223EE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52D07D6">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C5044B3">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2CBFD0C4">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9765BDD">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有效期</w:t>
            </w:r>
          </w:p>
        </w:tc>
      </w:tr>
      <w:tr w14:paraId="68356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2A7BA7A">
            <w:pPr>
              <w:topLinePunct/>
              <w:spacing w:line="440" w:lineRule="exact"/>
              <w:ind w:firstLine="0" w:firstLineChars="0"/>
              <w:jc w:val="center"/>
              <w:rPr>
                <w:rFonts w:ascii="Times New Roman" w:hAnsi="Times New Roman"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6CA6BDB">
            <w:pPr>
              <w:topLinePunct/>
              <w:spacing w:line="440" w:lineRule="exact"/>
              <w:ind w:firstLine="0" w:firstLineChars="0"/>
              <w:jc w:val="center"/>
              <w:rPr>
                <w:rFonts w:ascii="Times New Roman" w:hAnsi="Times New Roman"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53D44A">
            <w:pPr>
              <w:topLinePunct/>
              <w:spacing w:line="440" w:lineRule="exact"/>
              <w:ind w:firstLine="0" w:firstLineChars="0"/>
              <w:jc w:val="center"/>
              <w:rPr>
                <w:rFonts w:ascii="Times New Roman" w:hAnsi="Times New Roman"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2ECA9FF">
            <w:pPr>
              <w:topLinePunct/>
              <w:spacing w:line="440" w:lineRule="exact"/>
              <w:ind w:firstLine="0" w:firstLineChars="0"/>
              <w:jc w:val="center"/>
              <w:rPr>
                <w:rFonts w:ascii="Times New Roman" w:hAnsi="Times New Roman" w:cs="Times New Roman"/>
                <w:szCs w:val="21"/>
              </w:rPr>
            </w:pPr>
          </w:p>
        </w:tc>
      </w:tr>
      <w:tr w14:paraId="731E2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792DB0B">
            <w:pPr>
              <w:topLinePunct/>
              <w:spacing w:line="440" w:lineRule="exact"/>
              <w:ind w:firstLine="0" w:firstLineChars="0"/>
              <w:jc w:val="center"/>
              <w:rPr>
                <w:rFonts w:ascii="Times New Roman" w:hAnsi="Times New Roman"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2C1CB7A">
            <w:pPr>
              <w:topLinePunct/>
              <w:spacing w:line="440" w:lineRule="exact"/>
              <w:ind w:firstLine="0" w:firstLineChars="0"/>
              <w:jc w:val="center"/>
              <w:rPr>
                <w:rFonts w:ascii="Times New Roman" w:hAnsi="Times New Roman"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D734500">
            <w:pPr>
              <w:topLinePunct/>
              <w:spacing w:line="440" w:lineRule="exact"/>
              <w:ind w:firstLine="0" w:firstLineChars="0"/>
              <w:jc w:val="center"/>
              <w:rPr>
                <w:rFonts w:ascii="Times New Roman" w:hAnsi="Times New Roman"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DF7A9DD">
            <w:pPr>
              <w:topLinePunct/>
              <w:spacing w:line="440" w:lineRule="exact"/>
              <w:ind w:firstLine="0" w:firstLineChars="0"/>
              <w:jc w:val="center"/>
              <w:rPr>
                <w:rFonts w:ascii="Times New Roman" w:hAnsi="Times New Roman" w:cs="Times New Roman"/>
                <w:szCs w:val="21"/>
              </w:rPr>
            </w:pPr>
          </w:p>
        </w:tc>
      </w:tr>
      <w:tr w14:paraId="6E8F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5972493">
            <w:pPr>
              <w:topLinePunct/>
              <w:spacing w:line="440" w:lineRule="exact"/>
              <w:ind w:firstLine="0" w:firstLineChars="0"/>
              <w:jc w:val="center"/>
              <w:rPr>
                <w:rFonts w:ascii="Times New Roman" w:hAnsi="Times New Roman"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CA01ECF">
            <w:pPr>
              <w:topLinePunct/>
              <w:spacing w:line="440" w:lineRule="exact"/>
              <w:ind w:firstLine="0" w:firstLineChars="0"/>
              <w:jc w:val="center"/>
              <w:rPr>
                <w:rFonts w:ascii="Times New Roman" w:hAnsi="Times New Roman"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7591DDA">
            <w:pPr>
              <w:topLinePunct/>
              <w:spacing w:line="440" w:lineRule="exact"/>
              <w:ind w:firstLine="0" w:firstLineChars="0"/>
              <w:jc w:val="center"/>
              <w:rPr>
                <w:rFonts w:ascii="Times New Roman" w:hAnsi="Times New Roman"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FA6F39C">
            <w:pPr>
              <w:topLinePunct/>
              <w:spacing w:line="440" w:lineRule="exact"/>
              <w:ind w:firstLine="0" w:firstLineChars="0"/>
              <w:jc w:val="center"/>
              <w:rPr>
                <w:rFonts w:ascii="Times New Roman" w:hAnsi="Times New Roman" w:cs="Times New Roman"/>
                <w:szCs w:val="21"/>
              </w:rPr>
            </w:pPr>
          </w:p>
        </w:tc>
      </w:tr>
      <w:tr w14:paraId="09948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40DB57F">
            <w:pPr>
              <w:topLinePunct/>
              <w:spacing w:line="440" w:lineRule="exact"/>
              <w:ind w:firstLine="0" w:firstLineChars="0"/>
              <w:jc w:val="center"/>
              <w:rPr>
                <w:rFonts w:ascii="Times New Roman" w:hAnsi="Times New Roman"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35729AE">
            <w:pPr>
              <w:topLinePunct/>
              <w:spacing w:line="440" w:lineRule="exact"/>
              <w:ind w:firstLine="0" w:firstLineChars="0"/>
              <w:jc w:val="center"/>
              <w:rPr>
                <w:rFonts w:ascii="Times New Roman" w:hAnsi="Times New Roman"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70E13833">
            <w:pPr>
              <w:topLinePunct/>
              <w:spacing w:line="440" w:lineRule="exact"/>
              <w:ind w:firstLine="0" w:firstLineChars="0"/>
              <w:jc w:val="center"/>
              <w:rPr>
                <w:rFonts w:ascii="Times New Roman" w:hAnsi="Times New Roman"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8668E03">
            <w:pPr>
              <w:topLinePunct/>
              <w:spacing w:line="440" w:lineRule="exact"/>
              <w:ind w:firstLine="0" w:firstLineChars="0"/>
              <w:jc w:val="center"/>
              <w:rPr>
                <w:rFonts w:ascii="Times New Roman" w:hAnsi="Times New Roman" w:cs="Times New Roman"/>
                <w:szCs w:val="21"/>
              </w:rPr>
            </w:pPr>
          </w:p>
        </w:tc>
      </w:tr>
      <w:tr w14:paraId="1F83A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E9A1A15">
            <w:pPr>
              <w:topLinePunct/>
              <w:spacing w:line="440" w:lineRule="exact"/>
              <w:ind w:firstLine="0" w:firstLineChars="0"/>
              <w:jc w:val="center"/>
              <w:rPr>
                <w:rFonts w:ascii="Times New Roman" w:hAnsi="Times New Roman" w:cs="Times New Roman"/>
                <w:szCs w:val="21"/>
              </w:rPr>
            </w:pPr>
            <w:r>
              <w:rPr>
                <w:rFonts w:ascii="Times New Roman" w:hAnsi="Times New Roman" w:cs="Times New Roman"/>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4781D08C">
            <w:pPr>
              <w:topLinePunct/>
              <w:spacing w:line="440" w:lineRule="exact"/>
              <w:ind w:firstLine="0" w:firstLineChars="0"/>
              <w:rPr>
                <w:rFonts w:ascii="Times New Roman" w:hAnsi="Times New Roman" w:eastAsia="黑体" w:cs="Times New Roman"/>
                <w:szCs w:val="21"/>
              </w:rPr>
            </w:pPr>
          </w:p>
        </w:tc>
      </w:tr>
    </w:tbl>
    <w:p w14:paraId="31910E98">
      <w:pPr>
        <w:ind w:firstLine="600"/>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2342B07E">
      <w:pPr>
        <w:ind w:firstLine="0" w:firstLineChars="0"/>
        <w:outlineLvl w:val="2"/>
        <w:rPr>
          <w:rFonts w:asciiTheme="majorEastAsia" w:hAnsiTheme="majorEastAsia" w:eastAsiaTheme="majorEastAsia" w:cstheme="majorEastAsia"/>
          <w:b/>
          <w:bCs/>
          <w:szCs w:val="21"/>
        </w:rPr>
      </w:pPr>
      <w:bookmarkStart w:id="278" w:name="_Toc16607"/>
      <w:bookmarkStart w:id="279" w:name="_Toc993"/>
      <w:bookmarkStart w:id="280" w:name="_Toc11377"/>
      <w:bookmarkStart w:id="281" w:name="_Toc24601"/>
      <w:bookmarkStart w:id="282" w:name="_Toc17068"/>
      <w:r>
        <w:rPr>
          <w:rFonts w:hint="eastAsia" w:asciiTheme="majorEastAsia" w:hAnsiTheme="majorEastAsia" w:eastAsiaTheme="majorEastAsia" w:cstheme="majorEastAsia"/>
          <w:b/>
          <w:bCs/>
          <w:szCs w:val="21"/>
        </w:rPr>
        <w:t>附件</w:t>
      </w:r>
      <w:bookmarkEnd w:id="278"/>
      <w:bookmarkEnd w:id="279"/>
      <w:bookmarkEnd w:id="280"/>
      <w:r>
        <w:rPr>
          <w:rFonts w:hint="eastAsia" w:asciiTheme="majorEastAsia" w:hAnsiTheme="majorEastAsia" w:eastAsiaTheme="majorEastAsia" w:cstheme="majorEastAsia"/>
          <w:b/>
          <w:bCs/>
          <w:szCs w:val="21"/>
        </w:rPr>
        <w:t>2-2 磋商文件规定的基本资格条件证明资料</w:t>
      </w:r>
      <w:bookmarkEnd w:id="281"/>
      <w:bookmarkEnd w:id="282"/>
    </w:p>
    <w:p w14:paraId="184C2E85">
      <w:pPr>
        <w:ind w:firstLine="562"/>
        <w:jc w:val="center"/>
        <w:rPr>
          <w:rFonts w:ascii="Times New Roman" w:hAnsi="Times New Roman" w:cs="Times New Roman"/>
          <w:b/>
          <w:bCs/>
          <w:sz w:val="28"/>
          <w:szCs w:val="28"/>
        </w:rPr>
      </w:pPr>
      <w:r>
        <w:rPr>
          <w:rFonts w:ascii="Times New Roman" w:hAnsi="Times New Roman" w:eastAsia="黑体" w:cs="Times New Roman"/>
          <w:b/>
          <w:bCs/>
          <w:sz w:val="28"/>
          <w:szCs w:val="28"/>
        </w:rPr>
        <w:t>磋商文件规定的基本资格条件证明资料</w:t>
      </w:r>
    </w:p>
    <w:p w14:paraId="1834C7E4">
      <w:pPr>
        <w:rPr>
          <w:rFonts w:asciiTheme="minorEastAsia" w:hAnsiTheme="minorEastAsia" w:eastAsiaTheme="minorEastAsia" w:cstheme="minorEastAsia"/>
        </w:rPr>
      </w:pPr>
      <w:r>
        <w:rPr>
          <w:rFonts w:hint="eastAsia" w:asciiTheme="minorEastAsia" w:hAnsiTheme="minorEastAsia" w:eastAsiaTheme="minorEastAsia" w:cstheme="minorEastAsia"/>
        </w:rPr>
        <w:t>符合《中华人民共和国政府采购法》第二十二条规定的供应商条件，并提供以下资格证明文件：</w:t>
      </w:r>
    </w:p>
    <w:p w14:paraId="3F1389D6">
      <w:r>
        <w:rPr>
          <w:rFonts w:hint="eastAsia"/>
        </w:rPr>
        <w:t>（1）提交企业法人营业执照副本(或者法人登记证书)以及组织机构代码证副本复印件。</w:t>
      </w:r>
    </w:p>
    <w:p w14:paraId="30E7341E">
      <w:r>
        <w:rPr>
          <w:rFonts w:hint="eastAsia"/>
        </w:rPr>
        <w:t>（2）提交</w:t>
      </w:r>
      <w:r>
        <w:t>《湖南省政府采购供应商资格承诺函》（格式详见附件</w:t>
      </w:r>
      <w:r>
        <w:rPr>
          <w:rFonts w:hint="eastAsia"/>
        </w:rPr>
        <w:t>2</w:t>
      </w:r>
      <w:r>
        <w:t>-</w:t>
      </w:r>
      <w:r>
        <w:rPr>
          <w:rFonts w:hint="eastAsia"/>
        </w:rPr>
        <w:t>3</w:t>
      </w:r>
      <w:r>
        <w:t>）</w:t>
      </w:r>
      <w:r>
        <w:rPr>
          <w:rFonts w:hint="eastAsia"/>
        </w:rPr>
        <w:t>。</w:t>
      </w:r>
    </w:p>
    <w:p w14:paraId="0DB5A57E">
      <w:r>
        <w:rPr>
          <w:rFonts w:hint="eastAsia"/>
        </w:rPr>
        <w:t>（3）提交法定代表人身份证明原件或者法定代表人授权委托书原件并附法定代表人身份证明原件；自然人提交身份证明复印件。</w:t>
      </w:r>
    </w:p>
    <w:p w14:paraId="414E0A49">
      <w:r>
        <w:rPr>
          <w:rFonts w:hint="eastAsia"/>
        </w:rPr>
        <w:t>（4）提交“信</w:t>
      </w:r>
      <w:r>
        <w:t>用中国</w:t>
      </w:r>
      <w:r>
        <w:rPr>
          <w:rFonts w:hint="eastAsia"/>
        </w:rPr>
        <w:t>”</w:t>
      </w:r>
      <w:r>
        <w:t>网（www.creditchina.gov.cn）未被列入失信被执行人和重大税收违法案件当事人名单</w:t>
      </w:r>
      <w:r>
        <w:rPr>
          <w:rFonts w:hint="eastAsia"/>
        </w:rPr>
        <w:t>截图</w:t>
      </w:r>
      <w:r>
        <w:t>，“中国政府采购网”（www.ccgp.gov.cn）或“湖南政府采购网”（www.ccgp-hunan.gov.cn) 网站未列入政府采购严重违法失信行为记录名单等被禁止投标记录</w:t>
      </w:r>
      <w:r>
        <w:rPr>
          <w:rFonts w:hint="eastAsia"/>
        </w:rPr>
        <w:t>截图）。</w:t>
      </w:r>
    </w:p>
    <w:p w14:paraId="1BFEBCC3">
      <w:bookmarkStart w:id="283" w:name="_Toc27548"/>
      <w:bookmarkStart w:id="284" w:name="_Toc27736"/>
      <w:r>
        <w:rPr>
          <w:rFonts w:hint="eastAsia"/>
        </w:rPr>
        <w:t>（5）法律、法规和磋商文件规定的其他资格证明材料。</w:t>
      </w:r>
    </w:p>
    <w:bookmarkEnd w:id="283"/>
    <w:bookmarkEnd w:id="284"/>
    <w:p w14:paraId="47874699">
      <w:pPr>
        <w:pStyle w:val="44"/>
        <w:spacing w:after="0"/>
        <w:ind w:left="0" w:leftChars="0" w:firstLine="422"/>
        <w:rPr>
          <w:rFonts w:ascii="Times New Roman" w:hAnsi="Times New Roman" w:cs="Times New Roman"/>
          <w:b/>
          <w:bCs/>
        </w:rPr>
      </w:pPr>
    </w:p>
    <w:p w14:paraId="584D1D42">
      <w:pPr>
        <w:pStyle w:val="64"/>
        <w:ind w:firstLine="482"/>
        <w:rPr>
          <w:rFonts w:ascii="Times New Roman" w:hAnsi="Times New Roman" w:cs="Times New Roman"/>
          <w:b/>
          <w:bCs/>
        </w:rPr>
      </w:pPr>
    </w:p>
    <w:p w14:paraId="2F3C15D1">
      <w:pPr>
        <w:pStyle w:val="64"/>
        <w:ind w:firstLine="482"/>
        <w:rPr>
          <w:rFonts w:ascii="Times New Roman" w:hAnsi="Times New Roman" w:cs="Times New Roman"/>
          <w:b/>
          <w:bCs/>
        </w:rPr>
      </w:pPr>
    </w:p>
    <w:p w14:paraId="09E15D2B">
      <w:pPr>
        <w:pStyle w:val="64"/>
        <w:ind w:firstLine="482"/>
        <w:rPr>
          <w:rFonts w:ascii="Times New Roman" w:hAnsi="Times New Roman" w:cs="Times New Roman"/>
          <w:b/>
          <w:bCs/>
        </w:rPr>
      </w:pPr>
    </w:p>
    <w:p w14:paraId="61D9F343">
      <w:pPr>
        <w:pStyle w:val="64"/>
        <w:ind w:firstLine="482"/>
        <w:rPr>
          <w:rFonts w:ascii="Times New Roman" w:hAnsi="Times New Roman" w:cs="Times New Roman"/>
          <w:b/>
          <w:bCs/>
        </w:rPr>
      </w:pPr>
    </w:p>
    <w:p w14:paraId="7E60813D">
      <w:pPr>
        <w:pStyle w:val="64"/>
        <w:ind w:firstLine="482"/>
        <w:rPr>
          <w:rFonts w:ascii="Times New Roman" w:hAnsi="Times New Roman" w:cs="Times New Roman"/>
          <w:b/>
          <w:bCs/>
        </w:rPr>
      </w:pPr>
    </w:p>
    <w:p w14:paraId="59509B26">
      <w:pPr>
        <w:pStyle w:val="64"/>
        <w:ind w:firstLine="482"/>
        <w:rPr>
          <w:rFonts w:ascii="Times New Roman" w:hAnsi="Times New Roman" w:cs="Times New Roman"/>
          <w:b/>
          <w:bCs/>
        </w:rPr>
      </w:pPr>
    </w:p>
    <w:p w14:paraId="6B6F1D25">
      <w:pPr>
        <w:pStyle w:val="64"/>
        <w:ind w:firstLine="482"/>
        <w:rPr>
          <w:rFonts w:ascii="Times New Roman" w:hAnsi="Times New Roman" w:cs="Times New Roman"/>
          <w:b/>
          <w:bCs/>
        </w:rPr>
        <w:sectPr>
          <w:pgSz w:w="11906" w:h="16838"/>
          <w:pgMar w:top="1474" w:right="1474" w:bottom="250" w:left="1588" w:header="851" w:footer="992" w:gutter="0"/>
          <w:cols w:space="720" w:num="1"/>
          <w:docGrid w:linePitch="312" w:charSpace="0"/>
        </w:sectPr>
      </w:pPr>
    </w:p>
    <w:p w14:paraId="639A78B2">
      <w:pPr>
        <w:ind w:firstLine="0" w:firstLineChars="0"/>
        <w:outlineLvl w:val="2"/>
        <w:rPr>
          <w:rFonts w:asciiTheme="majorEastAsia" w:hAnsiTheme="majorEastAsia" w:eastAsiaTheme="majorEastAsia" w:cstheme="majorEastAsia"/>
          <w:b/>
          <w:bCs/>
          <w:szCs w:val="21"/>
        </w:rPr>
      </w:pPr>
      <w:bookmarkStart w:id="285" w:name="_Toc24023"/>
      <w:bookmarkStart w:id="286" w:name="_Toc2031"/>
      <w:bookmarkStart w:id="287" w:name="_Toc24571"/>
      <w:bookmarkStart w:id="288" w:name="_Toc28863"/>
      <w:r>
        <w:rPr>
          <w:rFonts w:asciiTheme="majorEastAsia" w:hAnsiTheme="majorEastAsia" w:eastAsiaTheme="majorEastAsia" w:cstheme="majorEastAsia"/>
          <w:b/>
          <w:bCs/>
          <w:szCs w:val="21"/>
        </w:rPr>
        <w:t>附件</w:t>
      </w:r>
      <w:r>
        <w:rPr>
          <w:rFonts w:hint="eastAsia" w:asciiTheme="majorEastAsia" w:hAnsiTheme="majorEastAsia" w:eastAsiaTheme="majorEastAsia" w:cstheme="majorEastAsia"/>
          <w:b/>
          <w:bCs/>
          <w:szCs w:val="21"/>
        </w:rPr>
        <w:t>2-</w:t>
      </w:r>
      <w:bookmarkEnd w:id="285"/>
      <w:bookmarkEnd w:id="286"/>
      <w:r>
        <w:rPr>
          <w:rFonts w:hint="eastAsia" w:asciiTheme="majorEastAsia" w:hAnsiTheme="majorEastAsia" w:eastAsiaTheme="majorEastAsia" w:cstheme="majorEastAsia"/>
          <w:b/>
          <w:bCs/>
          <w:szCs w:val="21"/>
        </w:rPr>
        <w:t>3 湖南省政府采购供应商资格承诺函</w:t>
      </w:r>
      <w:bookmarkEnd w:id="287"/>
      <w:bookmarkEnd w:id="288"/>
    </w:p>
    <w:p w14:paraId="639878BA">
      <w:pPr>
        <w:spacing w:before="120" w:beforeLines="50"/>
        <w:ind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湖南省政府采购供应商资格承诺函</w:t>
      </w:r>
    </w:p>
    <w:p w14:paraId="3A6E562D">
      <w:pPr>
        <w:widowControl/>
        <w:spacing w:before="120" w:beforeLines="50"/>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046C17F8">
      <w:pPr>
        <w:widowControl/>
        <w:spacing w:before="120" w:beforeLines="50"/>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按照《政府采购促进中小企业发展管理办法》（财库〔2020〕46号），本公司企业规模为：大型</w:t>
      </w:r>
      <w:r>
        <w:rPr>
          <w:rFonts w:hint="eastAsia" w:asciiTheme="majorEastAsia" w:hAnsiTheme="majorEastAsia" w:eastAsiaTheme="majorEastAsia" w:cstheme="majorEastAsia"/>
          <w:color w:val="000000"/>
          <w:kern w:val="0"/>
          <w:szCs w:val="21"/>
        </w:rPr>
        <w:sym w:font="Wingdings 2" w:char="00A3"/>
      </w:r>
      <w:r>
        <w:rPr>
          <w:rFonts w:hint="eastAsia" w:asciiTheme="majorEastAsia" w:hAnsiTheme="majorEastAsia" w:eastAsiaTheme="majorEastAsia" w:cstheme="majorEastAsia"/>
          <w:color w:val="000000"/>
          <w:kern w:val="0"/>
          <w:szCs w:val="21"/>
        </w:rPr>
        <w:t xml:space="preserve"> 中型</w:t>
      </w:r>
      <w:r>
        <w:rPr>
          <w:rFonts w:hint="eastAsia" w:asciiTheme="majorEastAsia" w:hAnsiTheme="majorEastAsia" w:eastAsiaTheme="majorEastAsia" w:cstheme="majorEastAsia"/>
          <w:color w:val="000000"/>
          <w:kern w:val="0"/>
          <w:szCs w:val="21"/>
        </w:rPr>
        <w:sym w:font="Wingdings 2" w:char="00A3"/>
      </w:r>
      <w:r>
        <w:rPr>
          <w:rFonts w:hint="eastAsia" w:asciiTheme="majorEastAsia" w:hAnsiTheme="majorEastAsia" w:eastAsiaTheme="majorEastAsia" w:cstheme="majorEastAsia"/>
          <w:color w:val="000000"/>
          <w:kern w:val="0"/>
          <w:szCs w:val="21"/>
        </w:rPr>
        <w:t xml:space="preserve"> 小型</w:t>
      </w:r>
      <w:r>
        <w:rPr>
          <w:rFonts w:hint="eastAsia" w:asciiTheme="majorEastAsia" w:hAnsiTheme="majorEastAsia" w:eastAsiaTheme="majorEastAsia" w:cstheme="majorEastAsia"/>
          <w:color w:val="000000"/>
          <w:kern w:val="0"/>
          <w:szCs w:val="21"/>
        </w:rPr>
        <w:sym w:font="Wingdings 2" w:char="00A3"/>
      </w:r>
      <w:r>
        <w:rPr>
          <w:rFonts w:hint="eastAsia" w:asciiTheme="majorEastAsia" w:hAnsiTheme="majorEastAsia" w:eastAsiaTheme="majorEastAsia" w:cstheme="majorEastAsia"/>
          <w:color w:val="000000"/>
          <w:kern w:val="0"/>
          <w:szCs w:val="21"/>
        </w:rPr>
        <w:t xml:space="preserve"> 微型 </w:t>
      </w:r>
    </w:p>
    <w:p w14:paraId="7661BB8C">
      <w:pPr>
        <w:widowControl/>
        <w:spacing w:before="120" w:beforeLines="50"/>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sym w:font="Wingdings 2" w:char="00A3"/>
      </w:r>
      <w:r>
        <w:rPr>
          <w:rFonts w:hint="eastAsia" w:asciiTheme="majorEastAsia" w:hAnsiTheme="majorEastAsia" w:eastAsiaTheme="majorEastAsia" w:cstheme="majorEastAsia"/>
          <w:color w:val="000000"/>
          <w:kern w:val="0"/>
          <w:szCs w:val="21"/>
        </w:rPr>
        <w:t>本公司自愿入驻湖南省政府采购电子卖场，遵守《湖南省政府采购电子卖场管理办法》（湘财购〔2019〕27号），如违反承诺，同意金融机构将增信保证划缴国库（非电子卖场采购活动项目不需勾选）。</w:t>
      </w:r>
    </w:p>
    <w:p w14:paraId="357CD7A2">
      <w:pPr>
        <w:widowControl/>
        <w:spacing w:before="120" w:beforeLines="50"/>
        <w:jc w:val="right"/>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公司（单位）名称（盖章）</w:t>
      </w:r>
    </w:p>
    <w:p w14:paraId="6868C4B1">
      <w:pPr>
        <w:widowControl/>
        <w:spacing w:before="120" w:beforeLines="50"/>
        <w:jc w:val="right"/>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年月日</w:t>
      </w:r>
    </w:p>
    <w:p w14:paraId="6F5DA12A">
      <w:pPr>
        <w:widowControl/>
        <w:adjustRightInd w:val="0"/>
        <w:rPr>
          <w:rFonts w:asciiTheme="majorEastAsia" w:hAnsiTheme="majorEastAsia" w:eastAsiaTheme="majorEastAsia" w:cstheme="majorEastAsia"/>
          <w:color w:val="000000"/>
          <w:kern w:val="0"/>
          <w:szCs w:val="21"/>
        </w:rPr>
      </w:pPr>
    </w:p>
    <w:p w14:paraId="3BEFCE5E">
      <w:pPr>
        <w:widowControl/>
        <w:adjustRightInd w:val="0"/>
        <w:rPr>
          <w:rFonts w:asciiTheme="majorEastAsia" w:hAnsiTheme="majorEastAsia" w:eastAsiaTheme="majorEastAsia" w:cstheme="majorEastAsia"/>
          <w:color w:val="000000"/>
          <w:kern w:val="0"/>
          <w:szCs w:val="21"/>
        </w:rPr>
      </w:pPr>
    </w:p>
    <w:p w14:paraId="7EE07D74">
      <w:pPr>
        <w:widowControl/>
        <w:adjustRightInd w:val="0"/>
        <w:ind w:firstLine="422"/>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color w:val="000000"/>
          <w:kern w:val="0"/>
          <w:szCs w:val="21"/>
        </w:rPr>
        <w:t>机构代码、注册登记机构、日期、有效期、注册资本、地</w:t>
      </w:r>
    </w:p>
    <w:p w14:paraId="5360CAE3">
      <w:pPr>
        <w:widowControl/>
        <w:adjustRightInd w:val="0"/>
        <w:ind w:firstLine="422"/>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color w:val="000000"/>
          <w:kern w:val="0"/>
          <w:szCs w:val="21"/>
        </w:rPr>
        <w:t>址、经济行业、经济性质</w:t>
      </w:r>
    </w:p>
    <w:p w14:paraId="1581D002">
      <w:pPr>
        <w:widowControl/>
        <w:adjustRightInd w:val="0"/>
        <w:ind w:firstLine="422"/>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color w:val="000000"/>
          <w:kern w:val="0"/>
          <w:szCs w:val="21"/>
        </w:rPr>
        <w:t>法定代表人（负责人）姓名（签字）、身份证号、手机号：</w:t>
      </w:r>
    </w:p>
    <w:p w14:paraId="733357BB">
      <w:pPr>
        <w:widowControl/>
        <w:adjustRightInd w:val="0"/>
        <w:ind w:firstLine="422"/>
        <w:rPr>
          <w:rFonts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授权代表人姓名（签字）、身份证号、手机号：</w:t>
      </w:r>
    </w:p>
    <w:p w14:paraId="6084A518">
      <w:pPr>
        <w:spacing w:line="480" w:lineRule="exact"/>
        <w:rPr>
          <w:rFonts w:asciiTheme="majorEastAsia" w:hAnsiTheme="majorEastAsia" w:eastAsiaTheme="majorEastAsia" w:cstheme="majorEastAsia"/>
          <w:szCs w:val="21"/>
        </w:rPr>
      </w:pPr>
    </w:p>
    <w:p w14:paraId="2E1EA15B">
      <w:pPr>
        <w:spacing w:line="480" w:lineRule="exact"/>
        <w:rPr>
          <w:rFonts w:asciiTheme="majorEastAsia" w:hAnsiTheme="majorEastAsia" w:eastAsiaTheme="majorEastAsia" w:cstheme="majorEastAsia"/>
          <w:szCs w:val="21"/>
        </w:rPr>
      </w:pPr>
      <w:bookmarkStart w:id="289" w:name="_Toc15189"/>
    </w:p>
    <w:p w14:paraId="48DB4CDC">
      <w:pPr>
        <w:spacing w:line="480" w:lineRule="exact"/>
        <w:rPr>
          <w:rFonts w:asciiTheme="majorEastAsia" w:hAnsiTheme="majorEastAsia" w:eastAsiaTheme="majorEastAsia" w:cstheme="majorEastAsia"/>
          <w:szCs w:val="21"/>
        </w:rPr>
      </w:pPr>
    </w:p>
    <w:p w14:paraId="0E4CB631">
      <w:pPr>
        <w:spacing w:line="480" w:lineRule="exact"/>
        <w:rPr>
          <w:rFonts w:asciiTheme="majorEastAsia" w:hAnsiTheme="majorEastAsia" w:eastAsiaTheme="majorEastAsia" w:cstheme="majorEastAsia"/>
          <w:szCs w:val="21"/>
        </w:rPr>
      </w:pPr>
    </w:p>
    <w:p w14:paraId="4A017BDB">
      <w:pPr>
        <w:spacing w:line="480" w:lineRule="exact"/>
        <w:rPr>
          <w:rFonts w:asciiTheme="majorEastAsia" w:hAnsiTheme="majorEastAsia" w:eastAsiaTheme="majorEastAsia" w:cstheme="majorEastAsia"/>
          <w:szCs w:val="21"/>
        </w:rPr>
      </w:pPr>
    </w:p>
    <w:p w14:paraId="05033DDF">
      <w:pPr>
        <w:spacing w:line="480" w:lineRule="exact"/>
        <w:rPr>
          <w:rFonts w:asciiTheme="majorEastAsia" w:hAnsiTheme="majorEastAsia" w:eastAsiaTheme="majorEastAsia" w:cstheme="majorEastAsia"/>
          <w:szCs w:val="21"/>
        </w:rPr>
      </w:pPr>
    </w:p>
    <w:p w14:paraId="5E3DB850">
      <w:pPr>
        <w:spacing w:line="480" w:lineRule="exact"/>
        <w:rPr>
          <w:rFonts w:asciiTheme="majorEastAsia" w:hAnsiTheme="majorEastAsia" w:eastAsiaTheme="majorEastAsia" w:cstheme="majorEastAsia"/>
          <w:szCs w:val="21"/>
        </w:rPr>
      </w:pPr>
    </w:p>
    <w:p w14:paraId="7397AEB8">
      <w:pPr>
        <w:spacing w:line="480" w:lineRule="exact"/>
        <w:rPr>
          <w:rFonts w:asciiTheme="majorEastAsia" w:hAnsiTheme="majorEastAsia" w:eastAsiaTheme="majorEastAsia" w:cstheme="majorEastAsia"/>
          <w:szCs w:val="21"/>
        </w:rPr>
      </w:pPr>
    </w:p>
    <w:p w14:paraId="4EFF36C3">
      <w:pPr>
        <w:ind w:firstLine="422"/>
        <w:rPr>
          <w:rFonts w:asciiTheme="majorEastAsia" w:hAnsiTheme="majorEastAsia" w:eastAsiaTheme="majorEastAsia" w:cstheme="majorEastAsia"/>
          <w:b/>
          <w:bCs/>
          <w:szCs w:val="21"/>
        </w:rPr>
      </w:pPr>
      <w:bookmarkStart w:id="290" w:name="_Toc20579"/>
      <w:bookmarkStart w:id="291" w:name="_Toc10393"/>
      <w:bookmarkStart w:id="292" w:name="_Toc6673"/>
      <w:r>
        <w:rPr>
          <w:rFonts w:hint="eastAsia" w:asciiTheme="majorEastAsia" w:hAnsiTheme="majorEastAsia" w:eastAsiaTheme="majorEastAsia" w:cstheme="majorEastAsia"/>
          <w:b/>
          <w:bCs/>
          <w:szCs w:val="21"/>
        </w:rPr>
        <w:br w:type="page"/>
      </w:r>
    </w:p>
    <w:p w14:paraId="38306998">
      <w:pPr>
        <w:spacing w:line="480" w:lineRule="exact"/>
        <w:ind w:firstLine="0" w:firstLineChars="0"/>
        <w:outlineLvl w:val="2"/>
        <w:rPr>
          <w:rFonts w:asciiTheme="majorEastAsia" w:hAnsiTheme="majorEastAsia" w:eastAsiaTheme="majorEastAsia" w:cstheme="majorEastAsia"/>
          <w:b/>
          <w:bCs/>
          <w:szCs w:val="21"/>
        </w:rPr>
      </w:pPr>
      <w:bookmarkStart w:id="293" w:name="_Toc14058"/>
      <w:r>
        <w:rPr>
          <w:rFonts w:hint="eastAsia" w:asciiTheme="majorEastAsia" w:hAnsiTheme="majorEastAsia" w:eastAsiaTheme="majorEastAsia" w:cstheme="majorEastAsia"/>
          <w:b/>
          <w:bCs/>
          <w:szCs w:val="21"/>
        </w:rPr>
        <w:t>附件2-4 磋商文件规定的特定资格条件证明资料</w:t>
      </w:r>
      <w:bookmarkEnd w:id="289"/>
      <w:bookmarkEnd w:id="290"/>
      <w:bookmarkEnd w:id="291"/>
      <w:bookmarkEnd w:id="292"/>
      <w:bookmarkEnd w:id="293"/>
    </w:p>
    <w:p w14:paraId="5A4853C0">
      <w:pPr>
        <w:spacing w:line="480" w:lineRule="exact"/>
        <w:rPr>
          <w:rFonts w:asciiTheme="majorEastAsia" w:hAnsiTheme="majorEastAsia" w:eastAsiaTheme="majorEastAsia" w:cstheme="majorEastAsia"/>
          <w:szCs w:val="21"/>
        </w:rPr>
      </w:pPr>
    </w:p>
    <w:p w14:paraId="6666B66F">
      <w:pPr>
        <w:spacing w:line="48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备注：提供第二章 磋商须知第3.1款供应商特定资格条件证明资料的复印件。</w:t>
      </w:r>
    </w:p>
    <w:p w14:paraId="6085315A">
      <w:pPr>
        <w:spacing w:line="480" w:lineRule="exact"/>
        <w:rPr>
          <w:rFonts w:ascii="Times New Roman" w:hAnsi="Times New Roman" w:cs="Times New Roman"/>
          <w:szCs w:val="21"/>
        </w:rPr>
      </w:pPr>
    </w:p>
    <w:p w14:paraId="504C170F">
      <w:pPr>
        <w:spacing w:line="480" w:lineRule="exact"/>
        <w:ind w:firstLine="600"/>
        <w:rPr>
          <w:rFonts w:ascii="Times New Roman" w:hAnsi="Times New Roman" w:eastAsia="黑体" w:cs="Times New Roman"/>
          <w:sz w:val="30"/>
          <w:szCs w:val="30"/>
        </w:rPr>
      </w:pPr>
    </w:p>
    <w:p w14:paraId="69AD9B16">
      <w:pPr>
        <w:adjustRightInd w:val="0"/>
        <w:snapToGrid w:val="0"/>
        <w:ind w:firstLine="602"/>
        <w:rPr>
          <w:rFonts w:ascii="Times New Roman" w:hAnsi="Times New Roman" w:eastAsia="黑体" w:cs="Times New Roman"/>
          <w:b/>
          <w:sz w:val="30"/>
          <w:szCs w:val="30"/>
        </w:rPr>
      </w:pPr>
    </w:p>
    <w:p w14:paraId="1B0C225B">
      <w:pPr>
        <w:rPr>
          <w:rFonts w:ascii="Times New Roman" w:hAnsi="Times New Roman" w:cs="Times New Roman"/>
        </w:rPr>
      </w:pPr>
    </w:p>
    <w:p w14:paraId="1A5C1BE1">
      <w:pPr>
        <w:rPr>
          <w:rFonts w:ascii="Times New Roman" w:hAnsi="Times New Roman" w:cs="Times New Roman"/>
        </w:rPr>
      </w:pPr>
    </w:p>
    <w:p w14:paraId="4174FAA3">
      <w:pPr>
        <w:rPr>
          <w:rFonts w:ascii="Times New Roman" w:hAnsi="Times New Roman" w:cs="Times New Roman"/>
        </w:rPr>
      </w:pPr>
    </w:p>
    <w:p w14:paraId="251881FC">
      <w:pPr>
        <w:rPr>
          <w:rFonts w:ascii="Times New Roman" w:hAnsi="Times New Roman" w:cs="Times New Roman"/>
        </w:rPr>
      </w:pPr>
    </w:p>
    <w:p w14:paraId="4461212F">
      <w:pPr>
        <w:rPr>
          <w:rFonts w:ascii="Times New Roman" w:hAnsi="Times New Roman" w:cs="Times New Roman"/>
        </w:rPr>
      </w:pPr>
    </w:p>
    <w:p w14:paraId="01DDD167">
      <w:pPr>
        <w:rPr>
          <w:rFonts w:ascii="Times New Roman" w:hAnsi="Times New Roman" w:cs="Times New Roman"/>
        </w:rPr>
      </w:pPr>
    </w:p>
    <w:p w14:paraId="02037883">
      <w:pPr>
        <w:rPr>
          <w:rFonts w:ascii="Times New Roman" w:hAnsi="Times New Roman" w:cs="Times New Roman"/>
        </w:rPr>
      </w:pPr>
    </w:p>
    <w:p w14:paraId="00C34356">
      <w:pPr>
        <w:rPr>
          <w:rFonts w:ascii="Times New Roman" w:hAnsi="Times New Roman" w:cs="Times New Roman"/>
        </w:rPr>
      </w:pPr>
    </w:p>
    <w:p w14:paraId="1597C75F">
      <w:pPr>
        <w:rPr>
          <w:rFonts w:ascii="Times New Roman" w:hAnsi="Times New Roman" w:cs="Times New Roman"/>
        </w:rPr>
      </w:pPr>
    </w:p>
    <w:p w14:paraId="53B47A3A">
      <w:pPr>
        <w:rPr>
          <w:rFonts w:ascii="Times New Roman" w:hAnsi="Times New Roman" w:cs="Times New Roman"/>
        </w:rPr>
      </w:pPr>
    </w:p>
    <w:p w14:paraId="035D918D">
      <w:pPr>
        <w:rPr>
          <w:rFonts w:ascii="Times New Roman" w:hAnsi="Times New Roman" w:cs="Times New Roman"/>
        </w:rPr>
      </w:pPr>
    </w:p>
    <w:p w14:paraId="1744A18D">
      <w:pPr>
        <w:rPr>
          <w:rFonts w:ascii="Times New Roman" w:hAnsi="Times New Roman" w:cs="Times New Roman"/>
        </w:rPr>
      </w:pPr>
    </w:p>
    <w:p w14:paraId="4DB6D8EF">
      <w:pPr>
        <w:spacing w:line="480" w:lineRule="exact"/>
        <w:ind w:firstLine="0" w:firstLineChars="0"/>
        <w:outlineLvl w:val="2"/>
        <w:rPr>
          <w:rFonts w:asciiTheme="majorEastAsia" w:hAnsiTheme="majorEastAsia" w:eastAsiaTheme="majorEastAsia" w:cstheme="majorEastAsia"/>
          <w:b/>
          <w:bCs/>
          <w:szCs w:val="21"/>
        </w:rPr>
      </w:pPr>
      <w:bookmarkStart w:id="294" w:name="_Toc32683"/>
      <w:bookmarkStart w:id="295" w:name="_Toc21431"/>
      <w:bookmarkStart w:id="296" w:name="_Toc14375"/>
      <w:bookmarkStart w:id="297" w:name="_Toc20814"/>
      <w:bookmarkStart w:id="298" w:name="_Toc28997"/>
      <w:r>
        <w:rPr>
          <w:rFonts w:asciiTheme="majorEastAsia" w:hAnsiTheme="majorEastAsia" w:eastAsiaTheme="majorEastAsia" w:cstheme="majorEastAsia"/>
          <w:b/>
          <w:bCs/>
          <w:szCs w:val="21"/>
        </w:rPr>
        <w:t>附件</w:t>
      </w:r>
      <w:r>
        <w:rPr>
          <w:rFonts w:hint="eastAsia" w:asciiTheme="majorEastAsia" w:hAnsiTheme="majorEastAsia" w:eastAsiaTheme="majorEastAsia" w:cstheme="majorEastAsia"/>
          <w:b/>
          <w:bCs/>
          <w:szCs w:val="21"/>
        </w:rPr>
        <w:t>2-5</w:t>
      </w:r>
      <w:r>
        <w:rPr>
          <w:rFonts w:asciiTheme="majorEastAsia" w:hAnsiTheme="majorEastAsia" w:eastAsiaTheme="majorEastAsia" w:cstheme="majorEastAsia"/>
          <w:b/>
          <w:bCs/>
          <w:szCs w:val="21"/>
        </w:rPr>
        <w:t xml:space="preserve"> 其他证明资料或说明</w:t>
      </w:r>
      <w:bookmarkEnd w:id="294"/>
      <w:bookmarkEnd w:id="295"/>
      <w:bookmarkEnd w:id="296"/>
      <w:bookmarkEnd w:id="297"/>
      <w:bookmarkEnd w:id="298"/>
    </w:p>
    <w:p w14:paraId="36270F55">
      <w:pPr>
        <w:adjustRightInd w:val="0"/>
        <w:snapToGrid w:val="0"/>
        <w:rPr>
          <w:rFonts w:ascii="Times New Roman" w:hAnsi="Times New Roman" w:eastAsia="黑体" w:cs="Times New Roman"/>
          <w:szCs w:val="21"/>
        </w:rPr>
      </w:pPr>
    </w:p>
    <w:p w14:paraId="6140B94D">
      <w:pPr>
        <w:adjustRightInd w:val="0"/>
        <w:snapToGrid w:val="0"/>
        <w:rPr>
          <w:szCs w:val="21"/>
        </w:rPr>
      </w:pPr>
      <w:r>
        <w:rPr>
          <w:rFonts w:hint="eastAsia"/>
          <w:szCs w:val="21"/>
        </w:rPr>
        <w:t>注：供应商认为需要提供的其他资格证明材料或说明。</w:t>
      </w:r>
    </w:p>
    <w:p w14:paraId="33977D06">
      <w:pPr>
        <w:adjustRightInd w:val="0"/>
        <w:snapToGrid w:val="0"/>
        <w:ind w:firstLine="643"/>
        <w:jc w:val="center"/>
        <w:rPr>
          <w:rFonts w:ascii="Times New Roman" w:hAnsi="Times New Roman" w:eastAsia="黑体" w:cs="Times New Roman"/>
          <w:b/>
          <w:sz w:val="32"/>
          <w:szCs w:val="32"/>
        </w:rPr>
      </w:pPr>
    </w:p>
    <w:p w14:paraId="28269281">
      <w:pPr>
        <w:adjustRightInd w:val="0"/>
        <w:snapToGrid w:val="0"/>
        <w:ind w:firstLine="643"/>
        <w:jc w:val="center"/>
        <w:rPr>
          <w:rFonts w:ascii="Times New Roman" w:hAnsi="Times New Roman" w:eastAsia="黑体" w:cs="Times New Roman"/>
          <w:b/>
          <w:sz w:val="32"/>
          <w:szCs w:val="32"/>
        </w:rPr>
      </w:pPr>
    </w:p>
    <w:p w14:paraId="2D6540FB">
      <w:pPr>
        <w:adjustRightInd w:val="0"/>
        <w:snapToGrid w:val="0"/>
        <w:ind w:firstLine="643"/>
        <w:jc w:val="center"/>
        <w:rPr>
          <w:rFonts w:ascii="Times New Roman" w:hAnsi="Times New Roman" w:eastAsia="黑体" w:cs="Times New Roman"/>
          <w:b/>
          <w:sz w:val="32"/>
          <w:szCs w:val="32"/>
        </w:rPr>
      </w:pPr>
    </w:p>
    <w:p w14:paraId="610E8C2A">
      <w:pPr>
        <w:adjustRightInd w:val="0"/>
        <w:snapToGrid w:val="0"/>
        <w:ind w:firstLine="643"/>
        <w:jc w:val="center"/>
        <w:rPr>
          <w:rFonts w:ascii="Times New Roman" w:hAnsi="Times New Roman" w:eastAsia="黑体" w:cs="Times New Roman"/>
          <w:b/>
          <w:sz w:val="32"/>
          <w:szCs w:val="32"/>
        </w:rPr>
      </w:pPr>
    </w:p>
    <w:p w14:paraId="1EF024DC">
      <w:pPr>
        <w:adjustRightInd w:val="0"/>
        <w:snapToGrid w:val="0"/>
        <w:ind w:firstLine="643"/>
        <w:jc w:val="center"/>
        <w:rPr>
          <w:rFonts w:ascii="Times New Roman" w:hAnsi="Times New Roman" w:eastAsia="黑体" w:cs="Times New Roman"/>
          <w:b/>
          <w:sz w:val="32"/>
          <w:szCs w:val="32"/>
        </w:rPr>
      </w:pPr>
    </w:p>
    <w:p w14:paraId="258144E0">
      <w:pPr>
        <w:adjustRightInd w:val="0"/>
        <w:snapToGrid w:val="0"/>
        <w:ind w:firstLine="643"/>
        <w:jc w:val="center"/>
        <w:rPr>
          <w:rFonts w:ascii="Times New Roman" w:hAnsi="Times New Roman" w:eastAsia="黑体" w:cs="Times New Roman"/>
          <w:b/>
          <w:sz w:val="32"/>
          <w:szCs w:val="32"/>
        </w:rPr>
      </w:pPr>
    </w:p>
    <w:p w14:paraId="3201F6C3">
      <w:pPr>
        <w:adjustRightInd w:val="0"/>
        <w:snapToGrid w:val="0"/>
        <w:ind w:firstLine="643"/>
        <w:jc w:val="center"/>
        <w:rPr>
          <w:rFonts w:ascii="Times New Roman" w:hAnsi="Times New Roman" w:eastAsia="黑体" w:cs="Times New Roman"/>
          <w:b/>
          <w:sz w:val="32"/>
          <w:szCs w:val="32"/>
        </w:rPr>
      </w:pPr>
    </w:p>
    <w:p w14:paraId="51B765A4">
      <w:pPr>
        <w:adjustRightInd w:val="0"/>
        <w:snapToGrid w:val="0"/>
        <w:ind w:firstLine="643"/>
        <w:jc w:val="center"/>
        <w:rPr>
          <w:rFonts w:ascii="Times New Roman" w:hAnsi="Times New Roman" w:eastAsia="黑体" w:cs="Times New Roman"/>
          <w:b/>
          <w:sz w:val="32"/>
          <w:szCs w:val="32"/>
        </w:rPr>
      </w:pPr>
    </w:p>
    <w:p w14:paraId="2511A6AE">
      <w:pPr>
        <w:adjustRightInd w:val="0"/>
        <w:snapToGrid w:val="0"/>
        <w:ind w:firstLine="643"/>
        <w:jc w:val="center"/>
        <w:rPr>
          <w:rFonts w:ascii="Times New Roman" w:hAnsi="Times New Roman" w:eastAsia="黑体" w:cs="Times New Roman"/>
          <w:b/>
          <w:sz w:val="32"/>
          <w:szCs w:val="32"/>
        </w:rPr>
      </w:pPr>
    </w:p>
    <w:p w14:paraId="6228856D">
      <w:pPr>
        <w:adjustRightInd w:val="0"/>
        <w:snapToGrid w:val="0"/>
        <w:ind w:firstLine="643"/>
        <w:jc w:val="center"/>
        <w:rPr>
          <w:rFonts w:ascii="Times New Roman" w:hAnsi="Times New Roman" w:eastAsia="黑体" w:cs="Times New Roman"/>
          <w:b/>
          <w:sz w:val="32"/>
          <w:szCs w:val="32"/>
        </w:rPr>
      </w:pPr>
    </w:p>
    <w:p w14:paraId="36CA7E54">
      <w:pPr>
        <w:tabs>
          <w:tab w:val="left" w:pos="1680"/>
        </w:tabs>
        <w:adjustRightInd w:val="0"/>
        <w:snapToGrid w:val="0"/>
        <w:ind w:firstLine="0" w:firstLineChars="0"/>
        <w:jc w:val="center"/>
        <w:outlineLvl w:val="1"/>
        <w:rPr>
          <w:rFonts w:ascii="黑体" w:hAnsi="黑体" w:eastAsia="黑体" w:cs="黑体"/>
          <w:b/>
          <w:sz w:val="32"/>
          <w:szCs w:val="32"/>
        </w:rPr>
      </w:pPr>
      <w:bookmarkStart w:id="299" w:name="_Toc25333"/>
      <w:bookmarkStart w:id="300" w:name="_Toc5862"/>
      <w:bookmarkStart w:id="301" w:name="_Toc21704"/>
      <w:bookmarkStart w:id="302" w:name="_Toc31756"/>
      <w:r>
        <w:rPr>
          <w:rFonts w:hint="eastAsia" w:ascii="黑体" w:hAnsi="黑体" w:eastAsia="黑体" w:cs="黑体"/>
          <w:b/>
          <w:sz w:val="32"/>
          <w:szCs w:val="32"/>
        </w:rPr>
        <w:t>四、</w:t>
      </w:r>
      <w:bookmarkEnd w:id="299"/>
      <w:bookmarkEnd w:id="300"/>
      <w:bookmarkEnd w:id="301"/>
      <w:r>
        <w:rPr>
          <w:rFonts w:hint="eastAsia" w:ascii="黑体" w:hAnsi="黑体" w:eastAsia="黑体" w:cs="黑体"/>
          <w:b/>
          <w:sz w:val="32"/>
          <w:szCs w:val="32"/>
        </w:rPr>
        <w:t>服务方案</w:t>
      </w:r>
      <w:bookmarkEnd w:id="302"/>
    </w:p>
    <w:p w14:paraId="4B9A00CC">
      <w:pPr>
        <w:ind w:left="420" w:leftChars="200" w:firstLine="0" w:firstLineChars="0"/>
        <w:jc w:val="left"/>
        <w:rPr>
          <w:szCs w:val="21"/>
        </w:rPr>
      </w:pPr>
      <w:r>
        <w:rPr>
          <w:rFonts w:hint="eastAsia"/>
          <w:szCs w:val="21"/>
        </w:rPr>
        <w:t>服务类项目供应商应根据第四章采购需求和附页4评分因素和标准编写服务方案。</w:t>
      </w:r>
    </w:p>
    <w:p w14:paraId="5CBFF361">
      <w:pPr>
        <w:ind w:left="420" w:leftChars="200" w:firstLine="0" w:firstLineChars="0"/>
        <w:jc w:val="left"/>
        <w:rPr>
          <w:szCs w:val="21"/>
        </w:rPr>
      </w:pPr>
      <w:r>
        <w:rPr>
          <w:rFonts w:hint="eastAsia"/>
          <w:szCs w:val="21"/>
        </w:rPr>
        <w:t>注：格式自拟。</w:t>
      </w:r>
    </w:p>
    <w:p w14:paraId="69CDC19D">
      <w:pPr>
        <w:adjustRightInd w:val="0"/>
        <w:snapToGrid w:val="0"/>
        <w:ind w:firstLine="525" w:firstLineChars="250"/>
        <w:rPr>
          <w:rFonts w:ascii="Times New Roman" w:hAnsi="Times New Roman" w:cs="Times New Roman"/>
          <w:szCs w:val="21"/>
        </w:rPr>
      </w:pPr>
    </w:p>
    <w:p w14:paraId="4155689A">
      <w:pPr>
        <w:adjustRightInd w:val="0"/>
        <w:snapToGrid w:val="0"/>
        <w:ind w:firstLine="525" w:firstLineChars="250"/>
        <w:rPr>
          <w:rFonts w:ascii="Times New Roman" w:hAnsi="Times New Roman" w:cs="Times New Roman"/>
          <w:szCs w:val="21"/>
        </w:rPr>
      </w:pPr>
    </w:p>
    <w:p w14:paraId="05802A0F">
      <w:pPr>
        <w:adjustRightInd w:val="0"/>
        <w:snapToGrid w:val="0"/>
        <w:ind w:firstLine="210" w:firstLineChars="100"/>
        <w:rPr>
          <w:rFonts w:cs="Times New Roman"/>
          <w:szCs w:val="21"/>
        </w:rPr>
      </w:pPr>
      <w:r>
        <w:rPr>
          <w:rFonts w:hint="eastAsia" w:cs="Times New Roman"/>
          <w:szCs w:val="21"/>
        </w:rPr>
        <w:t>供应商名称（盖单位公章）：</w:t>
      </w:r>
    </w:p>
    <w:p w14:paraId="7F8A7FD5">
      <w:pPr>
        <w:adjustRightInd w:val="0"/>
        <w:snapToGrid w:val="0"/>
        <w:ind w:firstLine="206" w:firstLineChars="100"/>
        <w:rPr>
          <w:rFonts w:cs="Times New Roman"/>
          <w:szCs w:val="21"/>
          <w:u w:val="single"/>
        </w:rPr>
      </w:pPr>
      <w:r>
        <w:rPr>
          <w:rFonts w:hint="eastAsia" w:cs="微软雅黑"/>
          <w:spacing w:val="-2"/>
          <w:kern w:val="0"/>
          <w:szCs w:val="21"/>
        </w:rPr>
        <w:t>法</w:t>
      </w:r>
      <w:r>
        <w:rPr>
          <w:rFonts w:hint="eastAsia" w:cs="微软雅黑"/>
          <w:kern w:val="0"/>
          <w:szCs w:val="21"/>
        </w:rPr>
        <w:t>定</w:t>
      </w:r>
      <w:r>
        <w:rPr>
          <w:rFonts w:hint="eastAsia" w:cs="微软雅黑"/>
          <w:spacing w:val="-2"/>
          <w:kern w:val="0"/>
          <w:szCs w:val="21"/>
        </w:rPr>
        <w:t>代</w:t>
      </w:r>
      <w:r>
        <w:rPr>
          <w:rFonts w:hint="eastAsia" w:cs="微软雅黑"/>
          <w:kern w:val="0"/>
          <w:szCs w:val="21"/>
        </w:rPr>
        <w:t>表</w:t>
      </w:r>
      <w:r>
        <w:rPr>
          <w:rFonts w:hint="eastAsia" w:cs="微软雅黑"/>
          <w:spacing w:val="-2"/>
          <w:kern w:val="0"/>
          <w:szCs w:val="21"/>
        </w:rPr>
        <w:t>人</w:t>
      </w:r>
      <w:r>
        <w:rPr>
          <w:rFonts w:hint="eastAsia" w:cs="微软雅黑"/>
          <w:kern w:val="0"/>
          <w:szCs w:val="21"/>
        </w:rPr>
        <w:t>（</w:t>
      </w:r>
      <w:r>
        <w:rPr>
          <w:rFonts w:hint="eastAsia" w:cs="微软雅黑"/>
          <w:spacing w:val="-2"/>
          <w:kern w:val="0"/>
          <w:szCs w:val="21"/>
        </w:rPr>
        <w:t>单</w:t>
      </w:r>
      <w:r>
        <w:rPr>
          <w:rFonts w:hint="eastAsia" w:cs="微软雅黑"/>
          <w:kern w:val="0"/>
          <w:szCs w:val="21"/>
        </w:rPr>
        <w:t>位</w:t>
      </w:r>
      <w:r>
        <w:rPr>
          <w:rFonts w:hint="eastAsia" w:cs="微软雅黑"/>
          <w:spacing w:val="-2"/>
          <w:kern w:val="0"/>
          <w:szCs w:val="21"/>
        </w:rPr>
        <w:t>负</w:t>
      </w:r>
      <w:r>
        <w:rPr>
          <w:rFonts w:hint="eastAsia" w:cs="微软雅黑"/>
          <w:kern w:val="0"/>
          <w:szCs w:val="21"/>
        </w:rPr>
        <w:t>责人</w:t>
      </w:r>
      <w:r>
        <w:rPr>
          <w:rFonts w:hint="eastAsia" w:cs="微软雅黑"/>
          <w:spacing w:val="-2"/>
          <w:kern w:val="0"/>
          <w:szCs w:val="21"/>
        </w:rPr>
        <w:t>）</w:t>
      </w:r>
      <w:r>
        <w:rPr>
          <w:rFonts w:hint="eastAsia" w:cs="Times New Roman"/>
          <w:szCs w:val="21"/>
        </w:rPr>
        <w:t>或其授权的代理人（签字或印章）：</w:t>
      </w:r>
    </w:p>
    <w:p w14:paraId="5FC63974">
      <w:pPr>
        <w:adjustRightInd w:val="0"/>
        <w:snapToGrid w:val="0"/>
        <w:spacing w:line="240" w:lineRule="auto"/>
        <w:ind w:firstLine="210" w:firstLineChars="100"/>
        <w:rPr>
          <w:color w:val="000000"/>
          <w:szCs w:val="21"/>
        </w:rPr>
      </w:pPr>
      <w:r>
        <w:rPr>
          <w:rFonts w:hint="eastAsia" w:cs="Times New Roman"/>
          <w:szCs w:val="21"/>
        </w:rPr>
        <w:t>日期：年月日</w:t>
      </w:r>
    </w:p>
    <w:p w14:paraId="46558864">
      <w:pPr>
        <w:adjustRightInd w:val="0"/>
        <w:snapToGrid w:val="0"/>
        <w:ind w:firstLine="525" w:firstLineChars="250"/>
        <w:rPr>
          <w:rFonts w:ascii="Times New Roman" w:hAnsi="Times New Roman" w:cs="Times New Roman"/>
          <w:szCs w:val="21"/>
        </w:rPr>
      </w:pPr>
    </w:p>
    <w:p w14:paraId="1869B2D8">
      <w:pPr>
        <w:adjustRightInd w:val="0"/>
        <w:snapToGrid w:val="0"/>
        <w:ind w:firstLine="525" w:firstLineChars="250"/>
        <w:rPr>
          <w:rFonts w:ascii="Times New Roman" w:hAnsi="Times New Roman" w:cs="Times New Roman"/>
          <w:szCs w:val="21"/>
        </w:rPr>
      </w:pPr>
    </w:p>
    <w:p w14:paraId="576B275A">
      <w:pPr>
        <w:adjustRightInd w:val="0"/>
        <w:snapToGrid w:val="0"/>
        <w:ind w:firstLine="525" w:firstLineChars="250"/>
        <w:rPr>
          <w:rFonts w:ascii="Times New Roman" w:hAnsi="Times New Roman" w:cs="Times New Roman"/>
          <w:szCs w:val="21"/>
        </w:rPr>
      </w:pPr>
    </w:p>
    <w:p w14:paraId="64E8D245">
      <w:pPr>
        <w:adjustRightInd w:val="0"/>
        <w:snapToGrid w:val="0"/>
        <w:ind w:firstLine="525" w:firstLineChars="250"/>
        <w:rPr>
          <w:rFonts w:ascii="Times New Roman" w:hAnsi="Times New Roman" w:cs="Times New Roman"/>
          <w:szCs w:val="21"/>
        </w:rPr>
      </w:pPr>
    </w:p>
    <w:p w14:paraId="618493F7">
      <w:pPr>
        <w:adjustRightInd w:val="0"/>
        <w:snapToGrid w:val="0"/>
        <w:ind w:firstLine="525" w:firstLineChars="250"/>
        <w:rPr>
          <w:rFonts w:ascii="Times New Roman" w:hAnsi="Times New Roman" w:cs="Times New Roman"/>
          <w:szCs w:val="21"/>
        </w:rPr>
      </w:pPr>
    </w:p>
    <w:p w14:paraId="2842567D">
      <w:pPr>
        <w:adjustRightInd w:val="0"/>
        <w:snapToGrid w:val="0"/>
        <w:ind w:firstLine="525" w:firstLineChars="250"/>
        <w:rPr>
          <w:rFonts w:ascii="Times New Roman" w:hAnsi="Times New Roman" w:cs="Times New Roman"/>
          <w:szCs w:val="21"/>
        </w:rPr>
      </w:pPr>
    </w:p>
    <w:p w14:paraId="058CC2C1">
      <w:pPr>
        <w:adjustRightInd w:val="0"/>
        <w:snapToGrid w:val="0"/>
        <w:ind w:firstLine="525" w:firstLineChars="250"/>
        <w:rPr>
          <w:rFonts w:ascii="Times New Roman" w:hAnsi="Times New Roman" w:cs="Times New Roman"/>
          <w:szCs w:val="21"/>
        </w:rPr>
      </w:pPr>
    </w:p>
    <w:p w14:paraId="4F4F815F">
      <w:pPr>
        <w:adjustRightInd w:val="0"/>
        <w:snapToGrid w:val="0"/>
        <w:ind w:firstLine="525" w:firstLineChars="250"/>
        <w:rPr>
          <w:rFonts w:ascii="Times New Roman" w:hAnsi="Times New Roman" w:cs="Times New Roman"/>
          <w:szCs w:val="21"/>
        </w:rPr>
      </w:pPr>
    </w:p>
    <w:p w14:paraId="0B59B798">
      <w:pPr>
        <w:adjustRightInd w:val="0"/>
        <w:snapToGrid w:val="0"/>
        <w:ind w:firstLine="525" w:firstLineChars="250"/>
        <w:rPr>
          <w:rFonts w:ascii="Times New Roman" w:hAnsi="Times New Roman" w:cs="Times New Roman"/>
          <w:szCs w:val="21"/>
        </w:rPr>
      </w:pPr>
    </w:p>
    <w:p w14:paraId="1B048264">
      <w:pPr>
        <w:pStyle w:val="68"/>
        <w:rPr>
          <w:rFonts w:ascii="Times New Roman" w:hAnsi="Times New Roman" w:cs="Times New Roman"/>
          <w:szCs w:val="21"/>
        </w:rPr>
      </w:pPr>
    </w:p>
    <w:p w14:paraId="0E7F7441">
      <w:pPr>
        <w:rPr>
          <w:rFonts w:ascii="Times New Roman" w:hAnsi="Times New Roman" w:cs="Times New Roman"/>
          <w:szCs w:val="21"/>
        </w:rPr>
      </w:pPr>
    </w:p>
    <w:p w14:paraId="3AC19763">
      <w:pPr>
        <w:pStyle w:val="68"/>
        <w:rPr>
          <w:rFonts w:ascii="Times New Roman" w:hAnsi="Times New Roman" w:cs="Times New Roman"/>
          <w:szCs w:val="21"/>
        </w:rPr>
      </w:pPr>
    </w:p>
    <w:p w14:paraId="2F4C8F5A">
      <w:pPr>
        <w:rPr>
          <w:rFonts w:ascii="Times New Roman" w:hAnsi="Times New Roman" w:cs="Times New Roman"/>
          <w:szCs w:val="21"/>
        </w:rPr>
      </w:pPr>
    </w:p>
    <w:p w14:paraId="1F9D94E6">
      <w:pPr>
        <w:pStyle w:val="68"/>
        <w:rPr>
          <w:rFonts w:ascii="Times New Roman" w:hAnsi="Times New Roman" w:cs="Times New Roman"/>
          <w:szCs w:val="21"/>
        </w:rPr>
      </w:pPr>
    </w:p>
    <w:p w14:paraId="5F6CB571">
      <w:pPr>
        <w:rPr>
          <w:rFonts w:ascii="Times New Roman" w:hAnsi="Times New Roman" w:cs="Times New Roman"/>
          <w:szCs w:val="21"/>
        </w:rPr>
      </w:pPr>
    </w:p>
    <w:p w14:paraId="58AC3E0D">
      <w:pPr>
        <w:pStyle w:val="68"/>
        <w:rPr>
          <w:rFonts w:ascii="Times New Roman" w:hAnsi="Times New Roman" w:cs="Times New Roman"/>
          <w:szCs w:val="21"/>
        </w:rPr>
      </w:pPr>
    </w:p>
    <w:p w14:paraId="1455A80C">
      <w:pPr>
        <w:rPr>
          <w:rFonts w:ascii="Times New Roman" w:hAnsi="Times New Roman" w:cs="Times New Roman"/>
          <w:szCs w:val="21"/>
        </w:rPr>
      </w:pPr>
    </w:p>
    <w:p w14:paraId="1AB8F301">
      <w:pPr>
        <w:pStyle w:val="68"/>
        <w:rPr>
          <w:rFonts w:ascii="Times New Roman" w:hAnsi="Times New Roman" w:cs="Times New Roman"/>
          <w:szCs w:val="21"/>
        </w:rPr>
      </w:pPr>
    </w:p>
    <w:p w14:paraId="6EB12CAD">
      <w:pPr>
        <w:rPr>
          <w:rFonts w:ascii="Times New Roman" w:hAnsi="Times New Roman" w:cs="Times New Roman"/>
          <w:szCs w:val="21"/>
        </w:rPr>
      </w:pPr>
    </w:p>
    <w:p w14:paraId="41762C9F">
      <w:pPr>
        <w:pStyle w:val="68"/>
        <w:rPr>
          <w:rFonts w:ascii="Times New Roman" w:hAnsi="Times New Roman" w:cs="Times New Roman"/>
          <w:szCs w:val="21"/>
        </w:rPr>
      </w:pPr>
    </w:p>
    <w:p w14:paraId="132BF2DD">
      <w:pPr>
        <w:rPr>
          <w:rFonts w:ascii="Times New Roman" w:hAnsi="Times New Roman" w:cs="Times New Roman"/>
          <w:szCs w:val="21"/>
        </w:rPr>
      </w:pPr>
    </w:p>
    <w:p w14:paraId="3FC10CEB">
      <w:pPr>
        <w:pStyle w:val="68"/>
        <w:rPr>
          <w:rFonts w:ascii="Times New Roman" w:hAnsi="Times New Roman" w:cs="Times New Roman"/>
          <w:szCs w:val="21"/>
        </w:rPr>
      </w:pPr>
    </w:p>
    <w:p w14:paraId="3FE6B6A2">
      <w:pPr>
        <w:rPr>
          <w:rFonts w:ascii="Times New Roman" w:hAnsi="Times New Roman" w:cs="Times New Roman"/>
        </w:rPr>
      </w:pPr>
    </w:p>
    <w:p w14:paraId="0F0E2CEA">
      <w:pPr>
        <w:ind w:firstLine="422"/>
        <w:rPr>
          <w:rFonts w:asciiTheme="minorEastAsia" w:hAnsiTheme="minorEastAsia" w:eastAsiaTheme="minorEastAsia" w:cstheme="minorEastAsia"/>
          <w:b/>
          <w:bCs/>
          <w:szCs w:val="21"/>
        </w:rPr>
      </w:pPr>
      <w:bookmarkStart w:id="303" w:name="_Toc24441"/>
      <w:bookmarkStart w:id="304" w:name="_Toc32387"/>
      <w:bookmarkStart w:id="305" w:name="_Toc4191"/>
      <w:bookmarkStart w:id="306" w:name="_Toc214"/>
      <w:r>
        <w:rPr>
          <w:rFonts w:hint="eastAsia" w:asciiTheme="minorEastAsia" w:hAnsiTheme="minorEastAsia" w:eastAsiaTheme="minorEastAsia" w:cstheme="minorEastAsia"/>
          <w:b/>
          <w:bCs/>
          <w:szCs w:val="21"/>
        </w:rPr>
        <w:br w:type="page"/>
      </w:r>
    </w:p>
    <w:p w14:paraId="268DA6FF">
      <w:pPr>
        <w:ind w:firstLine="0" w:firstLineChars="0"/>
        <w:outlineLvl w:val="2"/>
        <w:rPr>
          <w:rFonts w:asciiTheme="minorEastAsia" w:hAnsiTheme="minorEastAsia" w:eastAsiaTheme="minorEastAsia" w:cstheme="minorEastAsia"/>
          <w:b/>
          <w:bCs/>
          <w:szCs w:val="21"/>
        </w:rPr>
      </w:pPr>
      <w:bookmarkStart w:id="307" w:name="_Toc19679"/>
      <w:r>
        <w:rPr>
          <w:rFonts w:hint="eastAsia" w:asciiTheme="minorEastAsia" w:hAnsiTheme="minorEastAsia" w:eastAsiaTheme="minorEastAsia" w:cstheme="minorEastAsia"/>
          <w:b/>
          <w:bCs/>
          <w:szCs w:val="21"/>
        </w:rPr>
        <w:t>附件3-1拟投入本项目人员汇总表</w:t>
      </w:r>
    </w:p>
    <w:bookmarkEnd w:id="303"/>
    <w:bookmarkEnd w:id="304"/>
    <w:bookmarkEnd w:id="305"/>
    <w:bookmarkEnd w:id="306"/>
    <w:bookmarkEnd w:id="307"/>
    <w:p w14:paraId="15A7A7FE">
      <w:pPr>
        <w:spacing w:line="360" w:lineRule="atLeast"/>
        <w:ind w:firstLine="0" w:firstLineChars="0"/>
        <w:jc w:val="center"/>
        <w:rPr>
          <w:rFonts w:ascii="Times New Roman" w:hAnsi="Times New Roman" w:eastAsia="黑体" w:cs="Times New Roman"/>
          <w:sz w:val="30"/>
          <w:szCs w:val="30"/>
        </w:rPr>
      </w:pPr>
      <w:bookmarkStart w:id="308" w:name="_Toc23368"/>
    </w:p>
    <w:p w14:paraId="61589C99">
      <w:pPr>
        <w:spacing w:line="360" w:lineRule="atLeast"/>
        <w:ind w:firstLine="0" w:firstLineChars="0"/>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拟投入本项目人员汇总表</w:t>
      </w:r>
    </w:p>
    <w:p w14:paraId="11A74F9C">
      <w:pPr>
        <w:adjustRightInd w:val="0"/>
        <w:snapToGrid w:val="0"/>
        <w:spacing w:line="240" w:lineRule="auto"/>
        <w:ind w:firstLine="0" w:firstLineChars="0"/>
        <w:jc w:val="center"/>
        <w:rPr>
          <w:color w:val="000000"/>
          <w:sz w:val="30"/>
          <w:szCs w:val="30"/>
        </w:rPr>
      </w:pP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12"/>
        <w:gridCol w:w="2159"/>
        <w:gridCol w:w="2495"/>
        <w:gridCol w:w="3331"/>
        <w:gridCol w:w="846"/>
      </w:tblGrid>
      <w:tr w14:paraId="21F4C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244E800C">
            <w:pPr>
              <w:adjustRightInd w:val="0"/>
              <w:snapToGrid w:val="0"/>
              <w:spacing w:line="240" w:lineRule="auto"/>
              <w:ind w:left="-88" w:leftChars="-42" w:firstLine="0" w:firstLineChars="0"/>
              <w:jc w:val="center"/>
              <w:rPr>
                <w:bCs/>
                <w:color w:val="000000"/>
                <w:szCs w:val="21"/>
              </w:rPr>
            </w:pPr>
            <w:r>
              <w:rPr>
                <w:rFonts w:hint="eastAsia"/>
                <w:bCs/>
                <w:color w:val="000000"/>
                <w:szCs w:val="21"/>
              </w:rPr>
              <w:t>序号</w:t>
            </w:r>
          </w:p>
        </w:tc>
        <w:tc>
          <w:tcPr>
            <w:tcW w:w="2159" w:type="dxa"/>
            <w:tcBorders>
              <w:top w:val="single" w:color="auto" w:sz="4" w:space="0"/>
              <w:left w:val="single" w:color="auto" w:sz="4" w:space="0"/>
              <w:bottom w:val="single" w:color="auto" w:sz="4" w:space="0"/>
              <w:right w:val="single" w:color="auto" w:sz="4" w:space="0"/>
            </w:tcBorders>
            <w:noWrap/>
            <w:vAlign w:val="center"/>
          </w:tcPr>
          <w:p w14:paraId="2F89AD2D">
            <w:pPr>
              <w:adjustRightInd w:val="0"/>
              <w:snapToGrid w:val="0"/>
              <w:spacing w:line="240" w:lineRule="auto"/>
              <w:ind w:left="-88" w:leftChars="-42" w:firstLine="0" w:firstLineChars="0"/>
              <w:jc w:val="center"/>
              <w:rPr>
                <w:color w:val="000000"/>
                <w:szCs w:val="21"/>
              </w:rPr>
            </w:pPr>
            <w:r>
              <w:rPr>
                <w:rFonts w:hint="eastAsia"/>
                <w:color w:val="000000"/>
                <w:szCs w:val="21"/>
              </w:rPr>
              <w:t>姓名</w:t>
            </w:r>
          </w:p>
        </w:tc>
        <w:tc>
          <w:tcPr>
            <w:tcW w:w="2495" w:type="dxa"/>
            <w:tcBorders>
              <w:top w:val="single" w:color="auto" w:sz="4" w:space="0"/>
              <w:left w:val="single" w:color="auto" w:sz="4" w:space="0"/>
              <w:bottom w:val="single" w:color="auto" w:sz="4" w:space="0"/>
              <w:right w:val="single" w:color="auto" w:sz="4" w:space="0"/>
            </w:tcBorders>
            <w:noWrap/>
            <w:vAlign w:val="center"/>
          </w:tcPr>
          <w:p w14:paraId="53E110B9">
            <w:pPr>
              <w:adjustRightInd w:val="0"/>
              <w:snapToGrid w:val="0"/>
              <w:spacing w:line="240" w:lineRule="auto"/>
              <w:ind w:left="-88" w:leftChars="-42" w:firstLine="0" w:firstLineChars="0"/>
              <w:jc w:val="center"/>
              <w:rPr>
                <w:color w:val="000000"/>
                <w:szCs w:val="21"/>
              </w:rPr>
            </w:pPr>
            <w:r>
              <w:rPr>
                <w:rFonts w:hint="eastAsia"/>
                <w:color w:val="000000"/>
                <w:szCs w:val="21"/>
              </w:rPr>
              <w:t>职称或相关资格证</w:t>
            </w:r>
          </w:p>
        </w:tc>
        <w:tc>
          <w:tcPr>
            <w:tcW w:w="3331" w:type="dxa"/>
            <w:tcBorders>
              <w:top w:val="single" w:color="auto" w:sz="4" w:space="0"/>
              <w:left w:val="single" w:color="auto" w:sz="4" w:space="0"/>
              <w:bottom w:val="single" w:color="auto" w:sz="4" w:space="0"/>
              <w:right w:val="single" w:color="auto" w:sz="4" w:space="0"/>
            </w:tcBorders>
            <w:noWrap/>
            <w:vAlign w:val="center"/>
          </w:tcPr>
          <w:p w14:paraId="5E0CCD95">
            <w:pPr>
              <w:adjustRightInd w:val="0"/>
              <w:snapToGrid w:val="0"/>
              <w:spacing w:line="240" w:lineRule="auto"/>
              <w:ind w:left="-88" w:leftChars="-42" w:firstLine="0" w:firstLineChars="0"/>
              <w:jc w:val="center"/>
              <w:rPr>
                <w:color w:val="000000"/>
                <w:szCs w:val="21"/>
              </w:rPr>
            </w:pPr>
            <w:r>
              <w:rPr>
                <w:rFonts w:hint="eastAsia"/>
                <w:color w:val="000000"/>
                <w:szCs w:val="21"/>
              </w:rPr>
              <w:t>拟任本项目担当的职务</w:t>
            </w:r>
          </w:p>
        </w:tc>
        <w:tc>
          <w:tcPr>
            <w:tcW w:w="846" w:type="dxa"/>
            <w:tcBorders>
              <w:top w:val="single" w:color="auto" w:sz="4" w:space="0"/>
              <w:left w:val="single" w:color="auto" w:sz="4" w:space="0"/>
              <w:bottom w:val="single" w:color="auto" w:sz="4" w:space="0"/>
              <w:right w:val="single" w:color="auto" w:sz="4" w:space="0"/>
            </w:tcBorders>
            <w:noWrap/>
            <w:vAlign w:val="center"/>
          </w:tcPr>
          <w:p w14:paraId="5E16E9B0">
            <w:pPr>
              <w:adjustRightInd w:val="0"/>
              <w:snapToGrid w:val="0"/>
              <w:spacing w:line="240" w:lineRule="auto"/>
              <w:ind w:left="-88" w:leftChars="-42" w:firstLine="0" w:firstLineChars="0"/>
              <w:jc w:val="center"/>
              <w:rPr>
                <w:color w:val="000000"/>
                <w:szCs w:val="21"/>
              </w:rPr>
            </w:pPr>
            <w:r>
              <w:rPr>
                <w:rFonts w:hint="eastAsia"/>
                <w:color w:val="000000"/>
                <w:szCs w:val="21"/>
              </w:rPr>
              <w:t>其他</w:t>
            </w:r>
          </w:p>
        </w:tc>
      </w:tr>
      <w:tr w14:paraId="3CC0E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12" w:type="dxa"/>
            <w:tcBorders>
              <w:top w:val="single" w:color="auto" w:sz="4" w:space="0"/>
              <w:left w:val="single" w:color="auto" w:sz="4" w:space="0"/>
              <w:bottom w:val="single" w:color="auto" w:sz="4" w:space="0"/>
              <w:right w:val="single" w:color="auto" w:sz="4" w:space="0"/>
            </w:tcBorders>
            <w:noWrap/>
          </w:tcPr>
          <w:p w14:paraId="1110047D">
            <w:pPr>
              <w:adjustRightInd w:val="0"/>
              <w:snapToGrid w:val="0"/>
              <w:spacing w:line="240" w:lineRule="auto"/>
              <w:ind w:left="-88" w:leftChars="-42" w:firstLine="0" w:firstLineChars="0"/>
              <w:jc w:val="center"/>
              <w:rPr>
                <w:color w:val="000000"/>
                <w:szCs w:val="21"/>
              </w:rPr>
            </w:pPr>
          </w:p>
        </w:tc>
        <w:tc>
          <w:tcPr>
            <w:tcW w:w="2159" w:type="dxa"/>
            <w:tcBorders>
              <w:top w:val="single" w:color="auto" w:sz="4" w:space="0"/>
              <w:left w:val="single" w:color="auto" w:sz="4" w:space="0"/>
              <w:bottom w:val="single" w:color="auto" w:sz="4" w:space="0"/>
              <w:right w:val="single" w:color="auto" w:sz="4" w:space="0"/>
            </w:tcBorders>
            <w:noWrap/>
            <w:vAlign w:val="center"/>
          </w:tcPr>
          <w:p w14:paraId="0D390E63">
            <w:pPr>
              <w:adjustRightInd w:val="0"/>
              <w:snapToGrid w:val="0"/>
              <w:spacing w:line="240" w:lineRule="auto"/>
              <w:ind w:left="-88" w:leftChars="-42" w:firstLine="0" w:firstLineChars="0"/>
              <w:jc w:val="center"/>
              <w:rPr>
                <w:color w:val="000000"/>
                <w:szCs w:val="21"/>
              </w:rPr>
            </w:pPr>
          </w:p>
        </w:tc>
        <w:tc>
          <w:tcPr>
            <w:tcW w:w="2495" w:type="dxa"/>
            <w:tcBorders>
              <w:top w:val="single" w:color="auto" w:sz="4" w:space="0"/>
              <w:left w:val="single" w:color="auto" w:sz="4" w:space="0"/>
              <w:bottom w:val="single" w:color="auto" w:sz="4" w:space="0"/>
              <w:right w:val="single" w:color="auto" w:sz="4" w:space="0"/>
            </w:tcBorders>
            <w:noWrap/>
            <w:vAlign w:val="center"/>
          </w:tcPr>
          <w:p w14:paraId="09D2FD78">
            <w:pPr>
              <w:adjustRightInd w:val="0"/>
              <w:snapToGrid w:val="0"/>
              <w:spacing w:line="240" w:lineRule="auto"/>
              <w:ind w:left="-88" w:leftChars="-42" w:firstLine="0" w:firstLineChars="0"/>
              <w:jc w:val="center"/>
              <w:rPr>
                <w:color w:val="000000"/>
                <w:szCs w:val="21"/>
              </w:rPr>
            </w:pPr>
          </w:p>
        </w:tc>
        <w:tc>
          <w:tcPr>
            <w:tcW w:w="3331" w:type="dxa"/>
            <w:tcBorders>
              <w:top w:val="single" w:color="auto" w:sz="4" w:space="0"/>
              <w:left w:val="single" w:color="auto" w:sz="4" w:space="0"/>
              <w:bottom w:val="single" w:color="auto" w:sz="4" w:space="0"/>
              <w:right w:val="single" w:color="auto" w:sz="4" w:space="0"/>
            </w:tcBorders>
            <w:noWrap/>
            <w:vAlign w:val="center"/>
          </w:tcPr>
          <w:p w14:paraId="07D10740">
            <w:pPr>
              <w:adjustRightInd w:val="0"/>
              <w:snapToGrid w:val="0"/>
              <w:spacing w:line="240" w:lineRule="auto"/>
              <w:ind w:left="-88" w:leftChars="-42" w:firstLine="0" w:firstLineChars="0"/>
              <w:jc w:val="center"/>
              <w:rPr>
                <w:color w:val="000000"/>
                <w:szCs w:val="21"/>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76B1B227">
            <w:pPr>
              <w:adjustRightInd w:val="0"/>
              <w:snapToGrid w:val="0"/>
              <w:spacing w:line="240" w:lineRule="auto"/>
              <w:ind w:left="-88" w:leftChars="-42" w:firstLine="0" w:firstLineChars="0"/>
              <w:jc w:val="center"/>
              <w:rPr>
                <w:color w:val="000000"/>
                <w:szCs w:val="21"/>
              </w:rPr>
            </w:pPr>
          </w:p>
        </w:tc>
      </w:tr>
      <w:tr w14:paraId="0C63F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12" w:type="dxa"/>
            <w:tcBorders>
              <w:top w:val="single" w:color="auto" w:sz="4" w:space="0"/>
              <w:left w:val="single" w:color="auto" w:sz="4" w:space="0"/>
              <w:bottom w:val="single" w:color="auto" w:sz="4" w:space="0"/>
              <w:right w:val="single" w:color="auto" w:sz="4" w:space="0"/>
            </w:tcBorders>
            <w:noWrap/>
          </w:tcPr>
          <w:p w14:paraId="2B262BA9">
            <w:pPr>
              <w:adjustRightInd w:val="0"/>
              <w:snapToGrid w:val="0"/>
              <w:spacing w:line="240" w:lineRule="auto"/>
              <w:ind w:left="-88" w:leftChars="-42" w:firstLine="0" w:firstLineChars="0"/>
              <w:jc w:val="center"/>
              <w:rPr>
                <w:color w:val="000000"/>
                <w:szCs w:val="21"/>
              </w:rPr>
            </w:pPr>
          </w:p>
        </w:tc>
        <w:tc>
          <w:tcPr>
            <w:tcW w:w="2159" w:type="dxa"/>
            <w:tcBorders>
              <w:top w:val="single" w:color="auto" w:sz="4" w:space="0"/>
              <w:left w:val="single" w:color="auto" w:sz="4" w:space="0"/>
              <w:bottom w:val="single" w:color="auto" w:sz="4" w:space="0"/>
              <w:right w:val="single" w:color="auto" w:sz="4" w:space="0"/>
            </w:tcBorders>
            <w:noWrap/>
            <w:vAlign w:val="center"/>
          </w:tcPr>
          <w:p w14:paraId="08460D51">
            <w:pPr>
              <w:adjustRightInd w:val="0"/>
              <w:snapToGrid w:val="0"/>
              <w:spacing w:line="240" w:lineRule="auto"/>
              <w:ind w:left="-88" w:leftChars="-42" w:firstLine="0" w:firstLineChars="0"/>
              <w:jc w:val="center"/>
              <w:rPr>
                <w:color w:val="000000"/>
                <w:szCs w:val="21"/>
              </w:rPr>
            </w:pPr>
          </w:p>
        </w:tc>
        <w:tc>
          <w:tcPr>
            <w:tcW w:w="2495" w:type="dxa"/>
            <w:tcBorders>
              <w:top w:val="single" w:color="auto" w:sz="4" w:space="0"/>
              <w:left w:val="single" w:color="auto" w:sz="4" w:space="0"/>
              <w:bottom w:val="single" w:color="auto" w:sz="4" w:space="0"/>
              <w:right w:val="single" w:color="auto" w:sz="4" w:space="0"/>
            </w:tcBorders>
            <w:noWrap/>
            <w:vAlign w:val="center"/>
          </w:tcPr>
          <w:p w14:paraId="7CA6A8EA">
            <w:pPr>
              <w:adjustRightInd w:val="0"/>
              <w:snapToGrid w:val="0"/>
              <w:spacing w:line="240" w:lineRule="auto"/>
              <w:ind w:left="-88" w:leftChars="-42" w:firstLine="0" w:firstLineChars="0"/>
              <w:jc w:val="center"/>
              <w:rPr>
                <w:color w:val="000000"/>
                <w:szCs w:val="21"/>
              </w:rPr>
            </w:pPr>
          </w:p>
        </w:tc>
        <w:tc>
          <w:tcPr>
            <w:tcW w:w="3331" w:type="dxa"/>
            <w:tcBorders>
              <w:top w:val="single" w:color="auto" w:sz="4" w:space="0"/>
              <w:left w:val="single" w:color="auto" w:sz="4" w:space="0"/>
              <w:bottom w:val="single" w:color="auto" w:sz="4" w:space="0"/>
              <w:right w:val="single" w:color="auto" w:sz="4" w:space="0"/>
            </w:tcBorders>
            <w:noWrap/>
            <w:vAlign w:val="center"/>
          </w:tcPr>
          <w:p w14:paraId="516674C8">
            <w:pPr>
              <w:adjustRightInd w:val="0"/>
              <w:snapToGrid w:val="0"/>
              <w:spacing w:line="240" w:lineRule="auto"/>
              <w:ind w:left="-88" w:leftChars="-42" w:firstLine="0" w:firstLineChars="0"/>
              <w:jc w:val="center"/>
              <w:rPr>
                <w:color w:val="000000"/>
                <w:szCs w:val="21"/>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020A3338">
            <w:pPr>
              <w:adjustRightInd w:val="0"/>
              <w:snapToGrid w:val="0"/>
              <w:spacing w:line="240" w:lineRule="auto"/>
              <w:ind w:left="-88" w:leftChars="-42" w:firstLine="0" w:firstLineChars="0"/>
              <w:jc w:val="center"/>
              <w:rPr>
                <w:color w:val="000000"/>
                <w:szCs w:val="21"/>
              </w:rPr>
            </w:pPr>
          </w:p>
        </w:tc>
      </w:tr>
      <w:tr w14:paraId="2E9624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12" w:type="dxa"/>
            <w:tcBorders>
              <w:top w:val="single" w:color="auto" w:sz="4" w:space="0"/>
              <w:left w:val="single" w:color="auto" w:sz="4" w:space="0"/>
              <w:bottom w:val="single" w:color="auto" w:sz="4" w:space="0"/>
              <w:right w:val="single" w:color="auto" w:sz="4" w:space="0"/>
            </w:tcBorders>
            <w:noWrap/>
          </w:tcPr>
          <w:p w14:paraId="2C65C014">
            <w:pPr>
              <w:adjustRightInd w:val="0"/>
              <w:snapToGrid w:val="0"/>
              <w:spacing w:line="240" w:lineRule="auto"/>
              <w:ind w:left="-88" w:leftChars="-42" w:firstLine="0" w:firstLineChars="0"/>
              <w:jc w:val="center"/>
              <w:rPr>
                <w:color w:val="000000"/>
                <w:szCs w:val="21"/>
              </w:rPr>
            </w:pPr>
          </w:p>
        </w:tc>
        <w:tc>
          <w:tcPr>
            <w:tcW w:w="2159" w:type="dxa"/>
            <w:tcBorders>
              <w:top w:val="single" w:color="auto" w:sz="4" w:space="0"/>
              <w:left w:val="single" w:color="auto" w:sz="4" w:space="0"/>
              <w:bottom w:val="single" w:color="auto" w:sz="4" w:space="0"/>
              <w:right w:val="single" w:color="auto" w:sz="4" w:space="0"/>
            </w:tcBorders>
            <w:noWrap/>
            <w:vAlign w:val="center"/>
          </w:tcPr>
          <w:p w14:paraId="5290A6AF">
            <w:pPr>
              <w:adjustRightInd w:val="0"/>
              <w:snapToGrid w:val="0"/>
              <w:spacing w:line="240" w:lineRule="auto"/>
              <w:ind w:left="-88" w:leftChars="-42" w:firstLine="0" w:firstLineChars="0"/>
              <w:jc w:val="center"/>
              <w:rPr>
                <w:color w:val="000000"/>
                <w:szCs w:val="21"/>
              </w:rPr>
            </w:pPr>
          </w:p>
        </w:tc>
        <w:tc>
          <w:tcPr>
            <w:tcW w:w="2495" w:type="dxa"/>
            <w:tcBorders>
              <w:top w:val="single" w:color="auto" w:sz="4" w:space="0"/>
              <w:left w:val="single" w:color="auto" w:sz="4" w:space="0"/>
              <w:bottom w:val="single" w:color="auto" w:sz="4" w:space="0"/>
              <w:right w:val="single" w:color="auto" w:sz="4" w:space="0"/>
            </w:tcBorders>
            <w:noWrap/>
            <w:vAlign w:val="center"/>
          </w:tcPr>
          <w:p w14:paraId="29CC46E3">
            <w:pPr>
              <w:adjustRightInd w:val="0"/>
              <w:snapToGrid w:val="0"/>
              <w:spacing w:line="240" w:lineRule="auto"/>
              <w:ind w:left="-88" w:leftChars="-42" w:firstLine="0" w:firstLineChars="0"/>
              <w:jc w:val="center"/>
              <w:rPr>
                <w:color w:val="000000"/>
                <w:szCs w:val="21"/>
              </w:rPr>
            </w:pPr>
          </w:p>
        </w:tc>
        <w:tc>
          <w:tcPr>
            <w:tcW w:w="3331" w:type="dxa"/>
            <w:tcBorders>
              <w:top w:val="single" w:color="auto" w:sz="4" w:space="0"/>
              <w:left w:val="single" w:color="auto" w:sz="4" w:space="0"/>
              <w:bottom w:val="single" w:color="auto" w:sz="4" w:space="0"/>
              <w:right w:val="single" w:color="auto" w:sz="4" w:space="0"/>
            </w:tcBorders>
            <w:noWrap/>
            <w:vAlign w:val="center"/>
          </w:tcPr>
          <w:p w14:paraId="1A5FF95A">
            <w:pPr>
              <w:adjustRightInd w:val="0"/>
              <w:snapToGrid w:val="0"/>
              <w:spacing w:line="240" w:lineRule="auto"/>
              <w:ind w:left="-88" w:leftChars="-42" w:firstLine="0" w:firstLineChars="0"/>
              <w:jc w:val="center"/>
              <w:rPr>
                <w:color w:val="000000"/>
                <w:szCs w:val="21"/>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55865DCF">
            <w:pPr>
              <w:adjustRightInd w:val="0"/>
              <w:snapToGrid w:val="0"/>
              <w:spacing w:line="240" w:lineRule="auto"/>
              <w:ind w:left="-88" w:leftChars="-42" w:firstLine="0" w:firstLineChars="0"/>
              <w:jc w:val="center"/>
              <w:rPr>
                <w:color w:val="000000"/>
                <w:szCs w:val="21"/>
              </w:rPr>
            </w:pPr>
          </w:p>
        </w:tc>
      </w:tr>
      <w:tr w14:paraId="4D37E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12" w:type="dxa"/>
            <w:tcBorders>
              <w:top w:val="single" w:color="auto" w:sz="4" w:space="0"/>
              <w:left w:val="single" w:color="auto" w:sz="4" w:space="0"/>
              <w:bottom w:val="single" w:color="auto" w:sz="4" w:space="0"/>
              <w:right w:val="single" w:color="auto" w:sz="4" w:space="0"/>
            </w:tcBorders>
            <w:noWrap/>
          </w:tcPr>
          <w:p w14:paraId="6FDB288B">
            <w:pPr>
              <w:adjustRightInd w:val="0"/>
              <w:snapToGrid w:val="0"/>
              <w:spacing w:line="240" w:lineRule="auto"/>
              <w:ind w:left="-88" w:leftChars="-42" w:firstLine="0" w:firstLineChars="0"/>
              <w:jc w:val="center"/>
              <w:rPr>
                <w:color w:val="000000"/>
                <w:szCs w:val="21"/>
              </w:rPr>
            </w:pPr>
          </w:p>
        </w:tc>
        <w:tc>
          <w:tcPr>
            <w:tcW w:w="2159" w:type="dxa"/>
            <w:tcBorders>
              <w:top w:val="single" w:color="auto" w:sz="4" w:space="0"/>
              <w:left w:val="single" w:color="auto" w:sz="4" w:space="0"/>
              <w:bottom w:val="single" w:color="auto" w:sz="4" w:space="0"/>
              <w:right w:val="single" w:color="auto" w:sz="4" w:space="0"/>
            </w:tcBorders>
            <w:noWrap/>
            <w:vAlign w:val="center"/>
          </w:tcPr>
          <w:p w14:paraId="04708E7D">
            <w:pPr>
              <w:adjustRightInd w:val="0"/>
              <w:snapToGrid w:val="0"/>
              <w:spacing w:line="240" w:lineRule="auto"/>
              <w:ind w:left="-88" w:leftChars="-42" w:firstLine="0" w:firstLineChars="0"/>
              <w:jc w:val="center"/>
              <w:rPr>
                <w:color w:val="000000"/>
                <w:szCs w:val="21"/>
              </w:rPr>
            </w:pPr>
          </w:p>
        </w:tc>
        <w:tc>
          <w:tcPr>
            <w:tcW w:w="2495" w:type="dxa"/>
            <w:tcBorders>
              <w:top w:val="single" w:color="auto" w:sz="4" w:space="0"/>
              <w:left w:val="single" w:color="auto" w:sz="4" w:space="0"/>
              <w:bottom w:val="single" w:color="auto" w:sz="4" w:space="0"/>
              <w:right w:val="single" w:color="auto" w:sz="4" w:space="0"/>
            </w:tcBorders>
            <w:noWrap/>
            <w:vAlign w:val="center"/>
          </w:tcPr>
          <w:p w14:paraId="6CAF3424">
            <w:pPr>
              <w:adjustRightInd w:val="0"/>
              <w:snapToGrid w:val="0"/>
              <w:spacing w:line="240" w:lineRule="auto"/>
              <w:ind w:left="-88" w:leftChars="-42" w:firstLine="0" w:firstLineChars="0"/>
              <w:jc w:val="center"/>
              <w:rPr>
                <w:color w:val="000000"/>
                <w:szCs w:val="21"/>
              </w:rPr>
            </w:pPr>
          </w:p>
        </w:tc>
        <w:tc>
          <w:tcPr>
            <w:tcW w:w="3331" w:type="dxa"/>
            <w:tcBorders>
              <w:top w:val="single" w:color="auto" w:sz="4" w:space="0"/>
              <w:left w:val="single" w:color="auto" w:sz="4" w:space="0"/>
              <w:bottom w:val="single" w:color="auto" w:sz="4" w:space="0"/>
              <w:right w:val="single" w:color="auto" w:sz="4" w:space="0"/>
            </w:tcBorders>
            <w:noWrap/>
            <w:vAlign w:val="center"/>
          </w:tcPr>
          <w:p w14:paraId="5151D6E3">
            <w:pPr>
              <w:adjustRightInd w:val="0"/>
              <w:snapToGrid w:val="0"/>
              <w:spacing w:line="240" w:lineRule="auto"/>
              <w:ind w:left="-88" w:leftChars="-42" w:firstLine="0" w:firstLineChars="0"/>
              <w:jc w:val="center"/>
              <w:rPr>
                <w:color w:val="000000"/>
                <w:szCs w:val="21"/>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24F30B3C">
            <w:pPr>
              <w:adjustRightInd w:val="0"/>
              <w:snapToGrid w:val="0"/>
              <w:spacing w:line="240" w:lineRule="auto"/>
              <w:ind w:left="-88" w:leftChars="-42" w:firstLine="0" w:firstLineChars="0"/>
              <w:jc w:val="center"/>
              <w:rPr>
                <w:color w:val="000000"/>
                <w:szCs w:val="21"/>
              </w:rPr>
            </w:pPr>
          </w:p>
        </w:tc>
      </w:tr>
      <w:tr w14:paraId="473C0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12" w:hRule="atLeast"/>
          <w:jc w:val="center"/>
        </w:trPr>
        <w:tc>
          <w:tcPr>
            <w:tcW w:w="812" w:type="dxa"/>
            <w:tcBorders>
              <w:top w:val="single" w:color="auto" w:sz="4" w:space="0"/>
              <w:left w:val="single" w:color="auto" w:sz="4" w:space="0"/>
              <w:bottom w:val="single" w:color="auto" w:sz="4" w:space="0"/>
              <w:right w:val="single" w:color="auto" w:sz="4" w:space="0"/>
            </w:tcBorders>
            <w:noWrap/>
          </w:tcPr>
          <w:p w14:paraId="34B6861C">
            <w:pPr>
              <w:adjustRightInd w:val="0"/>
              <w:snapToGrid w:val="0"/>
              <w:spacing w:line="240" w:lineRule="auto"/>
              <w:ind w:left="-88" w:leftChars="-42" w:firstLine="0" w:firstLineChars="0"/>
              <w:jc w:val="center"/>
              <w:rPr>
                <w:color w:val="000000"/>
                <w:szCs w:val="21"/>
              </w:rPr>
            </w:pPr>
          </w:p>
        </w:tc>
        <w:tc>
          <w:tcPr>
            <w:tcW w:w="2159" w:type="dxa"/>
            <w:tcBorders>
              <w:top w:val="single" w:color="auto" w:sz="4" w:space="0"/>
              <w:left w:val="single" w:color="auto" w:sz="4" w:space="0"/>
              <w:bottom w:val="single" w:color="auto" w:sz="4" w:space="0"/>
              <w:right w:val="single" w:color="auto" w:sz="4" w:space="0"/>
            </w:tcBorders>
            <w:noWrap/>
            <w:vAlign w:val="center"/>
          </w:tcPr>
          <w:p w14:paraId="17EE215E">
            <w:pPr>
              <w:adjustRightInd w:val="0"/>
              <w:snapToGrid w:val="0"/>
              <w:spacing w:line="240" w:lineRule="auto"/>
              <w:ind w:left="-88" w:leftChars="-42" w:firstLine="0" w:firstLineChars="0"/>
              <w:jc w:val="center"/>
              <w:rPr>
                <w:color w:val="000000"/>
                <w:szCs w:val="21"/>
              </w:rPr>
            </w:pPr>
          </w:p>
        </w:tc>
        <w:tc>
          <w:tcPr>
            <w:tcW w:w="2495" w:type="dxa"/>
            <w:tcBorders>
              <w:top w:val="single" w:color="auto" w:sz="4" w:space="0"/>
              <w:left w:val="single" w:color="auto" w:sz="4" w:space="0"/>
              <w:bottom w:val="single" w:color="auto" w:sz="4" w:space="0"/>
              <w:right w:val="single" w:color="auto" w:sz="4" w:space="0"/>
            </w:tcBorders>
            <w:noWrap/>
            <w:vAlign w:val="center"/>
          </w:tcPr>
          <w:p w14:paraId="40D5A9DA">
            <w:pPr>
              <w:adjustRightInd w:val="0"/>
              <w:snapToGrid w:val="0"/>
              <w:spacing w:line="240" w:lineRule="auto"/>
              <w:ind w:left="-88" w:leftChars="-42" w:firstLine="0" w:firstLineChars="0"/>
              <w:jc w:val="center"/>
              <w:rPr>
                <w:color w:val="000000"/>
                <w:szCs w:val="21"/>
              </w:rPr>
            </w:pPr>
          </w:p>
        </w:tc>
        <w:tc>
          <w:tcPr>
            <w:tcW w:w="3331" w:type="dxa"/>
            <w:tcBorders>
              <w:top w:val="single" w:color="auto" w:sz="4" w:space="0"/>
              <w:left w:val="single" w:color="auto" w:sz="4" w:space="0"/>
              <w:bottom w:val="single" w:color="auto" w:sz="4" w:space="0"/>
              <w:right w:val="single" w:color="auto" w:sz="4" w:space="0"/>
            </w:tcBorders>
            <w:noWrap/>
            <w:vAlign w:val="center"/>
          </w:tcPr>
          <w:p w14:paraId="541376FF">
            <w:pPr>
              <w:adjustRightInd w:val="0"/>
              <w:snapToGrid w:val="0"/>
              <w:spacing w:line="240" w:lineRule="auto"/>
              <w:ind w:left="-88" w:leftChars="-42" w:firstLine="0" w:firstLineChars="0"/>
              <w:jc w:val="center"/>
              <w:rPr>
                <w:color w:val="000000"/>
                <w:szCs w:val="21"/>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7F9FAA20">
            <w:pPr>
              <w:adjustRightInd w:val="0"/>
              <w:snapToGrid w:val="0"/>
              <w:spacing w:line="240" w:lineRule="auto"/>
              <w:ind w:left="-88" w:leftChars="-42" w:firstLine="0" w:firstLineChars="0"/>
              <w:jc w:val="center"/>
              <w:rPr>
                <w:color w:val="000000"/>
                <w:szCs w:val="21"/>
              </w:rPr>
            </w:pPr>
          </w:p>
        </w:tc>
      </w:tr>
    </w:tbl>
    <w:p w14:paraId="3DBCDED8">
      <w:pPr>
        <w:adjustRightInd w:val="0"/>
        <w:snapToGrid w:val="0"/>
        <w:rPr>
          <w:color w:val="000000"/>
          <w:szCs w:val="21"/>
        </w:rPr>
      </w:pPr>
    </w:p>
    <w:p w14:paraId="191CB131">
      <w:pPr>
        <w:adjustRightInd w:val="0"/>
        <w:snapToGrid w:val="0"/>
        <w:outlineLvl w:val="0"/>
        <w:rPr>
          <w:bCs/>
          <w:color w:val="000000"/>
          <w:szCs w:val="21"/>
        </w:rPr>
      </w:pPr>
      <w:bookmarkStart w:id="309" w:name="_Toc1014"/>
      <w:bookmarkStart w:id="310" w:name="_Toc18239"/>
      <w:bookmarkStart w:id="311" w:name="_Toc23217"/>
      <w:r>
        <w:rPr>
          <w:rFonts w:hint="eastAsia"/>
          <w:color w:val="000000"/>
          <w:szCs w:val="21"/>
        </w:rPr>
        <w:t>供应商名称：</w:t>
      </w:r>
      <w:bookmarkEnd w:id="309"/>
      <w:bookmarkEnd w:id="310"/>
      <w:bookmarkEnd w:id="311"/>
    </w:p>
    <w:p w14:paraId="0C37366D">
      <w:pPr>
        <w:adjustRightInd w:val="0"/>
        <w:snapToGrid w:val="0"/>
        <w:ind w:firstLine="0" w:firstLineChars="0"/>
        <w:outlineLvl w:val="0"/>
        <w:rPr>
          <w:color w:val="000000"/>
          <w:szCs w:val="21"/>
        </w:rPr>
      </w:pPr>
      <w:bookmarkStart w:id="312" w:name="_Toc21581"/>
      <w:bookmarkStart w:id="313" w:name="_Toc10944"/>
      <w:bookmarkStart w:id="314" w:name="_Toc7527"/>
      <w:r>
        <w:rPr>
          <w:rFonts w:hint="eastAsia"/>
          <w:color w:val="000000"/>
          <w:szCs w:val="21"/>
        </w:rPr>
        <w:t>法定代表人或其委托代理人(签字)：_</w:t>
      </w:r>
      <w:bookmarkEnd w:id="312"/>
      <w:bookmarkEnd w:id="313"/>
      <w:bookmarkEnd w:id="314"/>
    </w:p>
    <w:p w14:paraId="724566E1">
      <w:pPr>
        <w:spacing w:line="360" w:lineRule="atLeast"/>
        <w:ind w:firstLine="0" w:firstLineChars="0"/>
        <w:rPr>
          <w:color w:val="000000"/>
          <w:szCs w:val="21"/>
        </w:rPr>
      </w:pPr>
      <w:r>
        <w:rPr>
          <w:rFonts w:hint="eastAsia"/>
          <w:color w:val="000000"/>
          <w:szCs w:val="21"/>
        </w:rPr>
        <w:t>日期：  年  月  日</w:t>
      </w:r>
    </w:p>
    <w:p w14:paraId="7A07589F">
      <w:pPr>
        <w:ind w:firstLine="600"/>
        <w:rPr>
          <w:rFonts w:ascii="Times New Roman" w:hAnsi="Times New Roman" w:eastAsia="黑体" w:cs="Times New Roman"/>
          <w:sz w:val="30"/>
          <w:szCs w:val="30"/>
        </w:rPr>
      </w:pPr>
      <w:r>
        <w:rPr>
          <w:rFonts w:ascii="Times New Roman" w:hAnsi="Times New Roman" w:eastAsia="黑体" w:cs="Times New Roman"/>
          <w:sz w:val="30"/>
          <w:szCs w:val="30"/>
        </w:rPr>
        <w:br w:type="page"/>
      </w:r>
    </w:p>
    <w:p w14:paraId="040584E8">
      <w:pPr>
        <w:ind w:firstLine="0" w:firstLineChars="0"/>
        <w:outlineLvl w:val="2"/>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附件3-2 主要人员简历表</w:t>
      </w:r>
    </w:p>
    <w:p w14:paraId="3AC79CA2">
      <w:pPr>
        <w:spacing w:line="360" w:lineRule="atLeast"/>
        <w:ind w:firstLine="0" w:firstLineChars="0"/>
        <w:jc w:val="center"/>
        <w:rPr>
          <w:rFonts w:ascii="Times New Roman" w:hAnsi="Times New Roman" w:eastAsia="黑体" w:cs="Times New Roman"/>
          <w:sz w:val="30"/>
          <w:szCs w:val="30"/>
        </w:rPr>
      </w:pPr>
      <w:r>
        <w:rPr>
          <w:rFonts w:ascii="Times New Roman" w:hAnsi="Times New Roman" w:eastAsia="黑体" w:cs="Times New Roman"/>
          <w:sz w:val="30"/>
          <w:szCs w:val="30"/>
        </w:rPr>
        <w:t>主要人员简历表</w:t>
      </w:r>
      <w:bookmarkEnd w:id="308"/>
    </w:p>
    <w:p w14:paraId="4CD852C8">
      <w:pPr>
        <w:spacing w:line="360" w:lineRule="atLeast"/>
        <w:ind w:firstLine="560"/>
        <w:jc w:val="center"/>
        <w:rPr>
          <w:rFonts w:ascii="Times New Roman" w:hAnsi="Times New Roman" w:cs="Times New Roman"/>
          <w:sz w:val="28"/>
          <w:szCs w:val="28"/>
        </w:rPr>
      </w:pPr>
    </w:p>
    <w:tbl>
      <w:tblPr>
        <w:tblStyle w:val="45"/>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7B967A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noWrap/>
            <w:vAlign w:val="center"/>
          </w:tcPr>
          <w:p w14:paraId="55431EEF">
            <w:pPr>
              <w:spacing w:line="240" w:lineRule="auto"/>
              <w:ind w:firstLine="0" w:firstLineChars="0"/>
              <w:jc w:val="center"/>
            </w:pPr>
            <w:r>
              <w:rPr>
                <w:rFonts w:hint="eastAsia"/>
              </w:rPr>
              <w:t>姓名</w:t>
            </w:r>
          </w:p>
        </w:tc>
        <w:tc>
          <w:tcPr>
            <w:tcW w:w="2468" w:type="dxa"/>
            <w:noWrap/>
            <w:vAlign w:val="center"/>
          </w:tcPr>
          <w:p w14:paraId="5F875A29">
            <w:pPr>
              <w:spacing w:line="240" w:lineRule="auto"/>
              <w:ind w:firstLine="0" w:firstLineChars="0"/>
              <w:jc w:val="center"/>
            </w:pPr>
          </w:p>
        </w:tc>
        <w:tc>
          <w:tcPr>
            <w:tcW w:w="2340" w:type="dxa"/>
            <w:gridSpan w:val="3"/>
            <w:noWrap/>
            <w:vAlign w:val="center"/>
          </w:tcPr>
          <w:p w14:paraId="56C84F2B">
            <w:pPr>
              <w:spacing w:line="240" w:lineRule="auto"/>
              <w:ind w:firstLine="0" w:firstLineChars="0"/>
              <w:jc w:val="center"/>
            </w:pPr>
            <w:r>
              <w:rPr>
                <w:rFonts w:hint="eastAsia"/>
              </w:rPr>
              <w:t>性别</w:t>
            </w:r>
          </w:p>
        </w:tc>
        <w:tc>
          <w:tcPr>
            <w:tcW w:w="1663" w:type="dxa"/>
            <w:noWrap/>
            <w:vAlign w:val="center"/>
          </w:tcPr>
          <w:p w14:paraId="12EFCA29">
            <w:pPr>
              <w:spacing w:line="240" w:lineRule="auto"/>
              <w:ind w:firstLine="0" w:firstLineChars="0"/>
              <w:jc w:val="center"/>
            </w:pPr>
          </w:p>
        </w:tc>
      </w:tr>
      <w:tr w14:paraId="642E98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noWrap/>
            <w:vAlign w:val="center"/>
          </w:tcPr>
          <w:p w14:paraId="635061D2">
            <w:pPr>
              <w:spacing w:line="240" w:lineRule="auto"/>
              <w:ind w:firstLine="0" w:firstLineChars="0"/>
              <w:jc w:val="center"/>
            </w:pPr>
            <w:r>
              <w:rPr>
                <w:rFonts w:hint="eastAsia"/>
              </w:rPr>
              <w:t>职务</w:t>
            </w:r>
          </w:p>
        </w:tc>
        <w:tc>
          <w:tcPr>
            <w:tcW w:w="2468" w:type="dxa"/>
            <w:noWrap/>
            <w:vAlign w:val="center"/>
          </w:tcPr>
          <w:p w14:paraId="215F1581">
            <w:pPr>
              <w:spacing w:line="240" w:lineRule="auto"/>
              <w:ind w:firstLine="0" w:firstLineChars="0"/>
              <w:jc w:val="center"/>
            </w:pPr>
          </w:p>
        </w:tc>
        <w:tc>
          <w:tcPr>
            <w:tcW w:w="2340" w:type="dxa"/>
            <w:gridSpan w:val="3"/>
            <w:noWrap/>
            <w:vAlign w:val="center"/>
          </w:tcPr>
          <w:p w14:paraId="48FEB197">
            <w:pPr>
              <w:spacing w:line="240" w:lineRule="auto"/>
              <w:ind w:firstLine="0" w:firstLineChars="0"/>
              <w:jc w:val="center"/>
            </w:pPr>
            <w:r>
              <w:rPr>
                <w:rFonts w:hint="eastAsia"/>
              </w:rPr>
              <w:t>职称</w:t>
            </w:r>
          </w:p>
        </w:tc>
        <w:tc>
          <w:tcPr>
            <w:tcW w:w="1663" w:type="dxa"/>
            <w:noWrap/>
            <w:vAlign w:val="center"/>
          </w:tcPr>
          <w:p w14:paraId="015247CE">
            <w:pPr>
              <w:spacing w:line="240" w:lineRule="auto"/>
              <w:ind w:firstLine="0" w:firstLineChars="0"/>
              <w:jc w:val="center"/>
            </w:pPr>
          </w:p>
        </w:tc>
      </w:tr>
      <w:tr w14:paraId="2B950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noWrap/>
            <w:vAlign w:val="center"/>
          </w:tcPr>
          <w:p w14:paraId="72DF8347">
            <w:pPr>
              <w:spacing w:line="240" w:lineRule="auto"/>
              <w:ind w:firstLine="0" w:firstLineChars="0"/>
              <w:jc w:val="center"/>
            </w:pPr>
            <w:r>
              <w:rPr>
                <w:rFonts w:hint="eastAsia"/>
              </w:rPr>
              <w:t>毕业学校、专业</w:t>
            </w:r>
          </w:p>
        </w:tc>
        <w:tc>
          <w:tcPr>
            <w:tcW w:w="6471" w:type="dxa"/>
            <w:gridSpan w:val="5"/>
            <w:noWrap/>
            <w:vAlign w:val="center"/>
          </w:tcPr>
          <w:p w14:paraId="2C7293DD">
            <w:pPr>
              <w:spacing w:line="240" w:lineRule="auto"/>
              <w:ind w:firstLine="0" w:firstLineChars="0"/>
              <w:jc w:val="center"/>
            </w:pPr>
          </w:p>
        </w:tc>
      </w:tr>
      <w:tr w14:paraId="5207C1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ign w:val="center"/>
          </w:tcPr>
          <w:p w14:paraId="00FF1484">
            <w:pPr>
              <w:spacing w:line="240" w:lineRule="auto"/>
              <w:ind w:firstLine="0" w:firstLineChars="0"/>
              <w:jc w:val="center"/>
            </w:pPr>
            <w:r>
              <w:rPr>
                <w:rFonts w:hint="eastAsia"/>
              </w:rPr>
              <w:t>身份证号</w:t>
            </w:r>
          </w:p>
        </w:tc>
        <w:tc>
          <w:tcPr>
            <w:tcW w:w="2468" w:type="dxa"/>
            <w:noWrap/>
            <w:vAlign w:val="center"/>
          </w:tcPr>
          <w:p w14:paraId="3EBF5075">
            <w:pPr>
              <w:spacing w:line="240" w:lineRule="auto"/>
              <w:ind w:firstLine="0" w:firstLineChars="0"/>
              <w:jc w:val="center"/>
            </w:pPr>
          </w:p>
        </w:tc>
        <w:tc>
          <w:tcPr>
            <w:tcW w:w="2340" w:type="dxa"/>
            <w:gridSpan w:val="3"/>
            <w:noWrap/>
            <w:vAlign w:val="center"/>
          </w:tcPr>
          <w:p w14:paraId="4BE27FBE">
            <w:pPr>
              <w:spacing w:line="240" w:lineRule="auto"/>
              <w:ind w:firstLine="0" w:firstLineChars="0"/>
              <w:jc w:val="center"/>
            </w:pPr>
            <w:r>
              <w:rPr>
                <w:rFonts w:hint="eastAsia"/>
              </w:rPr>
              <w:t>拟在本合同任职</w:t>
            </w:r>
          </w:p>
        </w:tc>
        <w:tc>
          <w:tcPr>
            <w:tcW w:w="1663" w:type="dxa"/>
            <w:noWrap/>
            <w:vAlign w:val="center"/>
          </w:tcPr>
          <w:p w14:paraId="6238D680">
            <w:pPr>
              <w:spacing w:line="240" w:lineRule="auto"/>
              <w:ind w:firstLine="0" w:firstLineChars="0"/>
              <w:jc w:val="center"/>
            </w:pPr>
          </w:p>
        </w:tc>
      </w:tr>
      <w:tr w14:paraId="7E9B1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ign w:val="center"/>
          </w:tcPr>
          <w:p w14:paraId="68565033">
            <w:pPr>
              <w:spacing w:line="240" w:lineRule="auto"/>
              <w:ind w:firstLine="0" w:firstLineChars="0"/>
              <w:jc w:val="center"/>
            </w:pPr>
            <w:r>
              <w:rPr>
                <w:rFonts w:hint="eastAsia"/>
              </w:rPr>
              <w:t>执业资格证</w:t>
            </w:r>
          </w:p>
        </w:tc>
        <w:tc>
          <w:tcPr>
            <w:tcW w:w="2468" w:type="dxa"/>
            <w:noWrap/>
            <w:vAlign w:val="center"/>
          </w:tcPr>
          <w:p w14:paraId="0E0D810D">
            <w:pPr>
              <w:spacing w:line="240" w:lineRule="auto"/>
              <w:ind w:firstLine="0" w:firstLineChars="0"/>
              <w:jc w:val="center"/>
            </w:pPr>
          </w:p>
        </w:tc>
        <w:tc>
          <w:tcPr>
            <w:tcW w:w="2340" w:type="dxa"/>
            <w:gridSpan w:val="3"/>
            <w:noWrap/>
            <w:vAlign w:val="center"/>
          </w:tcPr>
          <w:p w14:paraId="0C27E7CB">
            <w:pPr>
              <w:spacing w:line="240" w:lineRule="auto"/>
              <w:ind w:firstLine="0" w:firstLineChars="0"/>
              <w:jc w:val="center"/>
            </w:pPr>
            <w:r>
              <w:rPr>
                <w:rFonts w:hint="eastAsia"/>
              </w:rPr>
              <w:t>执业资格证书号</w:t>
            </w:r>
          </w:p>
        </w:tc>
        <w:tc>
          <w:tcPr>
            <w:tcW w:w="1663" w:type="dxa"/>
            <w:noWrap/>
            <w:vAlign w:val="center"/>
          </w:tcPr>
          <w:p w14:paraId="0B9314EF">
            <w:pPr>
              <w:spacing w:line="240" w:lineRule="auto"/>
              <w:ind w:firstLine="0" w:firstLineChars="0"/>
              <w:jc w:val="center"/>
            </w:pPr>
          </w:p>
        </w:tc>
      </w:tr>
      <w:tr w14:paraId="2F30F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noWrap/>
            <w:vAlign w:val="center"/>
          </w:tcPr>
          <w:p w14:paraId="0BE96997">
            <w:pPr>
              <w:spacing w:line="240" w:lineRule="auto"/>
              <w:ind w:firstLine="0" w:firstLineChars="0"/>
              <w:jc w:val="center"/>
            </w:pPr>
            <w:r>
              <w:rPr>
                <w:rFonts w:hint="eastAsia"/>
              </w:rPr>
              <w:t>近三年承担项目情况</w:t>
            </w:r>
          </w:p>
        </w:tc>
      </w:tr>
      <w:tr w14:paraId="4BA24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378AD266">
            <w:pPr>
              <w:spacing w:line="240" w:lineRule="auto"/>
              <w:ind w:firstLine="0" w:firstLineChars="0"/>
              <w:jc w:val="center"/>
            </w:pPr>
            <w:r>
              <w:rPr>
                <w:rFonts w:hint="eastAsia"/>
              </w:rPr>
              <w:t>时间</w:t>
            </w:r>
          </w:p>
        </w:tc>
        <w:tc>
          <w:tcPr>
            <w:tcW w:w="3636" w:type="dxa"/>
            <w:gridSpan w:val="3"/>
            <w:noWrap/>
            <w:vAlign w:val="center"/>
          </w:tcPr>
          <w:p w14:paraId="01B64D6E">
            <w:pPr>
              <w:spacing w:line="240" w:lineRule="auto"/>
              <w:ind w:firstLine="0" w:firstLineChars="0"/>
              <w:jc w:val="center"/>
            </w:pPr>
            <w:r>
              <w:rPr>
                <w:rFonts w:hint="eastAsia"/>
              </w:rPr>
              <w:t>类似项目名称</w:t>
            </w:r>
          </w:p>
        </w:tc>
        <w:tc>
          <w:tcPr>
            <w:tcW w:w="1404" w:type="dxa"/>
            <w:noWrap/>
            <w:vAlign w:val="center"/>
          </w:tcPr>
          <w:p w14:paraId="745E22E3">
            <w:pPr>
              <w:spacing w:line="240" w:lineRule="auto"/>
              <w:ind w:firstLine="0" w:firstLineChars="0"/>
              <w:jc w:val="center"/>
            </w:pPr>
            <w:r>
              <w:rPr>
                <w:rFonts w:hint="eastAsia"/>
              </w:rPr>
              <w:t>担任职务</w:t>
            </w:r>
          </w:p>
        </w:tc>
        <w:tc>
          <w:tcPr>
            <w:tcW w:w="2203" w:type="dxa"/>
            <w:gridSpan w:val="2"/>
            <w:noWrap/>
            <w:vAlign w:val="center"/>
          </w:tcPr>
          <w:p w14:paraId="77F9B21F">
            <w:pPr>
              <w:spacing w:line="240" w:lineRule="auto"/>
              <w:ind w:firstLine="0" w:firstLineChars="0"/>
              <w:jc w:val="center"/>
            </w:pPr>
            <w:r>
              <w:rPr>
                <w:rFonts w:hint="eastAsia"/>
              </w:rPr>
              <w:t>项目单位名称及电话</w:t>
            </w:r>
          </w:p>
        </w:tc>
      </w:tr>
      <w:tr w14:paraId="42292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6A8D9154">
            <w:pPr>
              <w:spacing w:line="240" w:lineRule="auto"/>
              <w:ind w:firstLine="0" w:firstLineChars="0"/>
              <w:jc w:val="center"/>
            </w:pPr>
          </w:p>
        </w:tc>
        <w:tc>
          <w:tcPr>
            <w:tcW w:w="3636" w:type="dxa"/>
            <w:gridSpan w:val="3"/>
            <w:noWrap/>
            <w:vAlign w:val="center"/>
          </w:tcPr>
          <w:p w14:paraId="1313F020">
            <w:pPr>
              <w:spacing w:line="240" w:lineRule="auto"/>
              <w:ind w:firstLine="0" w:firstLineChars="0"/>
              <w:jc w:val="center"/>
            </w:pPr>
          </w:p>
        </w:tc>
        <w:tc>
          <w:tcPr>
            <w:tcW w:w="1404" w:type="dxa"/>
            <w:noWrap/>
            <w:vAlign w:val="center"/>
          </w:tcPr>
          <w:p w14:paraId="1CB53A2B">
            <w:pPr>
              <w:spacing w:line="240" w:lineRule="auto"/>
              <w:ind w:firstLine="0" w:firstLineChars="0"/>
              <w:jc w:val="center"/>
            </w:pPr>
          </w:p>
        </w:tc>
        <w:tc>
          <w:tcPr>
            <w:tcW w:w="2203" w:type="dxa"/>
            <w:gridSpan w:val="2"/>
            <w:noWrap/>
            <w:vAlign w:val="center"/>
          </w:tcPr>
          <w:p w14:paraId="38637CC6">
            <w:pPr>
              <w:spacing w:line="240" w:lineRule="auto"/>
              <w:ind w:firstLine="0" w:firstLineChars="0"/>
              <w:jc w:val="center"/>
            </w:pPr>
          </w:p>
        </w:tc>
      </w:tr>
      <w:tr w14:paraId="35CE3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716D5D97">
            <w:pPr>
              <w:spacing w:line="240" w:lineRule="auto"/>
              <w:ind w:firstLine="0" w:firstLineChars="0"/>
              <w:jc w:val="center"/>
            </w:pPr>
          </w:p>
        </w:tc>
        <w:tc>
          <w:tcPr>
            <w:tcW w:w="3636" w:type="dxa"/>
            <w:gridSpan w:val="3"/>
            <w:noWrap/>
            <w:vAlign w:val="center"/>
          </w:tcPr>
          <w:p w14:paraId="5F53BA47">
            <w:pPr>
              <w:spacing w:line="240" w:lineRule="auto"/>
              <w:ind w:firstLine="0" w:firstLineChars="0"/>
              <w:jc w:val="center"/>
            </w:pPr>
          </w:p>
        </w:tc>
        <w:tc>
          <w:tcPr>
            <w:tcW w:w="1404" w:type="dxa"/>
            <w:noWrap/>
            <w:vAlign w:val="center"/>
          </w:tcPr>
          <w:p w14:paraId="2A0D3DEA">
            <w:pPr>
              <w:spacing w:line="240" w:lineRule="auto"/>
              <w:ind w:firstLine="0" w:firstLineChars="0"/>
              <w:jc w:val="center"/>
            </w:pPr>
          </w:p>
        </w:tc>
        <w:tc>
          <w:tcPr>
            <w:tcW w:w="2203" w:type="dxa"/>
            <w:gridSpan w:val="2"/>
            <w:noWrap/>
            <w:vAlign w:val="center"/>
          </w:tcPr>
          <w:p w14:paraId="73C6B279">
            <w:pPr>
              <w:spacing w:line="240" w:lineRule="auto"/>
              <w:ind w:firstLine="0" w:firstLineChars="0"/>
              <w:jc w:val="center"/>
            </w:pPr>
          </w:p>
        </w:tc>
      </w:tr>
      <w:tr w14:paraId="5D88E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61DBED2E">
            <w:pPr>
              <w:spacing w:line="240" w:lineRule="auto"/>
              <w:ind w:firstLine="0" w:firstLineChars="0"/>
              <w:jc w:val="center"/>
            </w:pPr>
          </w:p>
        </w:tc>
        <w:tc>
          <w:tcPr>
            <w:tcW w:w="3636" w:type="dxa"/>
            <w:gridSpan w:val="3"/>
            <w:noWrap/>
            <w:vAlign w:val="center"/>
          </w:tcPr>
          <w:p w14:paraId="4C2E27AF">
            <w:pPr>
              <w:spacing w:line="240" w:lineRule="auto"/>
              <w:ind w:firstLine="0" w:firstLineChars="0"/>
              <w:jc w:val="center"/>
            </w:pPr>
          </w:p>
        </w:tc>
        <w:tc>
          <w:tcPr>
            <w:tcW w:w="1404" w:type="dxa"/>
            <w:noWrap/>
            <w:vAlign w:val="center"/>
          </w:tcPr>
          <w:p w14:paraId="28EF4BD7">
            <w:pPr>
              <w:spacing w:line="240" w:lineRule="auto"/>
              <w:ind w:firstLine="0" w:firstLineChars="0"/>
              <w:jc w:val="center"/>
            </w:pPr>
          </w:p>
        </w:tc>
        <w:tc>
          <w:tcPr>
            <w:tcW w:w="2203" w:type="dxa"/>
            <w:gridSpan w:val="2"/>
            <w:noWrap/>
            <w:vAlign w:val="center"/>
          </w:tcPr>
          <w:p w14:paraId="7949461D">
            <w:pPr>
              <w:spacing w:line="240" w:lineRule="auto"/>
              <w:ind w:firstLine="0" w:firstLineChars="0"/>
              <w:jc w:val="center"/>
            </w:pPr>
          </w:p>
        </w:tc>
      </w:tr>
      <w:tr w14:paraId="315E3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2A25D7A6">
            <w:pPr>
              <w:spacing w:line="240" w:lineRule="auto"/>
              <w:ind w:firstLine="0" w:firstLineChars="0"/>
              <w:jc w:val="center"/>
            </w:pPr>
          </w:p>
        </w:tc>
        <w:tc>
          <w:tcPr>
            <w:tcW w:w="3636" w:type="dxa"/>
            <w:gridSpan w:val="3"/>
            <w:noWrap/>
            <w:vAlign w:val="center"/>
          </w:tcPr>
          <w:p w14:paraId="4B538201">
            <w:pPr>
              <w:spacing w:line="240" w:lineRule="auto"/>
              <w:ind w:firstLine="0" w:firstLineChars="0"/>
              <w:jc w:val="center"/>
            </w:pPr>
          </w:p>
        </w:tc>
        <w:tc>
          <w:tcPr>
            <w:tcW w:w="1404" w:type="dxa"/>
            <w:noWrap/>
            <w:vAlign w:val="center"/>
          </w:tcPr>
          <w:p w14:paraId="3E01B5DF">
            <w:pPr>
              <w:spacing w:line="240" w:lineRule="auto"/>
              <w:ind w:firstLine="0" w:firstLineChars="0"/>
              <w:jc w:val="center"/>
            </w:pPr>
          </w:p>
        </w:tc>
        <w:tc>
          <w:tcPr>
            <w:tcW w:w="2203" w:type="dxa"/>
            <w:gridSpan w:val="2"/>
            <w:noWrap/>
            <w:vAlign w:val="center"/>
          </w:tcPr>
          <w:p w14:paraId="1D66526A">
            <w:pPr>
              <w:spacing w:line="240" w:lineRule="auto"/>
              <w:ind w:firstLine="0" w:firstLineChars="0"/>
              <w:jc w:val="center"/>
            </w:pPr>
          </w:p>
        </w:tc>
      </w:tr>
      <w:tr w14:paraId="23D86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3D12156A">
            <w:pPr>
              <w:spacing w:line="240" w:lineRule="auto"/>
              <w:ind w:firstLine="0" w:firstLineChars="0"/>
              <w:jc w:val="center"/>
            </w:pPr>
          </w:p>
        </w:tc>
        <w:tc>
          <w:tcPr>
            <w:tcW w:w="3636" w:type="dxa"/>
            <w:gridSpan w:val="3"/>
            <w:noWrap/>
            <w:vAlign w:val="center"/>
          </w:tcPr>
          <w:p w14:paraId="05E13BDE">
            <w:pPr>
              <w:spacing w:line="240" w:lineRule="auto"/>
              <w:ind w:firstLine="0" w:firstLineChars="0"/>
              <w:jc w:val="center"/>
            </w:pPr>
          </w:p>
        </w:tc>
        <w:tc>
          <w:tcPr>
            <w:tcW w:w="1404" w:type="dxa"/>
            <w:noWrap/>
            <w:vAlign w:val="center"/>
          </w:tcPr>
          <w:p w14:paraId="5BB665F5">
            <w:pPr>
              <w:spacing w:line="240" w:lineRule="auto"/>
              <w:ind w:firstLine="0" w:firstLineChars="0"/>
              <w:jc w:val="center"/>
            </w:pPr>
          </w:p>
        </w:tc>
        <w:tc>
          <w:tcPr>
            <w:tcW w:w="2203" w:type="dxa"/>
            <w:gridSpan w:val="2"/>
            <w:noWrap/>
            <w:vAlign w:val="center"/>
          </w:tcPr>
          <w:p w14:paraId="1102619A">
            <w:pPr>
              <w:spacing w:line="240" w:lineRule="auto"/>
              <w:ind w:firstLine="0" w:firstLineChars="0"/>
              <w:jc w:val="center"/>
            </w:pPr>
          </w:p>
        </w:tc>
      </w:tr>
      <w:tr w14:paraId="163C9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12F33689">
            <w:pPr>
              <w:spacing w:line="240" w:lineRule="auto"/>
              <w:ind w:firstLine="0" w:firstLineChars="0"/>
              <w:jc w:val="center"/>
            </w:pPr>
          </w:p>
        </w:tc>
        <w:tc>
          <w:tcPr>
            <w:tcW w:w="3636" w:type="dxa"/>
            <w:gridSpan w:val="3"/>
            <w:noWrap/>
            <w:vAlign w:val="center"/>
          </w:tcPr>
          <w:p w14:paraId="25C9D86A">
            <w:pPr>
              <w:spacing w:line="240" w:lineRule="auto"/>
              <w:ind w:firstLine="0" w:firstLineChars="0"/>
              <w:jc w:val="center"/>
            </w:pPr>
          </w:p>
        </w:tc>
        <w:tc>
          <w:tcPr>
            <w:tcW w:w="1404" w:type="dxa"/>
            <w:noWrap/>
            <w:vAlign w:val="center"/>
          </w:tcPr>
          <w:p w14:paraId="28898F1F">
            <w:pPr>
              <w:spacing w:line="240" w:lineRule="auto"/>
              <w:ind w:firstLine="0" w:firstLineChars="0"/>
              <w:jc w:val="center"/>
            </w:pPr>
          </w:p>
        </w:tc>
        <w:tc>
          <w:tcPr>
            <w:tcW w:w="2203" w:type="dxa"/>
            <w:gridSpan w:val="2"/>
            <w:noWrap/>
            <w:vAlign w:val="center"/>
          </w:tcPr>
          <w:p w14:paraId="677870CE">
            <w:pPr>
              <w:spacing w:line="240" w:lineRule="auto"/>
              <w:ind w:firstLine="0" w:firstLineChars="0"/>
              <w:jc w:val="center"/>
            </w:pPr>
          </w:p>
        </w:tc>
      </w:tr>
      <w:tr w14:paraId="10917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492C4622">
            <w:pPr>
              <w:spacing w:line="240" w:lineRule="auto"/>
              <w:ind w:firstLine="0" w:firstLineChars="0"/>
              <w:jc w:val="center"/>
            </w:pPr>
          </w:p>
        </w:tc>
        <w:tc>
          <w:tcPr>
            <w:tcW w:w="3636" w:type="dxa"/>
            <w:gridSpan w:val="3"/>
            <w:noWrap/>
            <w:vAlign w:val="center"/>
          </w:tcPr>
          <w:p w14:paraId="11D97859">
            <w:pPr>
              <w:spacing w:line="240" w:lineRule="auto"/>
              <w:ind w:firstLine="0" w:firstLineChars="0"/>
              <w:jc w:val="center"/>
            </w:pPr>
          </w:p>
        </w:tc>
        <w:tc>
          <w:tcPr>
            <w:tcW w:w="1404" w:type="dxa"/>
            <w:noWrap/>
            <w:vAlign w:val="center"/>
          </w:tcPr>
          <w:p w14:paraId="57600694">
            <w:pPr>
              <w:spacing w:line="240" w:lineRule="auto"/>
              <w:ind w:firstLine="0" w:firstLineChars="0"/>
              <w:jc w:val="center"/>
            </w:pPr>
          </w:p>
        </w:tc>
        <w:tc>
          <w:tcPr>
            <w:tcW w:w="2203" w:type="dxa"/>
            <w:gridSpan w:val="2"/>
            <w:noWrap/>
            <w:vAlign w:val="center"/>
          </w:tcPr>
          <w:p w14:paraId="20E3DDF6">
            <w:pPr>
              <w:spacing w:line="240" w:lineRule="auto"/>
              <w:ind w:firstLine="0" w:firstLineChars="0"/>
              <w:jc w:val="center"/>
            </w:pPr>
          </w:p>
        </w:tc>
      </w:tr>
      <w:tr w14:paraId="6D2B2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5B096A8C">
            <w:pPr>
              <w:spacing w:line="240" w:lineRule="auto"/>
              <w:ind w:firstLine="0" w:firstLineChars="0"/>
              <w:jc w:val="center"/>
            </w:pPr>
          </w:p>
        </w:tc>
        <w:tc>
          <w:tcPr>
            <w:tcW w:w="3636" w:type="dxa"/>
            <w:gridSpan w:val="3"/>
            <w:noWrap/>
            <w:vAlign w:val="center"/>
          </w:tcPr>
          <w:p w14:paraId="6A497946">
            <w:pPr>
              <w:spacing w:line="240" w:lineRule="auto"/>
              <w:ind w:firstLine="0" w:firstLineChars="0"/>
              <w:jc w:val="center"/>
            </w:pPr>
          </w:p>
        </w:tc>
        <w:tc>
          <w:tcPr>
            <w:tcW w:w="1404" w:type="dxa"/>
            <w:noWrap/>
            <w:vAlign w:val="center"/>
          </w:tcPr>
          <w:p w14:paraId="076E1872">
            <w:pPr>
              <w:spacing w:line="240" w:lineRule="auto"/>
              <w:ind w:firstLine="0" w:firstLineChars="0"/>
              <w:jc w:val="center"/>
            </w:pPr>
          </w:p>
        </w:tc>
        <w:tc>
          <w:tcPr>
            <w:tcW w:w="2203" w:type="dxa"/>
            <w:gridSpan w:val="2"/>
            <w:noWrap/>
            <w:vAlign w:val="center"/>
          </w:tcPr>
          <w:p w14:paraId="65A01892">
            <w:pPr>
              <w:spacing w:line="240" w:lineRule="auto"/>
              <w:ind w:firstLine="0" w:firstLineChars="0"/>
              <w:jc w:val="center"/>
            </w:pPr>
          </w:p>
        </w:tc>
      </w:tr>
      <w:tr w14:paraId="5E2477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ign w:val="center"/>
          </w:tcPr>
          <w:p w14:paraId="0AAB2AF6">
            <w:pPr>
              <w:spacing w:line="240" w:lineRule="auto"/>
              <w:ind w:firstLine="0" w:firstLineChars="0"/>
              <w:jc w:val="center"/>
            </w:pPr>
          </w:p>
        </w:tc>
        <w:tc>
          <w:tcPr>
            <w:tcW w:w="3636" w:type="dxa"/>
            <w:gridSpan w:val="3"/>
            <w:noWrap/>
            <w:vAlign w:val="center"/>
          </w:tcPr>
          <w:p w14:paraId="2F9D969D">
            <w:pPr>
              <w:spacing w:line="240" w:lineRule="auto"/>
              <w:ind w:firstLine="0" w:firstLineChars="0"/>
              <w:jc w:val="center"/>
            </w:pPr>
          </w:p>
        </w:tc>
        <w:tc>
          <w:tcPr>
            <w:tcW w:w="1404" w:type="dxa"/>
            <w:noWrap/>
            <w:vAlign w:val="center"/>
          </w:tcPr>
          <w:p w14:paraId="08DAB962">
            <w:pPr>
              <w:spacing w:line="240" w:lineRule="auto"/>
              <w:ind w:firstLine="0" w:firstLineChars="0"/>
              <w:jc w:val="center"/>
            </w:pPr>
          </w:p>
        </w:tc>
        <w:tc>
          <w:tcPr>
            <w:tcW w:w="2203" w:type="dxa"/>
            <w:gridSpan w:val="2"/>
            <w:noWrap/>
            <w:vAlign w:val="center"/>
          </w:tcPr>
          <w:p w14:paraId="70D592FC">
            <w:pPr>
              <w:spacing w:line="240" w:lineRule="auto"/>
              <w:ind w:firstLine="0" w:firstLineChars="0"/>
              <w:jc w:val="center"/>
            </w:pPr>
          </w:p>
        </w:tc>
      </w:tr>
    </w:tbl>
    <w:p w14:paraId="0173567C">
      <w:pPr>
        <w:rPr>
          <w:rFonts w:ascii="Times New Roman" w:hAnsi="Times New Roman" w:cs="Times New Roman"/>
          <w:szCs w:val="21"/>
        </w:rPr>
      </w:pPr>
    </w:p>
    <w:p w14:paraId="4BAFFB03">
      <w:pPr>
        <w:rPr>
          <w:rFonts w:ascii="Times New Roman" w:hAnsi="Times New Roman" w:cs="Times New Roman"/>
          <w:szCs w:val="21"/>
        </w:rPr>
      </w:pPr>
    </w:p>
    <w:p w14:paraId="46E6ABD3">
      <w:pPr>
        <w:pStyle w:val="24"/>
        <w:adjustRightInd w:val="0"/>
        <w:snapToGrid w:val="0"/>
        <w:spacing w:before="120" w:beforeLines="50"/>
        <w:rPr>
          <w:rFonts w:ascii="Times New Roman" w:hAnsi="Times New Roman" w:cs="Times New Roman"/>
          <w:bCs/>
          <w:sz w:val="21"/>
          <w:szCs w:val="21"/>
          <w:u w:val="single"/>
        </w:rPr>
      </w:pPr>
      <w:bookmarkStart w:id="315" w:name="_Toc25359"/>
      <w:bookmarkStart w:id="316" w:name="_Toc20043"/>
      <w:bookmarkStart w:id="317" w:name="_Toc15007"/>
      <w:r>
        <w:rPr>
          <w:rFonts w:ascii="Times New Roman" w:hAnsi="Times New Roman" w:cs="Times New Roman"/>
          <w:sz w:val="21"/>
          <w:szCs w:val="21"/>
        </w:rPr>
        <w:t>供应商名称（盖单位公章）：</w:t>
      </w:r>
      <w:bookmarkEnd w:id="315"/>
      <w:bookmarkEnd w:id="316"/>
      <w:bookmarkEnd w:id="317"/>
    </w:p>
    <w:p w14:paraId="5E27266F">
      <w:pPr>
        <w:adjustRightInd w:val="0"/>
        <w:snapToGrid w:val="0"/>
        <w:spacing w:before="120" w:beforeLines="50"/>
        <w:rPr>
          <w:rFonts w:ascii="Times New Roman" w:hAnsi="Times New Roman" w:cs="Times New Roman"/>
          <w:szCs w:val="21"/>
          <w:u w:val="single"/>
        </w:rPr>
      </w:pPr>
      <w:r>
        <w:rPr>
          <w:rFonts w:hint="eastAsia" w:ascii="Times New Roman" w:hAnsi="Times New Roman" w:cs="Times New Roman"/>
        </w:rPr>
        <w:t>法定代表人（单位负责人）或其委托代理人（签字或印章）：</w:t>
      </w:r>
    </w:p>
    <w:p w14:paraId="39D52E98">
      <w:pPr>
        <w:adjustRightInd w:val="0"/>
        <w:snapToGrid w:val="0"/>
        <w:spacing w:before="120" w:beforeLines="50"/>
        <w:rPr>
          <w:rFonts w:ascii="Times New Roman" w:hAnsi="Times New Roman" w:cs="Times New Roman"/>
          <w:szCs w:val="21"/>
        </w:rPr>
      </w:pPr>
      <w:r>
        <w:rPr>
          <w:rFonts w:ascii="Times New Roman" w:hAnsi="Times New Roman" w:cs="Times New Roman"/>
          <w:szCs w:val="21"/>
        </w:rPr>
        <w:t>日期：年月日</w:t>
      </w:r>
    </w:p>
    <w:p w14:paraId="1D609D6E">
      <w:pPr>
        <w:rPr>
          <w:rFonts w:ascii="Times New Roman" w:hAnsi="Times New Roman" w:cs="Times New Roman"/>
          <w:szCs w:val="21"/>
        </w:rPr>
      </w:pPr>
      <w:r>
        <w:rPr>
          <w:rFonts w:ascii="Times New Roman" w:hAnsi="Times New Roman" w:cs="Times New Roman"/>
          <w:szCs w:val="21"/>
        </w:rPr>
        <w:br w:type="page"/>
      </w:r>
    </w:p>
    <w:p w14:paraId="0A4C63D3">
      <w:pPr>
        <w:ind w:firstLine="0" w:firstLineChars="0"/>
        <w:jc w:val="center"/>
        <w:outlineLvl w:val="1"/>
        <w:rPr>
          <w:rFonts w:ascii="Times New Roman" w:hAnsi="Times New Roman" w:eastAsia="黑体" w:cs="Times New Roman"/>
          <w:b/>
          <w:sz w:val="32"/>
          <w:szCs w:val="32"/>
        </w:rPr>
      </w:pPr>
      <w:bookmarkStart w:id="318" w:name="_Toc23983"/>
      <w:bookmarkStart w:id="319" w:name="_Toc7739"/>
      <w:bookmarkStart w:id="320" w:name="_Toc4082"/>
      <w:bookmarkStart w:id="321" w:name="_Toc27359"/>
      <w:r>
        <w:rPr>
          <w:rFonts w:ascii="Times New Roman" w:hAnsi="Times New Roman" w:eastAsia="黑体" w:cs="Times New Roman"/>
          <w:b/>
          <w:sz w:val="32"/>
          <w:szCs w:val="32"/>
        </w:rPr>
        <w:t>五、技术/商务响应与偏离表</w:t>
      </w:r>
      <w:bookmarkEnd w:id="318"/>
      <w:bookmarkEnd w:id="319"/>
      <w:bookmarkEnd w:id="320"/>
      <w:bookmarkEnd w:id="321"/>
    </w:p>
    <w:tbl>
      <w:tblPr>
        <w:tblStyle w:val="45"/>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01ED5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34" w:type="dxa"/>
            <w:vAlign w:val="center"/>
          </w:tcPr>
          <w:p w14:paraId="5ADD5615">
            <w:pPr>
              <w:adjustRightInd w:val="0"/>
              <w:snapToGrid w:val="0"/>
              <w:ind w:firstLine="0" w:firstLineChars="0"/>
              <w:jc w:val="center"/>
              <w:rPr>
                <w:bCs/>
                <w:szCs w:val="21"/>
              </w:rPr>
            </w:pPr>
            <w:r>
              <w:rPr>
                <w:rFonts w:hint="eastAsia"/>
                <w:bCs/>
                <w:szCs w:val="21"/>
              </w:rPr>
              <w:t>序号</w:t>
            </w:r>
          </w:p>
        </w:tc>
        <w:tc>
          <w:tcPr>
            <w:tcW w:w="1685" w:type="dxa"/>
            <w:vAlign w:val="center"/>
          </w:tcPr>
          <w:p w14:paraId="1A49B217">
            <w:pPr>
              <w:adjustRightInd w:val="0"/>
              <w:snapToGrid w:val="0"/>
              <w:ind w:firstLine="0" w:firstLineChars="0"/>
              <w:jc w:val="center"/>
              <w:rPr>
                <w:szCs w:val="21"/>
              </w:rPr>
            </w:pPr>
            <w:r>
              <w:rPr>
                <w:rFonts w:hint="eastAsia"/>
                <w:szCs w:val="21"/>
              </w:rPr>
              <w:t>磋商文件条目号</w:t>
            </w:r>
          </w:p>
        </w:tc>
        <w:tc>
          <w:tcPr>
            <w:tcW w:w="1948" w:type="dxa"/>
            <w:vAlign w:val="center"/>
          </w:tcPr>
          <w:p w14:paraId="66B3DE0D">
            <w:pPr>
              <w:adjustRightInd w:val="0"/>
              <w:snapToGrid w:val="0"/>
              <w:ind w:firstLine="0" w:firstLineChars="0"/>
              <w:jc w:val="center"/>
              <w:rPr>
                <w:szCs w:val="21"/>
              </w:rPr>
            </w:pPr>
            <w:r>
              <w:rPr>
                <w:rFonts w:hint="eastAsia"/>
                <w:szCs w:val="21"/>
              </w:rPr>
              <w:t>采购要求/商务技术条款</w:t>
            </w:r>
          </w:p>
        </w:tc>
        <w:tc>
          <w:tcPr>
            <w:tcW w:w="2600" w:type="dxa"/>
            <w:vAlign w:val="center"/>
          </w:tcPr>
          <w:p w14:paraId="61A9D372">
            <w:pPr>
              <w:adjustRightInd w:val="0"/>
              <w:snapToGrid w:val="0"/>
              <w:ind w:firstLine="0" w:firstLineChars="0"/>
              <w:jc w:val="center"/>
              <w:rPr>
                <w:szCs w:val="21"/>
              </w:rPr>
            </w:pPr>
            <w:r>
              <w:rPr>
                <w:rFonts w:hint="eastAsia"/>
                <w:szCs w:val="21"/>
              </w:rPr>
              <w:t>响应文件的规格/商务技术条款</w:t>
            </w:r>
          </w:p>
        </w:tc>
        <w:tc>
          <w:tcPr>
            <w:tcW w:w="1214" w:type="dxa"/>
            <w:vAlign w:val="center"/>
          </w:tcPr>
          <w:p w14:paraId="49F6BF62">
            <w:pPr>
              <w:adjustRightInd w:val="0"/>
              <w:snapToGrid w:val="0"/>
              <w:ind w:firstLine="0" w:firstLineChars="0"/>
              <w:jc w:val="center"/>
              <w:rPr>
                <w:szCs w:val="21"/>
              </w:rPr>
            </w:pPr>
            <w:r>
              <w:rPr>
                <w:rFonts w:hint="eastAsia"/>
                <w:szCs w:val="21"/>
              </w:rPr>
              <w:t>响应与偏离</w:t>
            </w:r>
          </w:p>
        </w:tc>
        <w:tc>
          <w:tcPr>
            <w:tcW w:w="661" w:type="dxa"/>
            <w:vAlign w:val="center"/>
          </w:tcPr>
          <w:p w14:paraId="42EA9A78">
            <w:pPr>
              <w:adjustRightInd w:val="0"/>
              <w:snapToGrid w:val="0"/>
              <w:ind w:firstLine="0" w:firstLineChars="0"/>
              <w:jc w:val="center"/>
              <w:rPr>
                <w:szCs w:val="21"/>
              </w:rPr>
            </w:pPr>
            <w:r>
              <w:rPr>
                <w:rFonts w:hint="eastAsia"/>
                <w:szCs w:val="21"/>
              </w:rPr>
              <w:t>说明</w:t>
            </w:r>
          </w:p>
        </w:tc>
      </w:tr>
      <w:tr w14:paraId="0D52B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F17E064">
            <w:pPr>
              <w:adjustRightInd w:val="0"/>
              <w:snapToGrid w:val="0"/>
              <w:ind w:firstLine="0" w:firstLineChars="0"/>
              <w:jc w:val="center"/>
              <w:rPr>
                <w:rFonts w:ascii="Times New Roman" w:hAnsi="Times New Roman" w:cs="Times New Roman"/>
                <w:szCs w:val="21"/>
              </w:rPr>
            </w:pPr>
          </w:p>
        </w:tc>
        <w:tc>
          <w:tcPr>
            <w:tcW w:w="1685" w:type="dxa"/>
            <w:vAlign w:val="center"/>
          </w:tcPr>
          <w:p w14:paraId="7F8F3F87">
            <w:pPr>
              <w:adjustRightInd w:val="0"/>
              <w:snapToGrid w:val="0"/>
              <w:ind w:firstLine="0" w:firstLineChars="0"/>
              <w:jc w:val="center"/>
              <w:rPr>
                <w:rFonts w:ascii="Times New Roman" w:hAnsi="Times New Roman" w:cs="Times New Roman"/>
                <w:szCs w:val="21"/>
              </w:rPr>
            </w:pPr>
          </w:p>
        </w:tc>
        <w:tc>
          <w:tcPr>
            <w:tcW w:w="1948" w:type="dxa"/>
            <w:vAlign w:val="center"/>
          </w:tcPr>
          <w:p w14:paraId="23975CC7">
            <w:pPr>
              <w:adjustRightInd w:val="0"/>
              <w:snapToGrid w:val="0"/>
              <w:ind w:firstLine="0" w:firstLineChars="0"/>
              <w:jc w:val="center"/>
              <w:rPr>
                <w:rFonts w:ascii="Times New Roman" w:hAnsi="Times New Roman" w:cs="Times New Roman"/>
                <w:szCs w:val="21"/>
              </w:rPr>
            </w:pPr>
          </w:p>
        </w:tc>
        <w:tc>
          <w:tcPr>
            <w:tcW w:w="2600" w:type="dxa"/>
            <w:vAlign w:val="center"/>
          </w:tcPr>
          <w:p w14:paraId="69BEBDCE">
            <w:pPr>
              <w:adjustRightInd w:val="0"/>
              <w:snapToGrid w:val="0"/>
              <w:ind w:firstLine="0" w:firstLineChars="0"/>
              <w:jc w:val="center"/>
              <w:rPr>
                <w:rFonts w:ascii="Times New Roman" w:hAnsi="Times New Roman" w:cs="Times New Roman"/>
                <w:szCs w:val="21"/>
              </w:rPr>
            </w:pPr>
          </w:p>
        </w:tc>
        <w:tc>
          <w:tcPr>
            <w:tcW w:w="1214" w:type="dxa"/>
            <w:vAlign w:val="center"/>
          </w:tcPr>
          <w:p w14:paraId="7F71EBFB">
            <w:pPr>
              <w:adjustRightInd w:val="0"/>
              <w:snapToGrid w:val="0"/>
              <w:ind w:firstLine="0" w:firstLineChars="0"/>
              <w:jc w:val="center"/>
              <w:rPr>
                <w:rFonts w:ascii="Times New Roman" w:hAnsi="Times New Roman" w:cs="Times New Roman"/>
                <w:szCs w:val="21"/>
              </w:rPr>
            </w:pPr>
          </w:p>
        </w:tc>
        <w:tc>
          <w:tcPr>
            <w:tcW w:w="661" w:type="dxa"/>
            <w:vAlign w:val="center"/>
          </w:tcPr>
          <w:p w14:paraId="48E4CC52">
            <w:pPr>
              <w:adjustRightInd w:val="0"/>
              <w:snapToGrid w:val="0"/>
              <w:ind w:firstLine="0" w:firstLineChars="0"/>
              <w:jc w:val="center"/>
              <w:rPr>
                <w:rFonts w:ascii="Times New Roman" w:hAnsi="Times New Roman" w:cs="Times New Roman"/>
                <w:szCs w:val="21"/>
              </w:rPr>
            </w:pPr>
          </w:p>
        </w:tc>
      </w:tr>
      <w:tr w14:paraId="4FF24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47594E17">
            <w:pPr>
              <w:adjustRightInd w:val="0"/>
              <w:snapToGrid w:val="0"/>
              <w:ind w:firstLine="0" w:firstLineChars="0"/>
              <w:jc w:val="center"/>
              <w:rPr>
                <w:rFonts w:ascii="Times New Roman" w:hAnsi="Times New Roman" w:cs="Times New Roman"/>
                <w:szCs w:val="21"/>
              </w:rPr>
            </w:pPr>
          </w:p>
        </w:tc>
        <w:tc>
          <w:tcPr>
            <w:tcW w:w="1685" w:type="dxa"/>
            <w:vAlign w:val="center"/>
          </w:tcPr>
          <w:p w14:paraId="6FE28492">
            <w:pPr>
              <w:adjustRightInd w:val="0"/>
              <w:snapToGrid w:val="0"/>
              <w:ind w:firstLine="0" w:firstLineChars="0"/>
              <w:jc w:val="center"/>
              <w:rPr>
                <w:rFonts w:ascii="Times New Roman" w:hAnsi="Times New Roman" w:cs="Times New Roman"/>
                <w:szCs w:val="21"/>
              </w:rPr>
            </w:pPr>
          </w:p>
        </w:tc>
        <w:tc>
          <w:tcPr>
            <w:tcW w:w="1948" w:type="dxa"/>
            <w:vAlign w:val="center"/>
          </w:tcPr>
          <w:p w14:paraId="56F2223B">
            <w:pPr>
              <w:adjustRightInd w:val="0"/>
              <w:snapToGrid w:val="0"/>
              <w:ind w:firstLine="0" w:firstLineChars="0"/>
              <w:jc w:val="center"/>
              <w:rPr>
                <w:rFonts w:ascii="Times New Roman" w:hAnsi="Times New Roman" w:cs="Times New Roman"/>
                <w:szCs w:val="21"/>
              </w:rPr>
            </w:pPr>
          </w:p>
        </w:tc>
        <w:tc>
          <w:tcPr>
            <w:tcW w:w="2600" w:type="dxa"/>
            <w:vAlign w:val="center"/>
          </w:tcPr>
          <w:p w14:paraId="39A06C6A">
            <w:pPr>
              <w:adjustRightInd w:val="0"/>
              <w:snapToGrid w:val="0"/>
              <w:ind w:firstLine="0" w:firstLineChars="0"/>
              <w:jc w:val="center"/>
              <w:rPr>
                <w:rFonts w:ascii="Times New Roman" w:hAnsi="Times New Roman" w:cs="Times New Roman"/>
                <w:szCs w:val="21"/>
              </w:rPr>
            </w:pPr>
          </w:p>
        </w:tc>
        <w:tc>
          <w:tcPr>
            <w:tcW w:w="1214" w:type="dxa"/>
            <w:vAlign w:val="center"/>
          </w:tcPr>
          <w:p w14:paraId="2D8FC06E">
            <w:pPr>
              <w:adjustRightInd w:val="0"/>
              <w:snapToGrid w:val="0"/>
              <w:ind w:firstLine="0" w:firstLineChars="0"/>
              <w:jc w:val="center"/>
              <w:rPr>
                <w:rFonts w:ascii="Times New Roman" w:hAnsi="Times New Roman" w:cs="Times New Roman"/>
                <w:szCs w:val="21"/>
              </w:rPr>
            </w:pPr>
          </w:p>
        </w:tc>
        <w:tc>
          <w:tcPr>
            <w:tcW w:w="661" w:type="dxa"/>
            <w:vAlign w:val="center"/>
          </w:tcPr>
          <w:p w14:paraId="0463A153">
            <w:pPr>
              <w:adjustRightInd w:val="0"/>
              <w:snapToGrid w:val="0"/>
              <w:ind w:firstLine="0" w:firstLineChars="0"/>
              <w:jc w:val="center"/>
              <w:rPr>
                <w:rFonts w:ascii="Times New Roman" w:hAnsi="Times New Roman" w:cs="Times New Roman"/>
                <w:szCs w:val="21"/>
              </w:rPr>
            </w:pPr>
          </w:p>
        </w:tc>
      </w:tr>
      <w:tr w14:paraId="20B944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32BE0D48">
            <w:pPr>
              <w:adjustRightInd w:val="0"/>
              <w:snapToGrid w:val="0"/>
              <w:ind w:firstLine="0" w:firstLineChars="0"/>
              <w:jc w:val="center"/>
              <w:rPr>
                <w:rFonts w:ascii="Times New Roman" w:hAnsi="Times New Roman" w:cs="Times New Roman"/>
                <w:szCs w:val="21"/>
              </w:rPr>
            </w:pPr>
          </w:p>
        </w:tc>
        <w:tc>
          <w:tcPr>
            <w:tcW w:w="1685" w:type="dxa"/>
            <w:vAlign w:val="center"/>
          </w:tcPr>
          <w:p w14:paraId="732D9F40">
            <w:pPr>
              <w:adjustRightInd w:val="0"/>
              <w:snapToGrid w:val="0"/>
              <w:ind w:firstLine="0" w:firstLineChars="0"/>
              <w:jc w:val="center"/>
              <w:rPr>
                <w:rFonts w:ascii="Times New Roman" w:hAnsi="Times New Roman" w:cs="Times New Roman"/>
                <w:szCs w:val="21"/>
              </w:rPr>
            </w:pPr>
          </w:p>
        </w:tc>
        <w:tc>
          <w:tcPr>
            <w:tcW w:w="1948" w:type="dxa"/>
            <w:vAlign w:val="center"/>
          </w:tcPr>
          <w:p w14:paraId="58C14423">
            <w:pPr>
              <w:adjustRightInd w:val="0"/>
              <w:snapToGrid w:val="0"/>
              <w:ind w:firstLine="0" w:firstLineChars="0"/>
              <w:jc w:val="center"/>
              <w:rPr>
                <w:rFonts w:ascii="Times New Roman" w:hAnsi="Times New Roman" w:cs="Times New Roman"/>
                <w:szCs w:val="21"/>
              </w:rPr>
            </w:pPr>
          </w:p>
        </w:tc>
        <w:tc>
          <w:tcPr>
            <w:tcW w:w="2600" w:type="dxa"/>
            <w:vAlign w:val="center"/>
          </w:tcPr>
          <w:p w14:paraId="09978C3A">
            <w:pPr>
              <w:adjustRightInd w:val="0"/>
              <w:snapToGrid w:val="0"/>
              <w:ind w:firstLine="0" w:firstLineChars="0"/>
              <w:jc w:val="center"/>
              <w:rPr>
                <w:rFonts w:ascii="Times New Roman" w:hAnsi="Times New Roman" w:cs="Times New Roman"/>
                <w:szCs w:val="21"/>
              </w:rPr>
            </w:pPr>
          </w:p>
        </w:tc>
        <w:tc>
          <w:tcPr>
            <w:tcW w:w="1214" w:type="dxa"/>
            <w:vAlign w:val="center"/>
          </w:tcPr>
          <w:p w14:paraId="509F83F1">
            <w:pPr>
              <w:adjustRightInd w:val="0"/>
              <w:snapToGrid w:val="0"/>
              <w:ind w:firstLine="0" w:firstLineChars="0"/>
              <w:jc w:val="center"/>
              <w:rPr>
                <w:rFonts w:ascii="Times New Roman" w:hAnsi="Times New Roman" w:cs="Times New Roman"/>
                <w:szCs w:val="21"/>
              </w:rPr>
            </w:pPr>
          </w:p>
        </w:tc>
        <w:tc>
          <w:tcPr>
            <w:tcW w:w="661" w:type="dxa"/>
            <w:vAlign w:val="center"/>
          </w:tcPr>
          <w:p w14:paraId="22FE341E">
            <w:pPr>
              <w:adjustRightInd w:val="0"/>
              <w:snapToGrid w:val="0"/>
              <w:ind w:firstLine="0" w:firstLineChars="0"/>
              <w:jc w:val="center"/>
              <w:rPr>
                <w:rFonts w:ascii="Times New Roman" w:hAnsi="Times New Roman" w:cs="Times New Roman"/>
                <w:szCs w:val="21"/>
              </w:rPr>
            </w:pPr>
          </w:p>
        </w:tc>
      </w:tr>
      <w:tr w14:paraId="3FC26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E7B7DDD">
            <w:pPr>
              <w:adjustRightInd w:val="0"/>
              <w:snapToGrid w:val="0"/>
              <w:ind w:firstLine="0" w:firstLineChars="0"/>
              <w:jc w:val="center"/>
              <w:rPr>
                <w:rFonts w:ascii="Times New Roman" w:hAnsi="Times New Roman" w:cs="Times New Roman"/>
                <w:szCs w:val="21"/>
              </w:rPr>
            </w:pPr>
          </w:p>
        </w:tc>
        <w:tc>
          <w:tcPr>
            <w:tcW w:w="1685" w:type="dxa"/>
            <w:vAlign w:val="center"/>
          </w:tcPr>
          <w:p w14:paraId="7B7C0B46">
            <w:pPr>
              <w:adjustRightInd w:val="0"/>
              <w:snapToGrid w:val="0"/>
              <w:ind w:firstLine="0" w:firstLineChars="0"/>
              <w:jc w:val="center"/>
              <w:rPr>
                <w:rFonts w:ascii="Times New Roman" w:hAnsi="Times New Roman" w:cs="Times New Roman"/>
                <w:szCs w:val="21"/>
              </w:rPr>
            </w:pPr>
          </w:p>
        </w:tc>
        <w:tc>
          <w:tcPr>
            <w:tcW w:w="1948" w:type="dxa"/>
            <w:vAlign w:val="center"/>
          </w:tcPr>
          <w:p w14:paraId="0B0566C3">
            <w:pPr>
              <w:adjustRightInd w:val="0"/>
              <w:snapToGrid w:val="0"/>
              <w:ind w:firstLine="0" w:firstLineChars="0"/>
              <w:jc w:val="center"/>
              <w:rPr>
                <w:rFonts w:ascii="Times New Roman" w:hAnsi="Times New Roman" w:cs="Times New Roman"/>
                <w:szCs w:val="21"/>
              </w:rPr>
            </w:pPr>
          </w:p>
        </w:tc>
        <w:tc>
          <w:tcPr>
            <w:tcW w:w="2600" w:type="dxa"/>
            <w:vAlign w:val="center"/>
          </w:tcPr>
          <w:p w14:paraId="0A3B8A74">
            <w:pPr>
              <w:adjustRightInd w:val="0"/>
              <w:snapToGrid w:val="0"/>
              <w:ind w:firstLine="0" w:firstLineChars="0"/>
              <w:jc w:val="center"/>
              <w:rPr>
                <w:rFonts w:ascii="Times New Roman" w:hAnsi="Times New Roman" w:cs="Times New Roman"/>
                <w:szCs w:val="21"/>
              </w:rPr>
            </w:pPr>
          </w:p>
        </w:tc>
        <w:tc>
          <w:tcPr>
            <w:tcW w:w="1214" w:type="dxa"/>
            <w:vAlign w:val="center"/>
          </w:tcPr>
          <w:p w14:paraId="334D68F8">
            <w:pPr>
              <w:adjustRightInd w:val="0"/>
              <w:snapToGrid w:val="0"/>
              <w:ind w:firstLine="0" w:firstLineChars="0"/>
              <w:jc w:val="center"/>
              <w:rPr>
                <w:rFonts w:ascii="Times New Roman" w:hAnsi="Times New Roman" w:cs="Times New Roman"/>
                <w:szCs w:val="21"/>
              </w:rPr>
            </w:pPr>
          </w:p>
        </w:tc>
        <w:tc>
          <w:tcPr>
            <w:tcW w:w="661" w:type="dxa"/>
            <w:vAlign w:val="center"/>
          </w:tcPr>
          <w:p w14:paraId="3E35334E">
            <w:pPr>
              <w:adjustRightInd w:val="0"/>
              <w:snapToGrid w:val="0"/>
              <w:ind w:firstLine="0" w:firstLineChars="0"/>
              <w:jc w:val="center"/>
              <w:rPr>
                <w:rFonts w:ascii="Times New Roman" w:hAnsi="Times New Roman" w:cs="Times New Roman"/>
                <w:szCs w:val="21"/>
              </w:rPr>
            </w:pPr>
          </w:p>
        </w:tc>
      </w:tr>
      <w:tr w14:paraId="7C3FA9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9A64B66">
            <w:pPr>
              <w:adjustRightInd w:val="0"/>
              <w:snapToGrid w:val="0"/>
              <w:ind w:firstLine="0" w:firstLineChars="0"/>
              <w:jc w:val="center"/>
              <w:rPr>
                <w:rFonts w:ascii="Times New Roman" w:hAnsi="Times New Roman" w:cs="Times New Roman"/>
                <w:szCs w:val="21"/>
              </w:rPr>
            </w:pPr>
          </w:p>
        </w:tc>
        <w:tc>
          <w:tcPr>
            <w:tcW w:w="1685" w:type="dxa"/>
            <w:vAlign w:val="center"/>
          </w:tcPr>
          <w:p w14:paraId="38E4C402">
            <w:pPr>
              <w:adjustRightInd w:val="0"/>
              <w:snapToGrid w:val="0"/>
              <w:ind w:firstLine="0" w:firstLineChars="0"/>
              <w:jc w:val="center"/>
              <w:rPr>
                <w:rFonts w:ascii="Times New Roman" w:hAnsi="Times New Roman" w:cs="Times New Roman"/>
                <w:szCs w:val="21"/>
              </w:rPr>
            </w:pPr>
          </w:p>
        </w:tc>
        <w:tc>
          <w:tcPr>
            <w:tcW w:w="1948" w:type="dxa"/>
            <w:vAlign w:val="center"/>
          </w:tcPr>
          <w:p w14:paraId="3FD0EAD0">
            <w:pPr>
              <w:adjustRightInd w:val="0"/>
              <w:snapToGrid w:val="0"/>
              <w:ind w:firstLine="0" w:firstLineChars="0"/>
              <w:jc w:val="center"/>
              <w:rPr>
                <w:rFonts w:ascii="Times New Roman" w:hAnsi="Times New Roman" w:cs="Times New Roman"/>
                <w:szCs w:val="21"/>
              </w:rPr>
            </w:pPr>
          </w:p>
        </w:tc>
        <w:tc>
          <w:tcPr>
            <w:tcW w:w="2600" w:type="dxa"/>
            <w:vAlign w:val="center"/>
          </w:tcPr>
          <w:p w14:paraId="0EB289DF">
            <w:pPr>
              <w:adjustRightInd w:val="0"/>
              <w:snapToGrid w:val="0"/>
              <w:ind w:firstLine="0" w:firstLineChars="0"/>
              <w:jc w:val="center"/>
              <w:rPr>
                <w:rFonts w:ascii="Times New Roman" w:hAnsi="Times New Roman" w:cs="Times New Roman"/>
                <w:szCs w:val="21"/>
              </w:rPr>
            </w:pPr>
          </w:p>
        </w:tc>
        <w:tc>
          <w:tcPr>
            <w:tcW w:w="1214" w:type="dxa"/>
            <w:vAlign w:val="center"/>
          </w:tcPr>
          <w:p w14:paraId="2C0B3A29">
            <w:pPr>
              <w:adjustRightInd w:val="0"/>
              <w:snapToGrid w:val="0"/>
              <w:ind w:firstLine="0" w:firstLineChars="0"/>
              <w:jc w:val="center"/>
              <w:rPr>
                <w:rFonts w:ascii="Times New Roman" w:hAnsi="Times New Roman" w:cs="Times New Roman"/>
                <w:szCs w:val="21"/>
              </w:rPr>
            </w:pPr>
          </w:p>
        </w:tc>
        <w:tc>
          <w:tcPr>
            <w:tcW w:w="661" w:type="dxa"/>
            <w:vAlign w:val="center"/>
          </w:tcPr>
          <w:p w14:paraId="7B38643B">
            <w:pPr>
              <w:adjustRightInd w:val="0"/>
              <w:snapToGrid w:val="0"/>
              <w:ind w:firstLine="0" w:firstLineChars="0"/>
              <w:jc w:val="center"/>
              <w:rPr>
                <w:rFonts w:ascii="Times New Roman" w:hAnsi="Times New Roman" w:cs="Times New Roman"/>
                <w:szCs w:val="21"/>
              </w:rPr>
            </w:pPr>
          </w:p>
        </w:tc>
      </w:tr>
    </w:tbl>
    <w:p w14:paraId="66562A48">
      <w:pPr>
        <w:adjustRightInd w:val="0"/>
        <w:snapToGrid w:val="0"/>
        <w:ind w:left="-88" w:leftChars="-42"/>
        <w:rPr>
          <w:rFonts w:ascii="Times New Roman" w:hAnsi="Times New Roman" w:eastAsia="仿宋_GB2312" w:cs="Times New Roman"/>
          <w:szCs w:val="21"/>
        </w:rPr>
      </w:pPr>
      <w:r>
        <w:rPr>
          <w:rFonts w:ascii="Times New Roman" w:hAnsi="Times New Roman" w:eastAsia="仿宋_GB2312" w:cs="Times New Roman"/>
          <w:szCs w:val="21"/>
        </w:rPr>
        <w:t>说明：</w:t>
      </w:r>
    </w:p>
    <w:p w14:paraId="44818746">
      <w:pPr>
        <w:adjustRightInd w:val="0"/>
        <w:snapToGrid w:val="0"/>
        <w:rPr>
          <w:rFonts w:ascii="Times New Roman" w:hAnsi="Times New Roman" w:eastAsia="仿宋_GB2312" w:cs="Times New Roman"/>
          <w:szCs w:val="21"/>
        </w:rPr>
      </w:pPr>
      <w:r>
        <w:rPr>
          <w:rFonts w:ascii="Times New Roman" w:hAnsi="Times New Roman" w:eastAsia="仿宋_GB2312" w:cs="Times New Roman"/>
          <w:szCs w:val="21"/>
        </w:rPr>
        <w:t>1、“响应与偏离”应注明“响应”或“偏离”。</w:t>
      </w:r>
    </w:p>
    <w:p w14:paraId="753556E4">
      <w:pPr>
        <w:adjustRightInd w:val="0"/>
        <w:snapToGrid w:val="0"/>
        <w:rPr>
          <w:rFonts w:ascii="Times New Roman" w:hAnsi="Times New Roman" w:eastAsia="仿宋_GB2312" w:cs="Times New Roman"/>
          <w:szCs w:val="21"/>
        </w:rPr>
      </w:pPr>
      <w:bookmarkStart w:id="322" w:name="_Toc5603"/>
      <w:bookmarkStart w:id="323" w:name="_Toc27211"/>
      <w:r>
        <w:rPr>
          <w:rFonts w:ascii="Times New Roman" w:hAnsi="Times New Roman" w:eastAsia="仿宋_GB2312" w:cs="Times New Roman"/>
          <w:szCs w:val="21"/>
        </w:rPr>
        <w:t>2、磋商文件规定可能变动的内容在“说明”栏中注明。</w:t>
      </w:r>
      <w:bookmarkEnd w:id="322"/>
      <w:bookmarkEnd w:id="323"/>
    </w:p>
    <w:p w14:paraId="468E093E">
      <w:pPr>
        <w:pStyle w:val="24"/>
        <w:adjustRightInd w:val="0"/>
        <w:snapToGrid w:val="0"/>
        <w:spacing w:before="120" w:beforeLines="50"/>
        <w:rPr>
          <w:rFonts w:ascii="Times New Roman" w:hAnsi="Times New Roman" w:cs="Times New Roman"/>
          <w:sz w:val="21"/>
          <w:szCs w:val="21"/>
        </w:rPr>
      </w:pPr>
    </w:p>
    <w:p w14:paraId="0B5D2D29">
      <w:pPr>
        <w:pStyle w:val="24"/>
        <w:adjustRightInd w:val="0"/>
        <w:snapToGrid w:val="0"/>
        <w:spacing w:before="120" w:beforeLines="50"/>
        <w:rPr>
          <w:rFonts w:ascii="Times New Roman" w:hAnsi="Times New Roman" w:cs="Times New Roman"/>
          <w:sz w:val="21"/>
          <w:szCs w:val="21"/>
        </w:rPr>
      </w:pPr>
    </w:p>
    <w:p w14:paraId="2D4FECE8">
      <w:pPr>
        <w:pStyle w:val="24"/>
        <w:adjustRightInd w:val="0"/>
        <w:snapToGrid w:val="0"/>
        <w:spacing w:before="120" w:beforeLines="50"/>
        <w:rPr>
          <w:rFonts w:ascii="Times New Roman" w:hAnsi="Times New Roman" w:cs="Times New Roman"/>
          <w:bCs/>
          <w:sz w:val="21"/>
          <w:szCs w:val="21"/>
          <w:u w:val="single"/>
        </w:rPr>
      </w:pPr>
      <w:r>
        <w:rPr>
          <w:rFonts w:ascii="Times New Roman" w:hAnsi="Times New Roman" w:cs="Times New Roman"/>
          <w:sz w:val="21"/>
          <w:szCs w:val="21"/>
        </w:rPr>
        <w:t>供应商名称（盖单位公章）：</w:t>
      </w:r>
    </w:p>
    <w:p w14:paraId="293D043B">
      <w:pPr>
        <w:adjustRightInd w:val="0"/>
        <w:snapToGrid w:val="0"/>
        <w:spacing w:before="120" w:beforeLines="50"/>
        <w:rPr>
          <w:rFonts w:ascii="Times New Roman" w:hAnsi="Times New Roman" w:cs="Times New Roman"/>
          <w:szCs w:val="21"/>
          <w:u w:val="single"/>
        </w:rPr>
      </w:pPr>
      <w:r>
        <w:rPr>
          <w:rFonts w:hint="eastAsia" w:ascii="Times New Roman" w:hAnsi="Times New Roman" w:cs="Times New Roman"/>
        </w:rPr>
        <w:t>法定代表人（单位负责人）或其委托代理人（签字或印章）：</w:t>
      </w:r>
    </w:p>
    <w:p w14:paraId="19693228">
      <w:pPr>
        <w:adjustRightInd w:val="0"/>
        <w:snapToGrid w:val="0"/>
        <w:spacing w:before="120" w:beforeLines="50"/>
        <w:rPr>
          <w:rFonts w:ascii="Times New Roman" w:hAnsi="Times New Roman" w:cs="Times New Roman"/>
          <w:szCs w:val="21"/>
        </w:rPr>
      </w:pPr>
      <w:r>
        <w:rPr>
          <w:rFonts w:ascii="Times New Roman" w:hAnsi="Times New Roman" w:cs="Times New Roman"/>
          <w:szCs w:val="21"/>
        </w:rPr>
        <w:t>日期：年月日</w:t>
      </w:r>
    </w:p>
    <w:p w14:paraId="278D84B7">
      <w:pPr>
        <w:adjustRightInd w:val="0"/>
        <w:snapToGrid w:val="0"/>
        <w:rPr>
          <w:rFonts w:ascii="Times New Roman" w:hAnsi="Times New Roman" w:cs="Times New Roman"/>
          <w:szCs w:val="21"/>
        </w:rPr>
      </w:pPr>
    </w:p>
    <w:p w14:paraId="30D85995">
      <w:pPr>
        <w:tabs>
          <w:tab w:val="left" w:pos="3600"/>
        </w:tabs>
        <w:adjustRightInd w:val="0"/>
        <w:snapToGrid w:val="0"/>
        <w:ind w:firstLine="643"/>
        <w:jc w:val="center"/>
        <w:rPr>
          <w:rFonts w:ascii="Times New Roman" w:hAnsi="Times New Roman" w:eastAsia="黑体" w:cs="Times New Roman"/>
          <w:b/>
          <w:sz w:val="32"/>
          <w:szCs w:val="32"/>
        </w:rPr>
      </w:pPr>
    </w:p>
    <w:p w14:paraId="4628E7BA">
      <w:pPr>
        <w:tabs>
          <w:tab w:val="left" w:pos="3600"/>
        </w:tabs>
        <w:adjustRightInd w:val="0"/>
        <w:snapToGrid w:val="0"/>
        <w:ind w:firstLine="643"/>
        <w:jc w:val="center"/>
        <w:rPr>
          <w:rFonts w:ascii="Times New Roman" w:hAnsi="Times New Roman" w:eastAsia="黑体" w:cs="Times New Roman"/>
          <w:b/>
          <w:sz w:val="32"/>
          <w:szCs w:val="32"/>
        </w:rPr>
      </w:pPr>
    </w:p>
    <w:p w14:paraId="6DDAE7C4">
      <w:pPr>
        <w:tabs>
          <w:tab w:val="left" w:pos="3600"/>
        </w:tabs>
        <w:adjustRightInd w:val="0"/>
        <w:snapToGrid w:val="0"/>
        <w:ind w:firstLine="643"/>
        <w:jc w:val="center"/>
        <w:rPr>
          <w:rFonts w:ascii="Times New Roman" w:hAnsi="Times New Roman" w:eastAsia="黑体" w:cs="Times New Roman"/>
          <w:b/>
          <w:sz w:val="32"/>
          <w:szCs w:val="32"/>
        </w:rPr>
      </w:pPr>
    </w:p>
    <w:p w14:paraId="01349197">
      <w:pPr>
        <w:tabs>
          <w:tab w:val="left" w:pos="3600"/>
        </w:tabs>
        <w:adjustRightInd w:val="0"/>
        <w:snapToGrid w:val="0"/>
        <w:ind w:firstLine="643"/>
        <w:jc w:val="center"/>
        <w:rPr>
          <w:rFonts w:ascii="Times New Roman" w:hAnsi="Times New Roman" w:eastAsia="黑体" w:cs="Times New Roman"/>
          <w:b/>
          <w:sz w:val="32"/>
          <w:szCs w:val="32"/>
        </w:rPr>
      </w:pPr>
    </w:p>
    <w:p w14:paraId="0E740D43">
      <w:pPr>
        <w:tabs>
          <w:tab w:val="left" w:pos="3600"/>
        </w:tabs>
        <w:adjustRightInd w:val="0"/>
        <w:snapToGrid w:val="0"/>
        <w:ind w:firstLine="643"/>
        <w:jc w:val="center"/>
        <w:rPr>
          <w:rFonts w:ascii="Times New Roman" w:hAnsi="Times New Roman" w:eastAsia="黑体" w:cs="Times New Roman"/>
          <w:b/>
          <w:sz w:val="32"/>
          <w:szCs w:val="32"/>
        </w:rPr>
      </w:pPr>
    </w:p>
    <w:p w14:paraId="43B6AE64">
      <w:pPr>
        <w:tabs>
          <w:tab w:val="left" w:pos="3600"/>
        </w:tabs>
        <w:adjustRightInd w:val="0"/>
        <w:snapToGrid w:val="0"/>
        <w:ind w:firstLine="643"/>
        <w:jc w:val="center"/>
        <w:rPr>
          <w:rFonts w:ascii="Times New Roman" w:hAnsi="Times New Roman" w:eastAsia="黑体" w:cs="Times New Roman"/>
          <w:b/>
          <w:sz w:val="32"/>
          <w:szCs w:val="32"/>
        </w:rPr>
      </w:pPr>
    </w:p>
    <w:p w14:paraId="43101CB1">
      <w:pPr>
        <w:tabs>
          <w:tab w:val="left" w:pos="3600"/>
        </w:tabs>
        <w:adjustRightInd w:val="0"/>
        <w:snapToGrid w:val="0"/>
        <w:ind w:firstLine="643"/>
        <w:jc w:val="center"/>
        <w:rPr>
          <w:rFonts w:ascii="Times New Roman" w:hAnsi="Times New Roman" w:eastAsia="黑体" w:cs="Times New Roman"/>
          <w:b/>
          <w:sz w:val="32"/>
          <w:szCs w:val="32"/>
        </w:rPr>
      </w:pPr>
    </w:p>
    <w:p w14:paraId="06395900">
      <w:pPr>
        <w:ind w:firstLine="562"/>
        <w:rPr>
          <w:rFonts w:ascii="Times New Roman" w:hAnsi="Times New Roman" w:eastAsia="黑体" w:cs="Times New Roman"/>
          <w:b/>
          <w:sz w:val="28"/>
          <w:szCs w:val="28"/>
        </w:rPr>
      </w:pPr>
      <w:bookmarkStart w:id="324" w:name="_Toc15502"/>
      <w:bookmarkStart w:id="325" w:name="_Toc14272"/>
      <w:bookmarkStart w:id="326" w:name="_Toc11505"/>
      <w:r>
        <w:rPr>
          <w:rFonts w:ascii="Times New Roman" w:hAnsi="Times New Roman" w:eastAsia="黑体" w:cs="Times New Roman"/>
          <w:b/>
          <w:sz w:val="28"/>
          <w:szCs w:val="28"/>
        </w:rPr>
        <w:br w:type="page"/>
      </w:r>
    </w:p>
    <w:p w14:paraId="4D3B133B">
      <w:pPr>
        <w:ind w:firstLine="0" w:firstLineChars="0"/>
        <w:jc w:val="center"/>
        <w:outlineLvl w:val="1"/>
        <w:rPr>
          <w:rFonts w:ascii="Times New Roman" w:hAnsi="Times New Roman" w:eastAsia="黑体" w:cs="Times New Roman"/>
          <w:b/>
          <w:sz w:val="28"/>
          <w:szCs w:val="28"/>
        </w:rPr>
      </w:pPr>
      <w:bookmarkStart w:id="327" w:name="_Toc29608"/>
      <w:r>
        <w:rPr>
          <w:rFonts w:ascii="Times New Roman" w:hAnsi="Times New Roman" w:eastAsia="黑体" w:cs="Times New Roman"/>
          <w:b/>
          <w:sz w:val="28"/>
          <w:szCs w:val="28"/>
        </w:rPr>
        <w:t>六、</w:t>
      </w:r>
      <w:bookmarkEnd w:id="324"/>
      <w:bookmarkEnd w:id="325"/>
      <w:bookmarkEnd w:id="326"/>
      <w:r>
        <w:rPr>
          <w:rFonts w:ascii="Times New Roman" w:hAnsi="Times New Roman" w:eastAsia="黑体" w:cs="Times New Roman"/>
          <w:b/>
          <w:sz w:val="28"/>
          <w:szCs w:val="28"/>
        </w:rPr>
        <w:t>享受政府采购政策优惠的证明资料</w:t>
      </w:r>
      <w:bookmarkEnd w:id="327"/>
    </w:p>
    <w:p w14:paraId="5282B0D0">
      <w:pPr>
        <w:widowControl/>
        <w:adjustRightInd w:val="0"/>
        <w:snapToGrid w:val="0"/>
        <w:ind w:firstLine="0" w:firstLineChars="0"/>
        <w:outlineLvl w:val="2"/>
        <w:rPr>
          <w:rFonts w:asciiTheme="majorEastAsia" w:hAnsiTheme="majorEastAsia" w:eastAsiaTheme="majorEastAsia" w:cstheme="majorEastAsia"/>
          <w:b/>
          <w:bCs/>
          <w:spacing w:val="6"/>
          <w:kern w:val="0"/>
          <w:szCs w:val="21"/>
        </w:rPr>
      </w:pPr>
      <w:bookmarkStart w:id="328" w:name="_Toc19046"/>
      <w:bookmarkStart w:id="329" w:name="_Toc22880"/>
      <w:bookmarkStart w:id="330" w:name="_Toc5348"/>
      <w:bookmarkStart w:id="331" w:name="_Toc10558"/>
      <w:bookmarkStart w:id="332" w:name="_Toc13408"/>
      <w:r>
        <w:rPr>
          <w:rFonts w:hint="eastAsia" w:asciiTheme="majorEastAsia" w:hAnsiTheme="majorEastAsia" w:eastAsiaTheme="majorEastAsia" w:cstheme="majorEastAsia"/>
          <w:b/>
          <w:bCs/>
          <w:szCs w:val="21"/>
        </w:rPr>
        <w:t>附件</w:t>
      </w:r>
      <w:bookmarkEnd w:id="328"/>
      <w:bookmarkEnd w:id="329"/>
      <w:bookmarkEnd w:id="330"/>
      <w:r>
        <w:rPr>
          <w:rFonts w:hint="eastAsia" w:asciiTheme="majorEastAsia" w:hAnsiTheme="majorEastAsia" w:eastAsiaTheme="majorEastAsia" w:cstheme="majorEastAsia"/>
          <w:b/>
          <w:bCs/>
          <w:szCs w:val="21"/>
        </w:rPr>
        <w:t xml:space="preserve">4-1 </w:t>
      </w:r>
      <w:r>
        <w:rPr>
          <w:rFonts w:hint="eastAsia" w:asciiTheme="majorEastAsia" w:hAnsiTheme="majorEastAsia" w:eastAsiaTheme="majorEastAsia" w:cstheme="majorEastAsia"/>
          <w:b/>
          <w:bCs/>
          <w:spacing w:val="6"/>
          <w:kern w:val="0"/>
          <w:szCs w:val="21"/>
        </w:rPr>
        <w:t>中小企业声明函</w:t>
      </w:r>
      <w:bookmarkEnd w:id="331"/>
      <w:bookmarkEnd w:id="332"/>
    </w:p>
    <w:p w14:paraId="458EA726">
      <w:pPr>
        <w:widowControl/>
        <w:ind w:firstLine="624"/>
        <w:jc w:val="center"/>
        <w:rPr>
          <w:rFonts w:ascii="Times New Roman" w:hAnsi="Times New Roman" w:cs="Times New Roman"/>
          <w:spacing w:val="6"/>
          <w:kern w:val="0"/>
          <w:sz w:val="30"/>
          <w:szCs w:val="30"/>
        </w:rPr>
      </w:pPr>
      <w:r>
        <w:rPr>
          <w:rFonts w:ascii="Times New Roman" w:hAnsi="Times New Roman" w:eastAsia="黑体" w:cs="Times New Roman"/>
          <w:spacing w:val="6"/>
          <w:kern w:val="0"/>
          <w:sz w:val="30"/>
          <w:szCs w:val="30"/>
        </w:rPr>
        <w:t>中小企业声明函</w:t>
      </w:r>
    </w:p>
    <w:p w14:paraId="17426676">
      <w:pPr>
        <w:ind w:firstLine="444"/>
        <w:jc w:val="center"/>
        <w:rPr>
          <w:bCs/>
          <w:spacing w:val="6"/>
          <w:szCs w:val="21"/>
        </w:rPr>
      </w:pPr>
      <w:r>
        <w:rPr>
          <w:rFonts w:hint="eastAsia"/>
          <w:bCs/>
          <w:spacing w:val="6"/>
          <w:szCs w:val="21"/>
        </w:rPr>
        <w:t>(不符合政策要求的无需提供)</w:t>
      </w:r>
    </w:p>
    <w:p w14:paraId="3C767546">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 xml:space="preserve">本公司（联合体）郑重声明，根据《政府采购促进中小企业发展管理办法》（财库﹝2020﹞46 号）的规定，本公司（联合体）参加 </w:t>
      </w:r>
      <w:r>
        <w:rPr>
          <w:rFonts w:ascii="Times New Roman" w:hAnsi="Times New Roman" w:cs="Times New Roman"/>
          <w:spacing w:val="6"/>
          <w:kern w:val="0"/>
          <w:szCs w:val="21"/>
          <w:u w:val="single"/>
        </w:rPr>
        <w:t>（单位名称）</w:t>
      </w:r>
      <w:r>
        <w:rPr>
          <w:rFonts w:ascii="Times New Roman" w:hAnsi="Times New Roman" w:cs="Times New Roman"/>
          <w:spacing w:val="6"/>
          <w:kern w:val="0"/>
          <w:szCs w:val="21"/>
        </w:rPr>
        <w:t xml:space="preserve"> 的</w:t>
      </w:r>
      <w:r>
        <w:rPr>
          <w:rFonts w:ascii="Times New Roman" w:hAnsi="Times New Roman" w:cs="Times New Roman"/>
          <w:spacing w:val="6"/>
          <w:kern w:val="0"/>
          <w:szCs w:val="21"/>
          <w:u w:val="single"/>
        </w:rPr>
        <w:t xml:space="preserve"> （项目名称） </w:t>
      </w:r>
      <w:r>
        <w:rPr>
          <w:rFonts w:ascii="Times New Roman" w:hAnsi="Times New Roman" w:cs="Times New Roman"/>
          <w:spacing w:val="6"/>
          <w:kern w:val="0"/>
          <w:szCs w:val="21"/>
        </w:rPr>
        <w:t>采购活动，服务全部由符合政策要求的中小企业承接。相关企业（含联合体中的中小企业、签订分包意向协议的中小企业）的具体情况如下：</w:t>
      </w:r>
    </w:p>
    <w:p w14:paraId="47E444F4">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1.</w:t>
      </w:r>
      <w:r>
        <w:rPr>
          <w:rFonts w:ascii="Times New Roman" w:hAnsi="Times New Roman" w:cs="Times New Roman"/>
          <w:spacing w:val="6"/>
          <w:kern w:val="0"/>
          <w:szCs w:val="21"/>
          <w:u w:val="single"/>
        </w:rPr>
        <w:t xml:space="preserve"> （标的名称）</w:t>
      </w:r>
      <w:r>
        <w:rPr>
          <w:rFonts w:ascii="Times New Roman" w:hAnsi="Times New Roman" w:cs="Times New Roman"/>
          <w:spacing w:val="6"/>
          <w:kern w:val="0"/>
          <w:szCs w:val="21"/>
        </w:rPr>
        <w:t xml:space="preserve"> ，属于</w:t>
      </w:r>
      <w:r>
        <w:rPr>
          <w:rFonts w:ascii="Times New Roman" w:hAnsi="Times New Roman" w:cs="Times New Roman"/>
          <w:spacing w:val="6"/>
          <w:kern w:val="0"/>
          <w:szCs w:val="21"/>
          <w:u w:val="single"/>
        </w:rPr>
        <w:t xml:space="preserve"> （采购文件中明确的所属行业） </w:t>
      </w:r>
      <w:r>
        <w:rPr>
          <w:rFonts w:ascii="Times New Roman" w:hAnsi="Times New Roman" w:cs="Times New Roman"/>
          <w:spacing w:val="6"/>
          <w:kern w:val="0"/>
          <w:szCs w:val="21"/>
        </w:rPr>
        <w:t>；承建（承接）企业为</w:t>
      </w:r>
      <w:r>
        <w:rPr>
          <w:rFonts w:ascii="Times New Roman" w:hAnsi="Times New Roman" w:cs="Times New Roman"/>
          <w:spacing w:val="6"/>
          <w:kern w:val="0"/>
          <w:szCs w:val="21"/>
          <w:u w:val="single"/>
        </w:rPr>
        <w:t xml:space="preserve"> （企业名称） </w:t>
      </w:r>
      <w:r>
        <w:rPr>
          <w:rFonts w:ascii="Times New Roman" w:hAnsi="Times New Roman" w:cs="Times New Roman"/>
          <w:spacing w:val="6"/>
          <w:kern w:val="0"/>
          <w:szCs w:val="21"/>
        </w:rPr>
        <w:t>，从业人员人，营业收入为万元，资产总额为万元，属于</w:t>
      </w:r>
      <w:r>
        <w:rPr>
          <w:rFonts w:ascii="Times New Roman" w:hAnsi="Times New Roman" w:cs="Times New Roman"/>
          <w:spacing w:val="6"/>
          <w:kern w:val="0"/>
          <w:szCs w:val="21"/>
          <w:u w:val="single"/>
        </w:rPr>
        <w:t xml:space="preserve"> （中型企业、小型企业、微型企业） </w:t>
      </w:r>
      <w:r>
        <w:rPr>
          <w:rFonts w:ascii="Times New Roman" w:hAnsi="Times New Roman" w:cs="Times New Roman"/>
          <w:spacing w:val="6"/>
          <w:kern w:val="0"/>
          <w:szCs w:val="21"/>
        </w:rPr>
        <w:t>；</w:t>
      </w:r>
    </w:p>
    <w:p w14:paraId="1514D9AD">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2.</w:t>
      </w:r>
      <w:r>
        <w:rPr>
          <w:rFonts w:ascii="Times New Roman" w:hAnsi="Times New Roman" w:cs="Times New Roman"/>
          <w:spacing w:val="6"/>
          <w:kern w:val="0"/>
          <w:szCs w:val="21"/>
          <w:u w:val="single"/>
        </w:rPr>
        <w:t xml:space="preserve"> （标的名称）</w:t>
      </w:r>
      <w:r>
        <w:rPr>
          <w:rFonts w:ascii="Times New Roman" w:hAnsi="Times New Roman" w:cs="Times New Roman"/>
          <w:spacing w:val="6"/>
          <w:kern w:val="0"/>
          <w:szCs w:val="21"/>
        </w:rPr>
        <w:t xml:space="preserve"> ，属于</w:t>
      </w:r>
      <w:r>
        <w:rPr>
          <w:rFonts w:ascii="Times New Roman" w:hAnsi="Times New Roman" w:cs="Times New Roman"/>
          <w:spacing w:val="6"/>
          <w:kern w:val="0"/>
          <w:szCs w:val="21"/>
          <w:u w:val="single"/>
        </w:rPr>
        <w:t xml:space="preserve"> （采购文件中明确的所属行业） </w:t>
      </w:r>
      <w:r>
        <w:rPr>
          <w:rFonts w:ascii="Times New Roman" w:hAnsi="Times New Roman" w:cs="Times New Roman"/>
          <w:spacing w:val="6"/>
          <w:kern w:val="0"/>
          <w:szCs w:val="21"/>
        </w:rPr>
        <w:t>；承建（承接）企业为</w:t>
      </w:r>
      <w:r>
        <w:rPr>
          <w:rFonts w:ascii="Times New Roman" w:hAnsi="Times New Roman" w:cs="Times New Roman"/>
          <w:spacing w:val="6"/>
          <w:kern w:val="0"/>
          <w:szCs w:val="21"/>
          <w:u w:val="single"/>
        </w:rPr>
        <w:t xml:space="preserve"> （企业名称） </w:t>
      </w:r>
      <w:r>
        <w:rPr>
          <w:rFonts w:ascii="Times New Roman" w:hAnsi="Times New Roman" w:cs="Times New Roman"/>
          <w:spacing w:val="6"/>
          <w:kern w:val="0"/>
          <w:szCs w:val="21"/>
        </w:rPr>
        <w:t>，从业人员人，营业收入为万元，资产总额为万元，属于</w:t>
      </w:r>
      <w:r>
        <w:rPr>
          <w:rFonts w:ascii="Times New Roman" w:hAnsi="Times New Roman" w:cs="Times New Roman"/>
          <w:spacing w:val="6"/>
          <w:kern w:val="0"/>
          <w:szCs w:val="21"/>
          <w:u w:val="single"/>
        </w:rPr>
        <w:t xml:space="preserve"> （中型企业、小型企业、微型企业） </w:t>
      </w:r>
      <w:r>
        <w:rPr>
          <w:rFonts w:ascii="Times New Roman" w:hAnsi="Times New Roman" w:cs="Times New Roman"/>
          <w:spacing w:val="6"/>
          <w:kern w:val="0"/>
          <w:szCs w:val="21"/>
        </w:rPr>
        <w:t>；</w:t>
      </w:r>
    </w:p>
    <w:p w14:paraId="34EFE9D7">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w:t>
      </w:r>
    </w:p>
    <w:p w14:paraId="491AA235">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以上企业，不属于大企业的分支机构，不存在控股股东为大企业的情形，也不存在与大企业的负责人为同一人的情形。</w:t>
      </w:r>
    </w:p>
    <w:p w14:paraId="00E6C0AF">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本企业对上述声明内容的真实性负责。如有虚假，将依法承担相应责任。</w:t>
      </w:r>
    </w:p>
    <w:p w14:paraId="4505F3EA">
      <w:pPr>
        <w:widowControl/>
        <w:adjustRightInd w:val="0"/>
        <w:snapToGrid w:val="0"/>
        <w:ind w:firstLine="444"/>
        <w:jc w:val="left"/>
        <w:rPr>
          <w:rFonts w:ascii="Times New Roman" w:hAnsi="Times New Roman" w:cs="Times New Roman"/>
          <w:spacing w:val="6"/>
          <w:kern w:val="0"/>
          <w:szCs w:val="21"/>
        </w:rPr>
      </w:pPr>
    </w:p>
    <w:p w14:paraId="6906FE46">
      <w:pPr>
        <w:widowControl/>
        <w:adjustRightInd w:val="0"/>
        <w:snapToGrid w:val="0"/>
        <w:ind w:firstLine="444"/>
        <w:jc w:val="left"/>
        <w:rPr>
          <w:rFonts w:ascii="Times New Roman" w:hAnsi="Times New Roman" w:cs="Times New Roman"/>
          <w:spacing w:val="6"/>
          <w:kern w:val="0"/>
          <w:szCs w:val="21"/>
        </w:rPr>
      </w:pPr>
    </w:p>
    <w:p w14:paraId="3B185D84">
      <w:pPr>
        <w:widowControl/>
        <w:adjustRightInd w:val="0"/>
        <w:snapToGrid w:val="0"/>
        <w:ind w:firstLine="444"/>
        <w:jc w:val="left"/>
        <w:rPr>
          <w:rFonts w:ascii="Times New Roman" w:hAnsi="Times New Roman" w:cs="Times New Roman"/>
          <w:spacing w:val="6"/>
          <w:kern w:val="0"/>
          <w:szCs w:val="21"/>
        </w:rPr>
      </w:pPr>
    </w:p>
    <w:p w14:paraId="03BE3CD2">
      <w:pPr>
        <w:widowControl/>
        <w:wordWrap w:val="0"/>
        <w:adjustRightInd w:val="0"/>
        <w:snapToGrid w:val="0"/>
        <w:ind w:firstLine="444"/>
        <w:jc w:val="right"/>
        <w:rPr>
          <w:rFonts w:ascii="Times New Roman" w:hAnsi="Times New Roman" w:cs="Times New Roman"/>
          <w:spacing w:val="6"/>
          <w:kern w:val="0"/>
          <w:szCs w:val="21"/>
          <w:u w:val="single"/>
        </w:rPr>
      </w:pPr>
      <w:r>
        <w:rPr>
          <w:rFonts w:ascii="Times New Roman" w:hAnsi="Times New Roman" w:cs="Times New Roman"/>
          <w:spacing w:val="6"/>
          <w:kern w:val="0"/>
          <w:szCs w:val="21"/>
        </w:rPr>
        <w:t xml:space="preserve">                        供应商名称（盖单位公章）：</w:t>
      </w:r>
    </w:p>
    <w:p w14:paraId="3A6577A0">
      <w:pPr>
        <w:ind w:firstLine="444"/>
        <w:jc w:val="right"/>
        <w:rPr>
          <w:rFonts w:ascii="Times New Roman" w:hAnsi="Times New Roman" w:cs="Times New Roman"/>
        </w:rPr>
      </w:pPr>
      <w:r>
        <w:rPr>
          <w:rFonts w:ascii="Times New Roman" w:hAnsi="Times New Roman" w:cs="Times New Roman"/>
          <w:spacing w:val="6"/>
          <w:kern w:val="0"/>
          <w:szCs w:val="21"/>
        </w:rPr>
        <w:t xml:space="preserve">                                     日期：</w:t>
      </w:r>
      <w:r>
        <w:rPr>
          <w:rFonts w:ascii="Times New Roman" w:hAnsi="Times New Roman" w:cs="Times New Roman"/>
        </w:rPr>
        <w:t>年月日</w:t>
      </w:r>
    </w:p>
    <w:p w14:paraId="7382BDB3">
      <w:pPr>
        <w:widowControl/>
        <w:adjustRightInd w:val="0"/>
        <w:snapToGrid w:val="0"/>
        <w:ind w:firstLine="444"/>
        <w:jc w:val="center"/>
        <w:rPr>
          <w:rFonts w:ascii="Times New Roman" w:hAnsi="Times New Roman" w:cs="Times New Roman"/>
          <w:spacing w:val="6"/>
          <w:kern w:val="0"/>
          <w:szCs w:val="21"/>
          <w:u w:val="single"/>
        </w:rPr>
      </w:pPr>
    </w:p>
    <w:p w14:paraId="0A4E464A">
      <w:pPr>
        <w:widowControl/>
        <w:adjustRightInd w:val="0"/>
        <w:snapToGrid w:val="0"/>
        <w:jc w:val="right"/>
        <w:rPr>
          <w:rFonts w:ascii="Times New Roman" w:hAnsi="Times New Roman" w:cs="Times New Roman"/>
          <w:szCs w:val="21"/>
        </w:rPr>
      </w:pPr>
    </w:p>
    <w:p w14:paraId="040D9E59">
      <w:pPr>
        <w:widowControl/>
        <w:adjustRightInd w:val="0"/>
        <w:snapToGrid w:val="0"/>
        <w:jc w:val="center"/>
        <w:rPr>
          <w:rFonts w:ascii="Times New Roman" w:hAnsi="Times New Roman" w:cs="Times New Roman"/>
          <w:szCs w:val="21"/>
        </w:rPr>
      </w:pPr>
    </w:p>
    <w:p w14:paraId="12407DC5">
      <w:pPr>
        <w:adjustRightInd w:val="0"/>
        <w:snapToGrid w:val="0"/>
        <w:rPr>
          <w:rFonts w:ascii="Times New Roman" w:hAnsi="Times New Roman" w:eastAsia="仿宋_GB2312" w:cs="Times New Roman"/>
          <w:szCs w:val="21"/>
        </w:rPr>
      </w:pPr>
    </w:p>
    <w:p w14:paraId="2EFDD98D">
      <w:pPr>
        <w:adjustRightInd w:val="0"/>
        <w:snapToGrid w:val="0"/>
        <w:rPr>
          <w:rFonts w:ascii="Times New Roman" w:hAnsi="Times New Roman" w:eastAsia="仿宋_GB2312" w:cs="Times New Roman"/>
          <w:szCs w:val="21"/>
        </w:rPr>
      </w:pPr>
    </w:p>
    <w:p w14:paraId="01A64E65">
      <w:pPr>
        <w:adjustRightInd w:val="0"/>
        <w:snapToGrid w:val="0"/>
        <w:rPr>
          <w:rFonts w:ascii="Times New Roman" w:hAnsi="Times New Roman" w:eastAsia="仿宋_GB2312" w:cs="Times New Roman"/>
          <w:szCs w:val="21"/>
        </w:rPr>
      </w:pPr>
    </w:p>
    <w:p w14:paraId="38E2371C">
      <w:pPr>
        <w:adjustRightInd w:val="0"/>
        <w:snapToGrid w:val="0"/>
        <w:rPr>
          <w:rFonts w:ascii="Times New Roman" w:hAnsi="Times New Roman" w:eastAsia="仿宋_GB2312" w:cs="Times New Roman"/>
          <w:szCs w:val="21"/>
        </w:rPr>
      </w:pPr>
    </w:p>
    <w:p w14:paraId="32963DE0">
      <w:pPr>
        <w:adjustRightInd w:val="0"/>
        <w:snapToGrid w:val="0"/>
        <w:rPr>
          <w:rFonts w:ascii="Times New Roman" w:hAnsi="Times New Roman" w:eastAsia="仿宋_GB2312" w:cs="Times New Roman"/>
          <w:szCs w:val="21"/>
        </w:rPr>
      </w:pPr>
    </w:p>
    <w:p w14:paraId="043FD0EA">
      <w:pPr>
        <w:adjustRightInd w:val="0"/>
        <w:snapToGrid w:val="0"/>
        <w:rPr>
          <w:rFonts w:ascii="Times New Roman" w:hAnsi="Times New Roman" w:eastAsia="仿宋_GB2312" w:cs="Times New Roman"/>
          <w:szCs w:val="21"/>
        </w:rPr>
      </w:pPr>
    </w:p>
    <w:p w14:paraId="532347D5">
      <w:pPr>
        <w:adjustRightInd w:val="0"/>
        <w:snapToGrid w:val="0"/>
        <w:rPr>
          <w:rFonts w:ascii="Times New Roman" w:hAnsi="Times New Roman" w:eastAsia="仿宋_GB2312" w:cs="Times New Roman"/>
          <w:szCs w:val="21"/>
        </w:rPr>
      </w:pPr>
    </w:p>
    <w:p w14:paraId="75FCC4E8">
      <w:pPr>
        <w:rPr>
          <w:rFonts w:ascii="Times New Roman" w:hAnsi="Times New Roman" w:cs="Times New Roman"/>
        </w:rPr>
      </w:pPr>
    </w:p>
    <w:p w14:paraId="288E5232">
      <w:pPr>
        <w:rPr>
          <w:rFonts w:ascii="Times New Roman" w:hAnsi="Times New Roman" w:cs="Times New Roman"/>
        </w:rPr>
        <w:sectPr>
          <w:pgSz w:w="11906" w:h="16838"/>
          <w:pgMar w:top="1474" w:right="1474" w:bottom="250" w:left="1588" w:header="851" w:footer="992" w:gutter="0"/>
          <w:cols w:space="720" w:num="1"/>
          <w:docGrid w:linePitch="312" w:charSpace="0"/>
        </w:sectPr>
      </w:pPr>
    </w:p>
    <w:p w14:paraId="43E8F305">
      <w:pPr>
        <w:ind w:firstLine="422"/>
        <w:rPr>
          <w:rFonts w:asciiTheme="majorEastAsia" w:hAnsiTheme="majorEastAsia" w:eastAsiaTheme="majorEastAsia" w:cstheme="majorEastAsia"/>
          <w:b/>
          <w:bCs/>
          <w:szCs w:val="21"/>
        </w:rPr>
      </w:pPr>
      <w:bookmarkStart w:id="333" w:name="_Toc16434"/>
      <w:bookmarkStart w:id="334" w:name="_Toc12690"/>
      <w:bookmarkStart w:id="335" w:name="_Toc14417"/>
      <w:bookmarkStart w:id="336" w:name="_Toc1830"/>
    </w:p>
    <w:p w14:paraId="0730DD5D">
      <w:pPr>
        <w:widowControl/>
        <w:ind w:firstLine="0" w:firstLineChars="0"/>
        <w:outlineLvl w:val="2"/>
        <w:rPr>
          <w:rFonts w:asciiTheme="majorEastAsia" w:hAnsiTheme="majorEastAsia" w:eastAsiaTheme="majorEastAsia" w:cstheme="majorEastAsia"/>
          <w:b/>
          <w:bCs/>
          <w:szCs w:val="21"/>
        </w:rPr>
      </w:pPr>
      <w:bookmarkStart w:id="337" w:name="_Toc5810"/>
      <w:r>
        <w:rPr>
          <w:rFonts w:asciiTheme="majorEastAsia" w:hAnsiTheme="majorEastAsia" w:eastAsiaTheme="majorEastAsia" w:cstheme="majorEastAsia"/>
          <w:b/>
          <w:bCs/>
          <w:szCs w:val="21"/>
        </w:rPr>
        <w:t>附件</w:t>
      </w:r>
      <w:r>
        <w:rPr>
          <w:rFonts w:hint="eastAsia" w:asciiTheme="majorEastAsia" w:hAnsiTheme="majorEastAsia" w:eastAsiaTheme="majorEastAsia" w:cstheme="majorEastAsia"/>
          <w:b/>
          <w:bCs/>
          <w:szCs w:val="21"/>
        </w:rPr>
        <w:t>4-2</w:t>
      </w:r>
      <w:bookmarkEnd w:id="333"/>
      <w:bookmarkEnd w:id="334"/>
      <w:bookmarkEnd w:id="335"/>
      <w:r>
        <w:rPr>
          <w:rFonts w:asciiTheme="majorEastAsia" w:hAnsiTheme="majorEastAsia" w:eastAsiaTheme="majorEastAsia" w:cstheme="majorEastAsia"/>
          <w:b/>
          <w:bCs/>
          <w:szCs w:val="21"/>
        </w:rPr>
        <w:t>残疾人福利性单位声明函</w:t>
      </w:r>
      <w:bookmarkEnd w:id="336"/>
      <w:bookmarkEnd w:id="337"/>
    </w:p>
    <w:p w14:paraId="43DE07D4">
      <w:pPr>
        <w:tabs>
          <w:tab w:val="left" w:pos="3600"/>
        </w:tabs>
        <w:ind w:firstLine="0" w:firstLineChars="0"/>
        <w:jc w:val="center"/>
        <w:rPr>
          <w:rFonts w:ascii="Times New Roman" w:hAnsi="Times New Roman" w:eastAsia="黑体" w:cs="Times New Roman"/>
          <w:bCs/>
          <w:spacing w:val="6"/>
          <w:kern w:val="0"/>
          <w:sz w:val="28"/>
          <w:szCs w:val="28"/>
        </w:rPr>
      </w:pPr>
      <w:r>
        <w:rPr>
          <w:rFonts w:ascii="Times New Roman" w:hAnsi="Times New Roman" w:eastAsia="黑体" w:cs="Times New Roman"/>
          <w:bCs/>
          <w:spacing w:val="6"/>
          <w:kern w:val="0"/>
          <w:sz w:val="28"/>
          <w:szCs w:val="28"/>
        </w:rPr>
        <w:t>残疾人福利性单位声明函</w:t>
      </w:r>
    </w:p>
    <w:p w14:paraId="09D69F76">
      <w:pPr>
        <w:tabs>
          <w:tab w:val="left" w:pos="3600"/>
        </w:tabs>
        <w:ind w:firstLine="444"/>
        <w:jc w:val="center"/>
        <w:rPr>
          <w:rFonts w:ascii="Times New Roman" w:hAnsi="Times New Roman" w:eastAsia="黑体" w:cs="Times New Roman"/>
          <w:b/>
          <w:sz w:val="32"/>
          <w:szCs w:val="32"/>
        </w:rPr>
      </w:pPr>
      <w:r>
        <w:rPr>
          <w:rFonts w:hint="eastAsia" w:ascii="Times New Roman" w:hAnsi="Times New Roman" w:cs="Times New Roman"/>
          <w:spacing w:val="6"/>
          <w:kern w:val="0"/>
          <w:szCs w:val="21"/>
        </w:rPr>
        <w:t>（</w:t>
      </w:r>
      <w:r>
        <w:rPr>
          <w:rFonts w:ascii="Times New Roman" w:hAnsi="Times New Roman" w:cs="Times New Roman"/>
          <w:spacing w:val="6"/>
          <w:kern w:val="0"/>
          <w:szCs w:val="21"/>
        </w:rPr>
        <w:t>不属于残疾人福利性单位的无需填写</w:t>
      </w:r>
      <w:r>
        <w:rPr>
          <w:rFonts w:hint="eastAsia" w:ascii="Times New Roman" w:hAnsi="Times New Roman" w:cs="Times New Roman"/>
          <w:spacing w:val="6"/>
          <w:kern w:val="0"/>
          <w:szCs w:val="21"/>
        </w:rPr>
        <w:t>）</w:t>
      </w:r>
    </w:p>
    <w:p w14:paraId="07C67DAD">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本单位郑重声明，根据《财政部 民政部 中国残疾人联合会关于促进残疾人就业政府采购政策的通知》（财库〔2017〕141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14:paraId="3C55C96C">
      <w:pPr>
        <w:widowControl/>
        <w:ind w:firstLine="444"/>
        <w:jc w:val="left"/>
        <w:rPr>
          <w:rFonts w:ascii="Times New Roman" w:hAnsi="Times New Roman" w:cs="Times New Roman"/>
        </w:rPr>
      </w:pPr>
      <w:r>
        <w:rPr>
          <w:rFonts w:ascii="Times New Roman" w:hAnsi="Times New Roman" w:cs="Times New Roman"/>
          <w:spacing w:val="6"/>
          <w:kern w:val="0"/>
          <w:szCs w:val="21"/>
        </w:rPr>
        <w:t>本单位对上述声明的真实性负责。如有虚假，将依法承担相应责任。</w:t>
      </w:r>
    </w:p>
    <w:p w14:paraId="73E6150D">
      <w:pPr>
        <w:tabs>
          <w:tab w:val="left" w:pos="3600"/>
        </w:tabs>
        <w:ind w:firstLine="643"/>
        <w:jc w:val="right"/>
        <w:rPr>
          <w:rFonts w:ascii="Times New Roman" w:hAnsi="Times New Roman" w:eastAsia="黑体" w:cs="Times New Roman"/>
          <w:b/>
          <w:sz w:val="32"/>
          <w:szCs w:val="32"/>
        </w:rPr>
      </w:pPr>
    </w:p>
    <w:p w14:paraId="0E7F2886">
      <w:pPr>
        <w:widowControl/>
        <w:wordWrap w:val="0"/>
        <w:ind w:firstLine="444"/>
        <w:jc w:val="right"/>
        <w:rPr>
          <w:rFonts w:ascii="Times New Roman" w:hAnsi="Times New Roman" w:cs="Times New Roman"/>
          <w:spacing w:val="6"/>
          <w:kern w:val="0"/>
          <w:szCs w:val="21"/>
          <w:u w:val="single"/>
        </w:rPr>
      </w:pPr>
      <w:r>
        <w:rPr>
          <w:rFonts w:ascii="Times New Roman" w:hAnsi="Times New Roman" w:cs="Times New Roman"/>
          <w:spacing w:val="6"/>
          <w:kern w:val="0"/>
          <w:szCs w:val="21"/>
        </w:rPr>
        <w:t>供应商名称（盖单位公章）：</w:t>
      </w:r>
    </w:p>
    <w:p w14:paraId="76A21507">
      <w:pPr>
        <w:widowControl/>
        <w:ind w:firstLine="444"/>
        <w:jc w:val="right"/>
        <w:rPr>
          <w:rFonts w:ascii="Times New Roman" w:hAnsi="Times New Roman" w:cs="Times New Roman"/>
          <w:spacing w:val="6"/>
          <w:kern w:val="0"/>
          <w:szCs w:val="21"/>
        </w:rPr>
      </w:pPr>
      <w:r>
        <w:rPr>
          <w:rFonts w:ascii="Times New Roman" w:hAnsi="Times New Roman" w:cs="Times New Roman"/>
          <w:spacing w:val="6"/>
          <w:kern w:val="0"/>
          <w:szCs w:val="21"/>
        </w:rPr>
        <w:t xml:space="preserve">                     日  期：___年___月___日</w:t>
      </w:r>
    </w:p>
    <w:p w14:paraId="61BDBD7C">
      <w:pPr>
        <w:widowControl/>
        <w:ind w:firstLine="600"/>
        <w:jc w:val="left"/>
        <w:rPr>
          <w:rFonts w:ascii="Times New Roman" w:hAnsi="Times New Roman" w:eastAsia="黑体" w:cs="Times New Roman"/>
          <w:sz w:val="30"/>
          <w:szCs w:val="30"/>
        </w:rPr>
      </w:pPr>
    </w:p>
    <w:p w14:paraId="3E809CF7">
      <w:pPr>
        <w:widowControl/>
        <w:ind w:firstLine="0" w:firstLineChars="0"/>
        <w:outlineLvl w:val="2"/>
        <w:rPr>
          <w:rFonts w:asciiTheme="majorEastAsia" w:hAnsiTheme="majorEastAsia" w:eastAsiaTheme="majorEastAsia" w:cstheme="majorEastAsia"/>
          <w:b/>
          <w:bCs/>
          <w:szCs w:val="21"/>
        </w:rPr>
      </w:pPr>
      <w:bookmarkStart w:id="338" w:name="_Toc9323"/>
      <w:bookmarkStart w:id="339" w:name="_Toc11814"/>
      <w:bookmarkStart w:id="340" w:name="_Toc21613"/>
      <w:bookmarkStart w:id="341" w:name="_Toc20212"/>
      <w:bookmarkStart w:id="342" w:name="_Toc8508"/>
      <w:r>
        <w:rPr>
          <w:rFonts w:asciiTheme="majorEastAsia" w:hAnsiTheme="majorEastAsia" w:eastAsiaTheme="majorEastAsia" w:cstheme="majorEastAsia"/>
          <w:b/>
          <w:bCs/>
          <w:szCs w:val="21"/>
        </w:rPr>
        <w:t>附件</w:t>
      </w:r>
      <w:r>
        <w:rPr>
          <w:rFonts w:hint="eastAsia" w:asciiTheme="majorEastAsia" w:hAnsiTheme="majorEastAsia" w:eastAsiaTheme="majorEastAsia" w:cstheme="majorEastAsia"/>
          <w:b/>
          <w:bCs/>
          <w:szCs w:val="21"/>
        </w:rPr>
        <w:t>4</w:t>
      </w:r>
      <w:r>
        <w:rPr>
          <w:rFonts w:asciiTheme="majorEastAsia" w:hAnsiTheme="majorEastAsia" w:eastAsiaTheme="majorEastAsia" w:cstheme="majorEastAsia"/>
          <w:b/>
          <w:bCs/>
          <w:szCs w:val="21"/>
        </w:rPr>
        <w:t>-</w:t>
      </w:r>
      <w:bookmarkEnd w:id="338"/>
      <w:bookmarkEnd w:id="339"/>
      <w:bookmarkEnd w:id="340"/>
      <w:r>
        <w:rPr>
          <w:rFonts w:hint="eastAsia" w:asciiTheme="majorEastAsia" w:hAnsiTheme="majorEastAsia" w:eastAsiaTheme="majorEastAsia" w:cstheme="majorEastAsia"/>
          <w:b/>
          <w:bCs/>
          <w:szCs w:val="21"/>
        </w:rPr>
        <w:t xml:space="preserve">3 </w:t>
      </w:r>
      <w:r>
        <w:rPr>
          <w:rFonts w:asciiTheme="majorEastAsia" w:hAnsiTheme="majorEastAsia" w:eastAsiaTheme="majorEastAsia" w:cstheme="majorEastAsia"/>
          <w:b/>
          <w:bCs/>
          <w:szCs w:val="21"/>
        </w:rPr>
        <w:t>监狱企业证明资料</w:t>
      </w:r>
      <w:bookmarkEnd w:id="341"/>
      <w:bookmarkEnd w:id="342"/>
    </w:p>
    <w:p w14:paraId="260012B7">
      <w:pPr>
        <w:widowControl/>
        <w:ind w:firstLine="600"/>
        <w:jc w:val="left"/>
        <w:rPr>
          <w:rFonts w:ascii="Times New Roman" w:hAnsi="Times New Roman" w:eastAsia="黑体" w:cs="Times New Roman"/>
          <w:sz w:val="30"/>
          <w:szCs w:val="30"/>
        </w:rPr>
      </w:pPr>
    </w:p>
    <w:p w14:paraId="6BC8455A">
      <w:pPr>
        <w:tabs>
          <w:tab w:val="left" w:pos="3600"/>
        </w:tabs>
        <w:ind w:firstLine="584"/>
        <w:jc w:val="center"/>
        <w:rPr>
          <w:rFonts w:ascii="Times New Roman" w:hAnsi="Times New Roman" w:eastAsia="黑体" w:cs="Times New Roman"/>
          <w:bCs/>
          <w:spacing w:val="6"/>
          <w:kern w:val="0"/>
          <w:sz w:val="28"/>
          <w:szCs w:val="28"/>
        </w:rPr>
      </w:pPr>
      <w:r>
        <w:rPr>
          <w:rFonts w:ascii="Times New Roman" w:hAnsi="Times New Roman" w:eastAsia="黑体" w:cs="Times New Roman"/>
          <w:bCs/>
          <w:spacing w:val="6"/>
          <w:kern w:val="0"/>
          <w:sz w:val="28"/>
          <w:szCs w:val="28"/>
        </w:rPr>
        <w:t>监狱企业证明资料</w:t>
      </w:r>
    </w:p>
    <w:p w14:paraId="2C9B95D2">
      <w:pPr>
        <w:tabs>
          <w:tab w:val="left" w:pos="3600"/>
        </w:tabs>
        <w:ind w:firstLine="444"/>
        <w:jc w:val="center"/>
        <w:rPr>
          <w:rFonts w:ascii="Times New Roman" w:hAnsi="Times New Roman" w:cs="Times New Roman"/>
          <w:spacing w:val="6"/>
          <w:kern w:val="0"/>
          <w:szCs w:val="21"/>
        </w:rPr>
      </w:pPr>
      <w:r>
        <w:rPr>
          <w:rFonts w:ascii="Times New Roman" w:hAnsi="Times New Roman" w:cs="Times New Roman"/>
          <w:spacing w:val="6"/>
          <w:kern w:val="0"/>
          <w:szCs w:val="21"/>
        </w:rPr>
        <w:t>(不属于监狱企业的无需提供)</w:t>
      </w:r>
    </w:p>
    <w:p w14:paraId="5C88CDB7">
      <w:pPr>
        <w:widowControl/>
        <w:ind w:firstLine="444"/>
        <w:jc w:val="left"/>
        <w:rPr>
          <w:rFonts w:ascii="Times New Roman" w:hAnsi="Times New Roman" w:cs="Times New Roman"/>
          <w:spacing w:val="6"/>
          <w:kern w:val="0"/>
          <w:szCs w:val="21"/>
        </w:rPr>
      </w:pPr>
    </w:p>
    <w:p w14:paraId="7E7C4C03">
      <w:pPr>
        <w:widowControl/>
        <w:ind w:firstLine="444"/>
        <w:jc w:val="left"/>
        <w:rPr>
          <w:rFonts w:ascii="Times New Roman" w:hAnsi="Times New Roman" w:cs="Times New Roman"/>
          <w:spacing w:val="6"/>
          <w:kern w:val="0"/>
          <w:szCs w:val="21"/>
        </w:rPr>
      </w:pPr>
      <w:r>
        <w:rPr>
          <w:rFonts w:ascii="Times New Roman" w:hAnsi="Times New Roman" w:cs="Times New Roman"/>
          <w:spacing w:val="6"/>
          <w:kern w:val="0"/>
          <w:szCs w:val="21"/>
        </w:rPr>
        <w:t>备注：按《财政部 司法部关于政府采购支持监狱企业发展有关问题的通知》(财库〔2014〕68号)文件规定提供证明文件（复印件）。</w:t>
      </w:r>
    </w:p>
    <w:p w14:paraId="308F356A">
      <w:pPr>
        <w:widowControl/>
        <w:ind w:firstLine="444"/>
        <w:jc w:val="right"/>
        <w:rPr>
          <w:rFonts w:ascii="Times New Roman" w:hAnsi="Times New Roman" w:cs="Times New Roman"/>
          <w:spacing w:val="6"/>
          <w:kern w:val="0"/>
          <w:szCs w:val="21"/>
        </w:rPr>
      </w:pPr>
    </w:p>
    <w:p w14:paraId="5EFDFD8B">
      <w:pPr>
        <w:widowControl/>
        <w:ind w:firstLine="444"/>
        <w:jc w:val="right"/>
        <w:rPr>
          <w:rFonts w:ascii="Times New Roman" w:hAnsi="Times New Roman" w:cs="Times New Roman"/>
          <w:spacing w:val="6"/>
          <w:kern w:val="0"/>
          <w:szCs w:val="21"/>
        </w:rPr>
      </w:pPr>
    </w:p>
    <w:p w14:paraId="02DF153C">
      <w:pPr>
        <w:widowControl/>
        <w:wordWrap w:val="0"/>
        <w:ind w:firstLine="444"/>
        <w:jc w:val="right"/>
        <w:rPr>
          <w:rFonts w:ascii="Times New Roman" w:hAnsi="Times New Roman" w:cs="Times New Roman"/>
          <w:spacing w:val="6"/>
          <w:kern w:val="0"/>
          <w:szCs w:val="21"/>
          <w:u w:val="single"/>
        </w:rPr>
      </w:pPr>
      <w:r>
        <w:rPr>
          <w:rFonts w:ascii="Times New Roman" w:hAnsi="Times New Roman" w:cs="Times New Roman"/>
          <w:spacing w:val="6"/>
          <w:kern w:val="0"/>
          <w:szCs w:val="21"/>
        </w:rPr>
        <w:t>供应商名称（盖单位公章）：</w:t>
      </w:r>
    </w:p>
    <w:p w14:paraId="22ACEBDB">
      <w:pPr>
        <w:widowControl/>
        <w:ind w:firstLine="444"/>
        <w:jc w:val="right"/>
        <w:rPr>
          <w:rFonts w:ascii="Times New Roman" w:hAnsi="Times New Roman" w:cs="Times New Roman"/>
          <w:spacing w:val="6"/>
          <w:kern w:val="0"/>
          <w:szCs w:val="21"/>
        </w:rPr>
      </w:pPr>
      <w:r>
        <w:rPr>
          <w:rFonts w:ascii="Times New Roman" w:hAnsi="Times New Roman" w:cs="Times New Roman"/>
          <w:spacing w:val="6"/>
          <w:kern w:val="0"/>
          <w:szCs w:val="21"/>
        </w:rPr>
        <w:t xml:space="preserve">                     日  期：___年___月___日</w:t>
      </w:r>
    </w:p>
    <w:p w14:paraId="244B2681">
      <w:pPr>
        <w:pStyle w:val="292"/>
        <w:rPr>
          <w:spacing w:val="6"/>
          <w:kern w:val="0"/>
          <w:szCs w:val="21"/>
        </w:rPr>
      </w:pPr>
    </w:p>
    <w:p w14:paraId="121C4788">
      <w:pPr>
        <w:adjustRightInd w:val="0"/>
        <w:snapToGrid w:val="0"/>
        <w:ind w:firstLine="600"/>
        <w:jc w:val="center"/>
        <w:rPr>
          <w:rFonts w:ascii="黑体" w:eastAsia="黑体"/>
          <w:sz w:val="30"/>
          <w:szCs w:val="30"/>
        </w:rPr>
      </w:pPr>
    </w:p>
    <w:p w14:paraId="3AF4EE20">
      <w:pPr>
        <w:ind w:firstLine="643"/>
        <w:rPr>
          <w:rFonts w:ascii="Times New Roman" w:hAnsi="Times New Roman" w:eastAsia="黑体" w:cs="Times New Roman"/>
          <w:b/>
          <w:sz w:val="32"/>
          <w:szCs w:val="32"/>
        </w:rPr>
      </w:pPr>
      <w:bookmarkStart w:id="343" w:name="_Toc2530"/>
      <w:bookmarkStart w:id="344" w:name="_Toc1318"/>
      <w:bookmarkStart w:id="345" w:name="_Toc13266"/>
      <w:r>
        <w:rPr>
          <w:rFonts w:ascii="Times New Roman" w:hAnsi="Times New Roman" w:eastAsia="黑体" w:cs="Times New Roman"/>
          <w:b/>
          <w:sz w:val="32"/>
          <w:szCs w:val="32"/>
        </w:rPr>
        <w:br w:type="page"/>
      </w:r>
    </w:p>
    <w:p w14:paraId="21FBE601">
      <w:pPr>
        <w:ind w:firstLine="0" w:firstLineChars="0"/>
        <w:jc w:val="center"/>
        <w:rPr>
          <w:rFonts w:ascii="Times New Roman" w:hAnsi="Times New Roman" w:eastAsia="黑体" w:cs="Times New Roman"/>
          <w:b/>
          <w:sz w:val="32"/>
          <w:szCs w:val="32"/>
        </w:rPr>
      </w:pPr>
      <w:r>
        <w:rPr>
          <w:rFonts w:ascii="Times New Roman" w:hAnsi="Times New Roman" w:eastAsia="黑体" w:cs="Times New Roman"/>
          <w:b/>
          <w:sz w:val="32"/>
          <w:szCs w:val="32"/>
        </w:rPr>
        <w:t>七、报价一览表及分项价格表</w:t>
      </w:r>
      <w:bookmarkEnd w:id="343"/>
      <w:bookmarkEnd w:id="344"/>
      <w:bookmarkEnd w:id="345"/>
    </w:p>
    <w:p w14:paraId="70C0EB51">
      <w:pPr>
        <w:widowControl/>
        <w:ind w:firstLine="0" w:firstLineChars="0"/>
        <w:outlineLvl w:val="2"/>
        <w:rPr>
          <w:rFonts w:asciiTheme="majorEastAsia" w:hAnsiTheme="majorEastAsia" w:eastAsiaTheme="majorEastAsia" w:cstheme="majorEastAsia"/>
          <w:b/>
          <w:bCs/>
          <w:szCs w:val="21"/>
        </w:rPr>
      </w:pPr>
      <w:bookmarkStart w:id="346" w:name="_Toc13657"/>
      <w:bookmarkStart w:id="347" w:name="_Toc15243"/>
      <w:bookmarkStart w:id="348" w:name="_Toc11304"/>
      <w:bookmarkStart w:id="349" w:name="_Toc25391"/>
      <w:bookmarkStart w:id="350" w:name="_Toc20558"/>
      <w:r>
        <w:rPr>
          <w:rFonts w:asciiTheme="majorEastAsia" w:hAnsiTheme="majorEastAsia" w:eastAsiaTheme="majorEastAsia" w:cstheme="majorEastAsia"/>
          <w:b/>
          <w:bCs/>
          <w:szCs w:val="21"/>
        </w:rPr>
        <w:t>附件</w:t>
      </w:r>
      <w:bookmarkEnd w:id="346"/>
      <w:bookmarkEnd w:id="347"/>
      <w:bookmarkEnd w:id="348"/>
      <w:r>
        <w:rPr>
          <w:rFonts w:hint="eastAsia" w:asciiTheme="majorEastAsia" w:hAnsiTheme="majorEastAsia" w:eastAsiaTheme="majorEastAsia" w:cstheme="majorEastAsia"/>
          <w:b/>
          <w:bCs/>
          <w:szCs w:val="21"/>
        </w:rPr>
        <w:t xml:space="preserve">5-1 </w:t>
      </w:r>
      <w:r>
        <w:rPr>
          <w:rFonts w:asciiTheme="majorEastAsia" w:hAnsiTheme="majorEastAsia" w:eastAsiaTheme="majorEastAsia" w:cstheme="majorEastAsia"/>
          <w:b/>
          <w:bCs/>
          <w:szCs w:val="21"/>
        </w:rPr>
        <w:t>报价一览表</w:t>
      </w:r>
      <w:bookmarkEnd w:id="349"/>
      <w:bookmarkEnd w:id="350"/>
    </w:p>
    <w:p w14:paraId="5C64DF63">
      <w:pPr>
        <w:tabs>
          <w:tab w:val="left" w:pos="3600"/>
        </w:tabs>
        <w:ind w:firstLine="586"/>
        <w:jc w:val="center"/>
        <w:rPr>
          <w:rFonts w:ascii="Times New Roman" w:hAnsi="Times New Roman" w:eastAsia="黑体" w:cs="Times New Roman"/>
          <w:b/>
          <w:spacing w:val="6"/>
          <w:kern w:val="0"/>
          <w:sz w:val="28"/>
          <w:szCs w:val="28"/>
        </w:rPr>
      </w:pPr>
      <w:r>
        <w:rPr>
          <w:rFonts w:ascii="Times New Roman" w:hAnsi="Times New Roman" w:eastAsia="黑体" w:cs="Times New Roman"/>
          <w:b/>
          <w:spacing w:val="6"/>
          <w:kern w:val="0"/>
          <w:sz w:val="28"/>
          <w:szCs w:val="28"/>
        </w:rPr>
        <w:t>报价一览表</w:t>
      </w:r>
      <w:r>
        <w:rPr>
          <w:rFonts w:hint="eastAsia" w:ascii="Times New Roman" w:hAnsi="Times New Roman" w:eastAsia="黑体" w:cs="Times New Roman"/>
          <w:b/>
          <w:spacing w:val="6"/>
          <w:kern w:val="0"/>
          <w:sz w:val="28"/>
          <w:szCs w:val="28"/>
        </w:rPr>
        <w:t>（服务类适用）</w:t>
      </w:r>
    </w:p>
    <w:tbl>
      <w:tblPr>
        <w:tblStyle w:val="45"/>
        <w:tblpPr w:leftFromText="180" w:rightFromText="180" w:vertAnchor="text" w:horzAnchor="page" w:tblpX="957" w:tblpY="309"/>
        <w:tblOverlap w:val="never"/>
        <w:tblW w:w="101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3970"/>
        <w:gridCol w:w="1688"/>
        <w:gridCol w:w="1916"/>
      </w:tblGrid>
      <w:tr w14:paraId="40088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552" w:type="dxa"/>
            <w:vMerge w:val="restart"/>
            <w:tcBorders>
              <w:bottom w:val="single" w:color="auto" w:sz="6" w:space="0"/>
              <w:right w:val="single" w:color="auto" w:sz="6" w:space="0"/>
            </w:tcBorders>
            <w:noWrap/>
            <w:vAlign w:val="center"/>
          </w:tcPr>
          <w:p w14:paraId="5DFE8BEC">
            <w:pPr>
              <w:ind w:right="23" w:rightChars="11" w:firstLine="0" w:firstLineChars="0"/>
              <w:jc w:val="center"/>
              <w:rPr>
                <w:szCs w:val="21"/>
              </w:rPr>
            </w:pPr>
            <w:r>
              <w:rPr>
                <w:szCs w:val="21"/>
              </w:rPr>
              <w:t>项目</w:t>
            </w:r>
            <w:r>
              <w:rPr>
                <w:rFonts w:hint="eastAsia"/>
                <w:szCs w:val="21"/>
              </w:rPr>
              <w:t>名称</w:t>
            </w:r>
          </w:p>
        </w:tc>
        <w:tc>
          <w:tcPr>
            <w:tcW w:w="3970" w:type="dxa"/>
            <w:vMerge w:val="restart"/>
            <w:tcBorders>
              <w:left w:val="single" w:color="auto" w:sz="6" w:space="0"/>
              <w:bottom w:val="single" w:color="auto" w:sz="6" w:space="0"/>
              <w:right w:val="single" w:color="auto" w:sz="6" w:space="0"/>
            </w:tcBorders>
            <w:noWrap/>
            <w:vAlign w:val="center"/>
          </w:tcPr>
          <w:p w14:paraId="0E73476A">
            <w:pPr>
              <w:ind w:right="23" w:rightChars="11"/>
              <w:jc w:val="center"/>
              <w:rPr>
                <w:szCs w:val="21"/>
              </w:rPr>
            </w:pPr>
          </w:p>
        </w:tc>
        <w:tc>
          <w:tcPr>
            <w:tcW w:w="1688" w:type="dxa"/>
            <w:tcBorders>
              <w:left w:val="single" w:color="auto" w:sz="6" w:space="0"/>
              <w:bottom w:val="single" w:color="auto" w:sz="6" w:space="0"/>
              <w:right w:val="single" w:color="auto" w:sz="6" w:space="0"/>
            </w:tcBorders>
            <w:noWrap/>
            <w:vAlign w:val="center"/>
          </w:tcPr>
          <w:p w14:paraId="299DAED0">
            <w:pPr>
              <w:ind w:right="23" w:rightChars="11" w:firstLine="0" w:firstLineChars="0"/>
              <w:jc w:val="center"/>
              <w:rPr>
                <w:szCs w:val="21"/>
              </w:rPr>
            </w:pPr>
            <w:r>
              <w:rPr>
                <w:rFonts w:hint="eastAsia"/>
                <w:szCs w:val="21"/>
              </w:rPr>
              <w:t>政府采购</w:t>
            </w:r>
            <w:r>
              <w:rPr>
                <w:szCs w:val="21"/>
              </w:rPr>
              <w:t>编号</w:t>
            </w:r>
          </w:p>
        </w:tc>
        <w:tc>
          <w:tcPr>
            <w:tcW w:w="1916" w:type="dxa"/>
            <w:tcBorders>
              <w:left w:val="single" w:color="auto" w:sz="6" w:space="0"/>
              <w:bottom w:val="single" w:color="auto" w:sz="6" w:space="0"/>
            </w:tcBorders>
            <w:noWrap/>
            <w:vAlign w:val="center"/>
          </w:tcPr>
          <w:p w14:paraId="1B7CFE87">
            <w:pPr>
              <w:ind w:right="23" w:rightChars="11"/>
              <w:jc w:val="center"/>
              <w:rPr>
                <w:szCs w:val="21"/>
              </w:rPr>
            </w:pPr>
          </w:p>
        </w:tc>
      </w:tr>
      <w:tr w14:paraId="43B4B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552" w:type="dxa"/>
            <w:vMerge w:val="continue"/>
            <w:tcBorders>
              <w:top w:val="single" w:color="auto" w:sz="6" w:space="0"/>
              <w:bottom w:val="single" w:color="auto" w:sz="6" w:space="0"/>
              <w:right w:val="single" w:color="auto" w:sz="6" w:space="0"/>
            </w:tcBorders>
            <w:noWrap/>
            <w:vAlign w:val="center"/>
          </w:tcPr>
          <w:p w14:paraId="68284D5E">
            <w:pPr>
              <w:ind w:right="23" w:rightChars="11"/>
              <w:jc w:val="center"/>
              <w:rPr>
                <w:szCs w:val="21"/>
              </w:rPr>
            </w:pPr>
          </w:p>
        </w:tc>
        <w:tc>
          <w:tcPr>
            <w:tcW w:w="3970" w:type="dxa"/>
            <w:vMerge w:val="continue"/>
            <w:tcBorders>
              <w:top w:val="single" w:color="auto" w:sz="6" w:space="0"/>
              <w:left w:val="single" w:color="auto" w:sz="6" w:space="0"/>
              <w:bottom w:val="single" w:color="auto" w:sz="6" w:space="0"/>
              <w:right w:val="single" w:color="auto" w:sz="6" w:space="0"/>
            </w:tcBorders>
            <w:noWrap/>
            <w:vAlign w:val="center"/>
          </w:tcPr>
          <w:p w14:paraId="47B68D72">
            <w:pPr>
              <w:ind w:right="23" w:rightChars="11"/>
              <w:jc w:val="center"/>
              <w:rPr>
                <w:szCs w:val="21"/>
              </w:rPr>
            </w:pPr>
          </w:p>
        </w:tc>
        <w:tc>
          <w:tcPr>
            <w:tcW w:w="1688" w:type="dxa"/>
            <w:tcBorders>
              <w:top w:val="single" w:color="auto" w:sz="6" w:space="0"/>
              <w:left w:val="single" w:color="auto" w:sz="6" w:space="0"/>
              <w:bottom w:val="single" w:color="auto" w:sz="6" w:space="0"/>
              <w:right w:val="single" w:color="auto" w:sz="6" w:space="0"/>
            </w:tcBorders>
            <w:noWrap/>
            <w:vAlign w:val="center"/>
          </w:tcPr>
          <w:p w14:paraId="5AACD602">
            <w:pPr>
              <w:ind w:right="23" w:rightChars="11" w:firstLine="0" w:firstLineChars="0"/>
              <w:jc w:val="center"/>
              <w:rPr>
                <w:szCs w:val="21"/>
              </w:rPr>
            </w:pPr>
            <w:r>
              <w:rPr>
                <w:rFonts w:hint="eastAsia"/>
                <w:szCs w:val="21"/>
              </w:rPr>
              <w:t>采购代理</w:t>
            </w:r>
            <w:r>
              <w:rPr>
                <w:szCs w:val="21"/>
              </w:rPr>
              <w:t>编号</w:t>
            </w:r>
          </w:p>
        </w:tc>
        <w:tc>
          <w:tcPr>
            <w:tcW w:w="1916" w:type="dxa"/>
            <w:tcBorders>
              <w:top w:val="single" w:color="auto" w:sz="6" w:space="0"/>
              <w:left w:val="single" w:color="auto" w:sz="6" w:space="0"/>
              <w:bottom w:val="single" w:color="auto" w:sz="6" w:space="0"/>
            </w:tcBorders>
            <w:noWrap/>
            <w:vAlign w:val="center"/>
          </w:tcPr>
          <w:p w14:paraId="42464573">
            <w:pPr>
              <w:ind w:right="23" w:rightChars="11"/>
              <w:jc w:val="center"/>
              <w:rPr>
                <w:szCs w:val="21"/>
              </w:rPr>
            </w:pPr>
          </w:p>
        </w:tc>
      </w:tr>
      <w:tr w14:paraId="21D8A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2552" w:type="dxa"/>
            <w:tcBorders>
              <w:top w:val="single" w:color="auto" w:sz="6" w:space="0"/>
              <w:bottom w:val="single" w:color="auto" w:sz="6" w:space="0"/>
            </w:tcBorders>
            <w:noWrap/>
            <w:vAlign w:val="center"/>
          </w:tcPr>
          <w:p w14:paraId="1B6E9467">
            <w:pPr>
              <w:ind w:right="23" w:rightChars="11" w:firstLine="0" w:firstLineChars="0"/>
              <w:jc w:val="center"/>
              <w:rPr>
                <w:szCs w:val="21"/>
              </w:rPr>
            </w:pPr>
            <w:r>
              <w:rPr>
                <w:rFonts w:hint="eastAsia"/>
                <w:szCs w:val="21"/>
              </w:rPr>
              <w:t>总报价</w:t>
            </w:r>
          </w:p>
        </w:tc>
        <w:tc>
          <w:tcPr>
            <w:tcW w:w="7574" w:type="dxa"/>
            <w:gridSpan w:val="3"/>
            <w:tcBorders>
              <w:top w:val="single" w:color="auto" w:sz="6" w:space="0"/>
              <w:bottom w:val="single" w:color="auto" w:sz="6" w:space="0"/>
            </w:tcBorders>
            <w:noWrap/>
            <w:vAlign w:val="center"/>
          </w:tcPr>
          <w:p w14:paraId="6000A536">
            <w:pPr>
              <w:ind w:right="23" w:rightChars="11" w:firstLine="0" w:firstLineChars="0"/>
              <w:rPr>
                <w:szCs w:val="21"/>
              </w:rPr>
            </w:pPr>
            <w:r>
              <w:rPr>
                <w:rFonts w:hint="eastAsia"/>
                <w:szCs w:val="21"/>
              </w:rPr>
              <w:t>大写：元人民币</w:t>
            </w:r>
          </w:p>
          <w:p w14:paraId="15A4ADC2">
            <w:pPr>
              <w:ind w:right="23" w:rightChars="11" w:firstLine="0" w:firstLineChars="0"/>
              <w:rPr>
                <w:szCs w:val="21"/>
              </w:rPr>
            </w:pPr>
            <w:r>
              <w:rPr>
                <w:rFonts w:hint="eastAsia"/>
                <w:szCs w:val="21"/>
              </w:rPr>
              <w:t>小写：元人民币</w:t>
            </w:r>
          </w:p>
        </w:tc>
      </w:tr>
      <w:tr w14:paraId="58F6F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trPr>
        <w:tc>
          <w:tcPr>
            <w:tcW w:w="2552" w:type="dxa"/>
            <w:tcBorders>
              <w:top w:val="single" w:color="auto" w:sz="6" w:space="0"/>
              <w:bottom w:val="single" w:color="auto" w:sz="6" w:space="0"/>
            </w:tcBorders>
            <w:noWrap/>
            <w:vAlign w:val="center"/>
          </w:tcPr>
          <w:p w14:paraId="692D8DA9">
            <w:pPr>
              <w:ind w:right="23" w:rightChars="11" w:firstLine="0" w:firstLineChars="0"/>
              <w:jc w:val="center"/>
              <w:rPr>
                <w:szCs w:val="21"/>
              </w:rPr>
            </w:pPr>
            <w:r>
              <w:rPr>
                <w:rFonts w:hint="eastAsia"/>
                <w:szCs w:val="21"/>
              </w:rPr>
              <w:t>服务期</w:t>
            </w:r>
          </w:p>
        </w:tc>
        <w:tc>
          <w:tcPr>
            <w:tcW w:w="7574" w:type="dxa"/>
            <w:gridSpan w:val="3"/>
            <w:tcBorders>
              <w:top w:val="single" w:color="auto" w:sz="6" w:space="0"/>
              <w:bottom w:val="single" w:color="auto" w:sz="6" w:space="0"/>
            </w:tcBorders>
            <w:noWrap/>
            <w:vAlign w:val="center"/>
          </w:tcPr>
          <w:p w14:paraId="73D69772">
            <w:pPr>
              <w:ind w:right="23" w:rightChars="11"/>
              <w:jc w:val="center"/>
              <w:rPr>
                <w:szCs w:val="21"/>
              </w:rPr>
            </w:pPr>
          </w:p>
        </w:tc>
      </w:tr>
      <w:tr w14:paraId="24609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2" w:hRule="atLeast"/>
        </w:trPr>
        <w:tc>
          <w:tcPr>
            <w:tcW w:w="2552" w:type="dxa"/>
            <w:tcBorders>
              <w:top w:val="single" w:color="auto" w:sz="6" w:space="0"/>
            </w:tcBorders>
            <w:noWrap/>
            <w:vAlign w:val="center"/>
          </w:tcPr>
          <w:p w14:paraId="2A3A1E99">
            <w:pPr>
              <w:ind w:right="23" w:rightChars="11" w:firstLine="0" w:firstLineChars="0"/>
              <w:jc w:val="center"/>
              <w:rPr>
                <w:szCs w:val="21"/>
              </w:rPr>
            </w:pPr>
            <w:r>
              <w:rPr>
                <w:szCs w:val="21"/>
              </w:rPr>
              <w:t>备  注</w:t>
            </w:r>
          </w:p>
        </w:tc>
        <w:tc>
          <w:tcPr>
            <w:tcW w:w="7574" w:type="dxa"/>
            <w:gridSpan w:val="3"/>
            <w:tcBorders>
              <w:top w:val="single" w:color="auto" w:sz="6" w:space="0"/>
            </w:tcBorders>
            <w:noWrap/>
            <w:vAlign w:val="center"/>
          </w:tcPr>
          <w:p w14:paraId="0D98FD46">
            <w:pPr>
              <w:ind w:right="23" w:rightChars="11"/>
              <w:jc w:val="center"/>
              <w:rPr>
                <w:szCs w:val="21"/>
              </w:rPr>
            </w:pPr>
          </w:p>
        </w:tc>
      </w:tr>
    </w:tbl>
    <w:p w14:paraId="6B357E6D">
      <w:pPr>
        <w:pStyle w:val="68"/>
      </w:pPr>
    </w:p>
    <w:p w14:paraId="1ABFDF0F">
      <w:pPr>
        <w:pStyle w:val="24"/>
        <w:adjustRightInd w:val="0"/>
        <w:snapToGrid w:val="0"/>
        <w:spacing w:before="156" w:beforeLines="50"/>
        <w:ind w:firstLine="0" w:firstLineChars="0"/>
        <w:rPr>
          <w:rFonts w:ascii="Times New Roman" w:hAnsi="Times New Roman" w:cs="Times New Roman"/>
          <w:bCs/>
          <w:sz w:val="21"/>
          <w:szCs w:val="21"/>
          <w:u w:val="single"/>
        </w:rPr>
      </w:pPr>
      <w:r>
        <w:rPr>
          <w:rFonts w:ascii="Times New Roman" w:hAnsi="Times New Roman" w:cs="Times New Roman"/>
          <w:sz w:val="21"/>
          <w:szCs w:val="21"/>
        </w:rPr>
        <w:t>供应商名称（盖单位公章）：</w:t>
      </w:r>
    </w:p>
    <w:p w14:paraId="63971ED6">
      <w:pPr>
        <w:adjustRightInd w:val="0"/>
        <w:snapToGrid w:val="0"/>
        <w:spacing w:before="156" w:beforeLines="50"/>
        <w:ind w:firstLine="0" w:firstLineChars="0"/>
        <w:rPr>
          <w:rFonts w:ascii="Times New Roman" w:hAnsi="Times New Roman" w:cs="Times New Roman"/>
          <w:szCs w:val="21"/>
          <w:u w:val="single"/>
        </w:rPr>
      </w:pPr>
      <w:r>
        <w:rPr>
          <w:rFonts w:hint="eastAsia" w:ascii="Times New Roman" w:hAnsi="Times New Roman" w:cs="Times New Roman"/>
        </w:rPr>
        <w:t>法定代表人（单位负责人）或其委托代理人（签字或印章）：</w:t>
      </w:r>
    </w:p>
    <w:p w14:paraId="4DF9B8EE">
      <w:pPr>
        <w:adjustRightInd w:val="0"/>
        <w:snapToGrid w:val="0"/>
        <w:spacing w:before="156" w:beforeLines="50"/>
        <w:ind w:firstLine="0" w:firstLineChars="0"/>
        <w:rPr>
          <w:rFonts w:ascii="Times New Roman" w:hAnsi="Times New Roman" w:cs="Times New Roman"/>
          <w:szCs w:val="21"/>
        </w:rPr>
      </w:pPr>
      <w:r>
        <w:rPr>
          <w:rFonts w:ascii="Times New Roman" w:hAnsi="Times New Roman" w:cs="Times New Roman"/>
          <w:szCs w:val="21"/>
        </w:rPr>
        <w:t>日期：年月日</w:t>
      </w:r>
    </w:p>
    <w:p w14:paraId="10D0283E">
      <w:pPr>
        <w:pStyle w:val="24"/>
        <w:adjustRightInd w:val="0"/>
        <w:snapToGrid w:val="0"/>
        <w:spacing w:line="480" w:lineRule="auto"/>
        <w:rPr>
          <w:rFonts w:ascii="Times New Roman" w:hAnsi="Times New Roman" w:cs="Times New Roman"/>
          <w:sz w:val="21"/>
          <w:szCs w:val="21"/>
        </w:rPr>
      </w:pPr>
    </w:p>
    <w:p w14:paraId="0D6BA313">
      <w:pPr>
        <w:adjustRightInd w:val="0"/>
        <w:snapToGrid w:val="0"/>
        <w:ind w:firstLine="600"/>
        <w:rPr>
          <w:rFonts w:ascii="Times New Roman" w:hAnsi="Times New Roman" w:eastAsia="黑体" w:cs="Times New Roman"/>
          <w:sz w:val="30"/>
          <w:szCs w:val="30"/>
        </w:rPr>
      </w:pPr>
    </w:p>
    <w:p w14:paraId="4B0FB237">
      <w:pPr>
        <w:pStyle w:val="66"/>
        <w:ind w:firstLine="480"/>
        <w:sectPr>
          <w:headerReference r:id="rId13" w:type="default"/>
          <w:footerReference r:id="rId14" w:type="default"/>
          <w:type w:val="continuous"/>
          <w:pgSz w:w="11906" w:h="16838"/>
          <w:pgMar w:top="1440" w:right="1800" w:bottom="1440" w:left="1800" w:header="851" w:footer="992" w:gutter="0"/>
          <w:cols w:space="720" w:num="1"/>
          <w:docGrid w:type="lines" w:linePitch="312" w:charSpace="0"/>
        </w:sectPr>
      </w:pPr>
    </w:p>
    <w:p w14:paraId="056E09AE">
      <w:pPr>
        <w:ind w:firstLine="0" w:firstLineChars="0"/>
        <w:outlineLvl w:val="2"/>
        <w:rPr>
          <w:b/>
          <w:bCs/>
        </w:rPr>
      </w:pPr>
      <w:bookmarkStart w:id="351" w:name="_Toc4849"/>
      <w:bookmarkStart w:id="352" w:name="_Toc9062"/>
      <w:bookmarkStart w:id="353" w:name="_Toc7696"/>
      <w:bookmarkStart w:id="354" w:name="_Toc12619_WPSOffice_Level1"/>
      <w:bookmarkStart w:id="355" w:name="_Toc28016"/>
      <w:bookmarkStart w:id="356" w:name="_Toc2796"/>
      <w:r>
        <w:rPr>
          <w:rFonts w:hint="eastAsia"/>
          <w:b/>
          <w:bCs/>
        </w:rPr>
        <w:t>附件5-</w:t>
      </w:r>
      <w:bookmarkEnd w:id="351"/>
      <w:bookmarkEnd w:id="352"/>
      <w:bookmarkEnd w:id="353"/>
      <w:bookmarkEnd w:id="354"/>
      <w:r>
        <w:rPr>
          <w:rFonts w:hint="eastAsia"/>
          <w:b/>
          <w:bCs/>
        </w:rPr>
        <w:t>2 分项价格表</w:t>
      </w:r>
      <w:bookmarkEnd w:id="355"/>
      <w:bookmarkEnd w:id="356"/>
    </w:p>
    <w:p w14:paraId="34B15209">
      <w:pPr>
        <w:adjustRightInd w:val="0"/>
        <w:snapToGrid w:val="0"/>
        <w:ind w:firstLine="600"/>
        <w:jc w:val="center"/>
        <w:rPr>
          <w:rFonts w:ascii="楷体_GB2312" w:eastAsia="楷体_GB2312"/>
          <w:b/>
        </w:rPr>
      </w:pPr>
      <w:bookmarkStart w:id="357" w:name="_Toc25515"/>
      <w:bookmarkStart w:id="358" w:name="_Toc826"/>
      <w:bookmarkStart w:id="359" w:name="_Toc17180"/>
      <w:r>
        <w:rPr>
          <w:rFonts w:hint="eastAsia" w:ascii="黑体" w:eastAsia="黑体"/>
          <w:sz w:val="30"/>
          <w:szCs w:val="30"/>
        </w:rPr>
        <w:t xml:space="preserve">分项价格表(服务类适用) </w:t>
      </w:r>
    </w:p>
    <w:p w14:paraId="5FFFD1FA">
      <w:pPr>
        <w:spacing w:line="360" w:lineRule="exact"/>
        <w:ind w:firstLine="211" w:firstLineChars="100"/>
        <w:rPr>
          <w:rFonts w:ascii="楷体_GB2312" w:eastAsia="楷体_GB2312"/>
          <w:b/>
        </w:rPr>
      </w:pPr>
      <w:r>
        <w:rPr>
          <w:rFonts w:hint="eastAsia" w:ascii="楷体_GB2312" w:eastAsia="楷体_GB2312"/>
          <w:b/>
        </w:rPr>
        <w:t>项目名称：金额单位：元</w:t>
      </w:r>
    </w:p>
    <w:tbl>
      <w:tblPr>
        <w:tblStyle w:val="45"/>
        <w:tblW w:w="156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901"/>
        <w:gridCol w:w="1901"/>
        <w:gridCol w:w="1901"/>
        <w:gridCol w:w="2661"/>
        <w:gridCol w:w="1144"/>
        <w:gridCol w:w="1144"/>
        <w:gridCol w:w="1144"/>
        <w:gridCol w:w="1523"/>
        <w:gridCol w:w="1145"/>
      </w:tblGrid>
      <w:tr w14:paraId="4EA1F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44" w:type="dxa"/>
            <w:noWrap/>
            <w:vAlign w:val="center"/>
          </w:tcPr>
          <w:p w14:paraId="20AD2F86">
            <w:pPr>
              <w:adjustRightInd w:val="0"/>
              <w:snapToGrid w:val="0"/>
              <w:ind w:firstLine="0" w:firstLineChars="0"/>
              <w:jc w:val="center"/>
              <w:rPr>
                <w:szCs w:val="21"/>
              </w:rPr>
            </w:pPr>
            <w:r>
              <w:rPr>
                <w:rFonts w:hint="eastAsia"/>
                <w:szCs w:val="21"/>
              </w:rPr>
              <w:t>序号</w:t>
            </w:r>
          </w:p>
        </w:tc>
        <w:tc>
          <w:tcPr>
            <w:tcW w:w="1901" w:type="dxa"/>
            <w:noWrap/>
            <w:vAlign w:val="center"/>
          </w:tcPr>
          <w:p w14:paraId="34968E77">
            <w:pPr>
              <w:adjustRightInd w:val="0"/>
              <w:snapToGrid w:val="0"/>
              <w:ind w:firstLine="0" w:firstLineChars="0"/>
              <w:rPr>
                <w:szCs w:val="21"/>
              </w:rPr>
            </w:pPr>
            <w:r>
              <w:rPr>
                <w:rFonts w:hint="eastAsia"/>
                <w:szCs w:val="21"/>
              </w:rPr>
              <w:t>服务名称</w:t>
            </w:r>
          </w:p>
        </w:tc>
        <w:tc>
          <w:tcPr>
            <w:tcW w:w="1901" w:type="dxa"/>
            <w:noWrap/>
            <w:vAlign w:val="center"/>
          </w:tcPr>
          <w:p w14:paraId="7A8882DC">
            <w:pPr>
              <w:adjustRightInd w:val="0"/>
              <w:snapToGrid w:val="0"/>
              <w:ind w:firstLine="0" w:firstLineChars="0"/>
              <w:jc w:val="center"/>
              <w:rPr>
                <w:szCs w:val="21"/>
              </w:rPr>
            </w:pPr>
            <w:r>
              <w:rPr>
                <w:rFonts w:hint="eastAsia"/>
                <w:szCs w:val="21"/>
              </w:rPr>
              <w:t>品目分类</w:t>
            </w:r>
          </w:p>
        </w:tc>
        <w:tc>
          <w:tcPr>
            <w:tcW w:w="1901" w:type="dxa"/>
            <w:noWrap/>
            <w:vAlign w:val="center"/>
          </w:tcPr>
          <w:p w14:paraId="13D9D65C">
            <w:pPr>
              <w:adjustRightInd w:val="0"/>
              <w:snapToGrid w:val="0"/>
              <w:ind w:firstLine="0" w:firstLineChars="0"/>
              <w:jc w:val="center"/>
              <w:rPr>
                <w:szCs w:val="21"/>
              </w:rPr>
            </w:pPr>
            <w:r>
              <w:rPr>
                <w:rFonts w:hint="eastAsia"/>
                <w:szCs w:val="21"/>
              </w:rPr>
              <w:t>计量单位</w:t>
            </w:r>
          </w:p>
        </w:tc>
        <w:tc>
          <w:tcPr>
            <w:tcW w:w="2661" w:type="dxa"/>
            <w:noWrap/>
            <w:vAlign w:val="center"/>
          </w:tcPr>
          <w:p w14:paraId="794272CA">
            <w:pPr>
              <w:adjustRightInd w:val="0"/>
              <w:snapToGrid w:val="0"/>
              <w:ind w:firstLine="0" w:firstLineChars="0"/>
              <w:jc w:val="center"/>
              <w:rPr>
                <w:szCs w:val="21"/>
              </w:rPr>
            </w:pPr>
            <w:r>
              <w:rPr>
                <w:rFonts w:hint="eastAsia"/>
                <w:szCs w:val="21"/>
              </w:rPr>
              <w:t>具体要求说明</w:t>
            </w:r>
          </w:p>
        </w:tc>
        <w:tc>
          <w:tcPr>
            <w:tcW w:w="1144" w:type="dxa"/>
            <w:noWrap/>
            <w:vAlign w:val="center"/>
          </w:tcPr>
          <w:p w14:paraId="38DD05FB">
            <w:pPr>
              <w:adjustRightInd w:val="0"/>
              <w:snapToGrid w:val="0"/>
              <w:ind w:firstLine="0" w:firstLineChars="0"/>
              <w:jc w:val="center"/>
              <w:rPr>
                <w:szCs w:val="21"/>
              </w:rPr>
            </w:pPr>
            <w:r>
              <w:rPr>
                <w:rFonts w:hint="eastAsia"/>
                <w:szCs w:val="21"/>
              </w:rPr>
              <w:t>单价</w:t>
            </w:r>
          </w:p>
        </w:tc>
        <w:tc>
          <w:tcPr>
            <w:tcW w:w="1144" w:type="dxa"/>
            <w:noWrap/>
            <w:vAlign w:val="center"/>
          </w:tcPr>
          <w:p w14:paraId="056D452C">
            <w:pPr>
              <w:adjustRightInd w:val="0"/>
              <w:snapToGrid w:val="0"/>
              <w:ind w:firstLine="0" w:firstLineChars="0"/>
              <w:jc w:val="center"/>
              <w:rPr>
                <w:szCs w:val="21"/>
              </w:rPr>
            </w:pPr>
            <w:r>
              <w:rPr>
                <w:rFonts w:hint="eastAsia"/>
                <w:szCs w:val="21"/>
              </w:rPr>
              <w:t>数量</w:t>
            </w:r>
          </w:p>
        </w:tc>
        <w:tc>
          <w:tcPr>
            <w:tcW w:w="1144" w:type="dxa"/>
            <w:noWrap/>
            <w:vAlign w:val="center"/>
          </w:tcPr>
          <w:p w14:paraId="4F39E72A">
            <w:pPr>
              <w:adjustRightInd w:val="0"/>
              <w:snapToGrid w:val="0"/>
              <w:ind w:firstLine="0" w:firstLineChars="0"/>
              <w:jc w:val="center"/>
              <w:rPr>
                <w:szCs w:val="21"/>
              </w:rPr>
            </w:pPr>
            <w:r>
              <w:rPr>
                <w:rFonts w:hint="eastAsia"/>
                <w:szCs w:val="21"/>
              </w:rPr>
              <w:t>小计</w:t>
            </w:r>
          </w:p>
        </w:tc>
        <w:tc>
          <w:tcPr>
            <w:tcW w:w="1523" w:type="dxa"/>
            <w:noWrap/>
            <w:vAlign w:val="center"/>
          </w:tcPr>
          <w:p w14:paraId="14CAF06B">
            <w:pPr>
              <w:adjustRightInd w:val="0"/>
              <w:snapToGrid w:val="0"/>
              <w:ind w:firstLine="0" w:firstLineChars="0"/>
              <w:jc w:val="center"/>
              <w:rPr>
                <w:szCs w:val="21"/>
              </w:rPr>
            </w:pPr>
            <w:r>
              <w:rPr>
                <w:rFonts w:hint="eastAsia"/>
                <w:szCs w:val="21"/>
              </w:rPr>
              <w:t>政策功</w:t>
            </w:r>
          </w:p>
          <w:p w14:paraId="509E3EA7">
            <w:pPr>
              <w:adjustRightInd w:val="0"/>
              <w:snapToGrid w:val="0"/>
              <w:ind w:firstLine="0" w:firstLineChars="0"/>
              <w:jc w:val="center"/>
              <w:rPr>
                <w:szCs w:val="21"/>
              </w:rPr>
            </w:pPr>
            <w:r>
              <w:rPr>
                <w:rFonts w:hint="eastAsia"/>
                <w:szCs w:val="21"/>
              </w:rPr>
              <w:t>能编码</w:t>
            </w:r>
          </w:p>
        </w:tc>
        <w:tc>
          <w:tcPr>
            <w:tcW w:w="1145" w:type="dxa"/>
            <w:noWrap/>
            <w:vAlign w:val="center"/>
          </w:tcPr>
          <w:p w14:paraId="0EA2A155">
            <w:pPr>
              <w:adjustRightInd w:val="0"/>
              <w:snapToGrid w:val="0"/>
              <w:ind w:firstLine="0" w:firstLineChars="0"/>
              <w:jc w:val="center"/>
              <w:rPr>
                <w:szCs w:val="21"/>
              </w:rPr>
            </w:pPr>
            <w:r>
              <w:rPr>
                <w:rFonts w:hint="eastAsia"/>
                <w:szCs w:val="21"/>
              </w:rPr>
              <w:t>备注</w:t>
            </w:r>
          </w:p>
        </w:tc>
      </w:tr>
      <w:tr w14:paraId="4089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4" w:type="dxa"/>
            <w:noWrap/>
            <w:vAlign w:val="center"/>
          </w:tcPr>
          <w:p w14:paraId="4486BF57">
            <w:pPr>
              <w:adjustRightInd w:val="0"/>
              <w:snapToGrid w:val="0"/>
              <w:ind w:firstLine="0" w:firstLineChars="0"/>
              <w:jc w:val="center"/>
              <w:rPr>
                <w:szCs w:val="21"/>
              </w:rPr>
            </w:pPr>
          </w:p>
        </w:tc>
        <w:tc>
          <w:tcPr>
            <w:tcW w:w="1901" w:type="dxa"/>
            <w:noWrap/>
            <w:vAlign w:val="center"/>
          </w:tcPr>
          <w:p w14:paraId="46EE4631">
            <w:pPr>
              <w:adjustRightInd w:val="0"/>
              <w:snapToGrid w:val="0"/>
              <w:ind w:firstLine="0" w:firstLineChars="0"/>
              <w:jc w:val="center"/>
              <w:rPr>
                <w:szCs w:val="21"/>
              </w:rPr>
            </w:pPr>
          </w:p>
        </w:tc>
        <w:tc>
          <w:tcPr>
            <w:tcW w:w="1901" w:type="dxa"/>
            <w:noWrap/>
          </w:tcPr>
          <w:p w14:paraId="4DB4570A">
            <w:pPr>
              <w:adjustRightInd w:val="0"/>
              <w:snapToGrid w:val="0"/>
              <w:ind w:firstLine="0" w:firstLineChars="0"/>
              <w:jc w:val="center"/>
              <w:rPr>
                <w:szCs w:val="21"/>
              </w:rPr>
            </w:pPr>
          </w:p>
        </w:tc>
        <w:tc>
          <w:tcPr>
            <w:tcW w:w="1901" w:type="dxa"/>
            <w:noWrap/>
          </w:tcPr>
          <w:p w14:paraId="7B94C9AE">
            <w:pPr>
              <w:adjustRightInd w:val="0"/>
              <w:snapToGrid w:val="0"/>
              <w:ind w:firstLine="0" w:firstLineChars="0"/>
              <w:jc w:val="center"/>
              <w:rPr>
                <w:szCs w:val="21"/>
              </w:rPr>
            </w:pPr>
          </w:p>
        </w:tc>
        <w:tc>
          <w:tcPr>
            <w:tcW w:w="2661" w:type="dxa"/>
            <w:noWrap/>
          </w:tcPr>
          <w:p w14:paraId="7EB0DC04">
            <w:pPr>
              <w:adjustRightInd w:val="0"/>
              <w:snapToGrid w:val="0"/>
              <w:ind w:firstLine="0" w:firstLineChars="0"/>
              <w:jc w:val="center"/>
              <w:rPr>
                <w:szCs w:val="21"/>
              </w:rPr>
            </w:pPr>
          </w:p>
        </w:tc>
        <w:tc>
          <w:tcPr>
            <w:tcW w:w="1144" w:type="dxa"/>
            <w:noWrap/>
            <w:vAlign w:val="center"/>
          </w:tcPr>
          <w:p w14:paraId="14F07040">
            <w:pPr>
              <w:adjustRightInd w:val="0"/>
              <w:snapToGrid w:val="0"/>
              <w:ind w:firstLine="0" w:firstLineChars="0"/>
              <w:jc w:val="center"/>
              <w:rPr>
                <w:szCs w:val="21"/>
              </w:rPr>
            </w:pPr>
          </w:p>
        </w:tc>
        <w:tc>
          <w:tcPr>
            <w:tcW w:w="1144" w:type="dxa"/>
            <w:noWrap/>
            <w:vAlign w:val="center"/>
          </w:tcPr>
          <w:p w14:paraId="228C4F88">
            <w:pPr>
              <w:adjustRightInd w:val="0"/>
              <w:snapToGrid w:val="0"/>
              <w:ind w:firstLine="0" w:firstLineChars="0"/>
              <w:jc w:val="center"/>
              <w:rPr>
                <w:szCs w:val="21"/>
              </w:rPr>
            </w:pPr>
          </w:p>
        </w:tc>
        <w:tc>
          <w:tcPr>
            <w:tcW w:w="1144" w:type="dxa"/>
            <w:noWrap/>
          </w:tcPr>
          <w:p w14:paraId="4A1F4266">
            <w:pPr>
              <w:adjustRightInd w:val="0"/>
              <w:snapToGrid w:val="0"/>
              <w:ind w:firstLine="0" w:firstLineChars="0"/>
              <w:jc w:val="center"/>
              <w:rPr>
                <w:szCs w:val="21"/>
              </w:rPr>
            </w:pPr>
          </w:p>
        </w:tc>
        <w:tc>
          <w:tcPr>
            <w:tcW w:w="1523" w:type="dxa"/>
            <w:noWrap/>
            <w:vAlign w:val="center"/>
          </w:tcPr>
          <w:p w14:paraId="06948DE0">
            <w:pPr>
              <w:adjustRightInd w:val="0"/>
              <w:snapToGrid w:val="0"/>
              <w:ind w:firstLine="0" w:firstLineChars="0"/>
              <w:jc w:val="center"/>
              <w:rPr>
                <w:szCs w:val="21"/>
              </w:rPr>
            </w:pPr>
          </w:p>
        </w:tc>
        <w:tc>
          <w:tcPr>
            <w:tcW w:w="1145" w:type="dxa"/>
            <w:noWrap/>
            <w:vAlign w:val="center"/>
          </w:tcPr>
          <w:p w14:paraId="4F5C5199">
            <w:pPr>
              <w:adjustRightInd w:val="0"/>
              <w:snapToGrid w:val="0"/>
              <w:ind w:firstLine="0" w:firstLineChars="0"/>
              <w:jc w:val="center"/>
              <w:rPr>
                <w:szCs w:val="21"/>
              </w:rPr>
            </w:pPr>
          </w:p>
        </w:tc>
      </w:tr>
      <w:tr w14:paraId="48AAC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4" w:type="dxa"/>
            <w:noWrap/>
            <w:vAlign w:val="center"/>
          </w:tcPr>
          <w:p w14:paraId="64529C17">
            <w:pPr>
              <w:adjustRightInd w:val="0"/>
              <w:snapToGrid w:val="0"/>
              <w:ind w:firstLine="0" w:firstLineChars="0"/>
              <w:jc w:val="center"/>
              <w:rPr>
                <w:szCs w:val="21"/>
              </w:rPr>
            </w:pPr>
          </w:p>
        </w:tc>
        <w:tc>
          <w:tcPr>
            <w:tcW w:w="1901" w:type="dxa"/>
            <w:noWrap/>
            <w:vAlign w:val="center"/>
          </w:tcPr>
          <w:p w14:paraId="5A46A86F">
            <w:pPr>
              <w:adjustRightInd w:val="0"/>
              <w:snapToGrid w:val="0"/>
              <w:ind w:firstLine="0" w:firstLineChars="0"/>
              <w:jc w:val="center"/>
              <w:rPr>
                <w:szCs w:val="21"/>
              </w:rPr>
            </w:pPr>
          </w:p>
        </w:tc>
        <w:tc>
          <w:tcPr>
            <w:tcW w:w="1901" w:type="dxa"/>
            <w:noWrap/>
          </w:tcPr>
          <w:p w14:paraId="0069B09A">
            <w:pPr>
              <w:adjustRightInd w:val="0"/>
              <w:snapToGrid w:val="0"/>
              <w:ind w:firstLine="0" w:firstLineChars="0"/>
              <w:jc w:val="center"/>
              <w:rPr>
                <w:szCs w:val="21"/>
              </w:rPr>
            </w:pPr>
          </w:p>
        </w:tc>
        <w:tc>
          <w:tcPr>
            <w:tcW w:w="1901" w:type="dxa"/>
            <w:noWrap/>
          </w:tcPr>
          <w:p w14:paraId="30D077E8">
            <w:pPr>
              <w:adjustRightInd w:val="0"/>
              <w:snapToGrid w:val="0"/>
              <w:ind w:firstLine="0" w:firstLineChars="0"/>
              <w:jc w:val="center"/>
              <w:rPr>
                <w:szCs w:val="21"/>
              </w:rPr>
            </w:pPr>
          </w:p>
        </w:tc>
        <w:tc>
          <w:tcPr>
            <w:tcW w:w="2661" w:type="dxa"/>
            <w:noWrap/>
          </w:tcPr>
          <w:p w14:paraId="6F703E76">
            <w:pPr>
              <w:adjustRightInd w:val="0"/>
              <w:snapToGrid w:val="0"/>
              <w:ind w:firstLine="0" w:firstLineChars="0"/>
              <w:jc w:val="center"/>
              <w:rPr>
                <w:szCs w:val="21"/>
              </w:rPr>
            </w:pPr>
          </w:p>
        </w:tc>
        <w:tc>
          <w:tcPr>
            <w:tcW w:w="1144" w:type="dxa"/>
            <w:noWrap/>
            <w:vAlign w:val="center"/>
          </w:tcPr>
          <w:p w14:paraId="4E77D394">
            <w:pPr>
              <w:adjustRightInd w:val="0"/>
              <w:snapToGrid w:val="0"/>
              <w:ind w:firstLine="0" w:firstLineChars="0"/>
              <w:jc w:val="center"/>
              <w:rPr>
                <w:szCs w:val="21"/>
              </w:rPr>
            </w:pPr>
          </w:p>
        </w:tc>
        <w:tc>
          <w:tcPr>
            <w:tcW w:w="1144" w:type="dxa"/>
            <w:noWrap/>
            <w:vAlign w:val="center"/>
          </w:tcPr>
          <w:p w14:paraId="738FE358">
            <w:pPr>
              <w:adjustRightInd w:val="0"/>
              <w:snapToGrid w:val="0"/>
              <w:ind w:firstLine="0" w:firstLineChars="0"/>
              <w:jc w:val="center"/>
              <w:rPr>
                <w:szCs w:val="21"/>
              </w:rPr>
            </w:pPr>
          </w:p>
        </w:tc>
        <w:tc>
          <w:tcPr>
            <w:tcW w:w="1144" w:type="dxa"/>
            <w:noWrap/>
          </w:tcPr>
          <w:p w14:paraId="66A280A0">
            <w:pPr>
              <w:adjustRightInd w:val="0"/>
              <w:snapToGrid w:val="0"/>
              <w:ind w:firstLine="0" w:firstLineChars="0"/>
              <w:jc w:val="center"/>
              <w:rPr>
                <w:szCs w:val="21"/>
              </w:rPr>
            </w:pPr>
          </w:p>
        </w:tc>
        <w:tc>
          <w:tcPr>
            <w:tcW w:w="1523" w:type="dxa"/>
            <w:noWrap/>
            <w:vAlign w:val="center"/>
          </w:tcPr>
          <w:p w14:paraId="2D153860">
            <w:pPr>
              <w:adjustRightInd w:val="0"/>
              <w:snapToGrid w:val="0"/>
              <w:ind w:firstLine="0" w:firstLineChars="0"/>
              <w:jc w:val="center"/>
              <w:rPr>
                <w:szCs w:val="21"/>
              </w:rPr>
            </w:pPr>
          </w:p>
        </w:tc>
        <w:tc>
          <w:tcPr>
            <w:tcW w:w="1145" w:type="dxa"/>
            <w:noWrap/>
            <w:vAlign w:val="center"/>
          </w:tcPr>
          <w:p w14:paraId="2DA4096B">
            <w:pPr>
              <w:adjustRightInd w:val="0"/>
              <w:snapToGrid w:val="0"/>
              <w:ind w:firstLine="0" w:firstLineChars="0"/>
              <w:jc w:val="center"/>
              <w:rPr>
                <w:szCs w:val="21"/>
              </w:rPr>
            </w:pPr>
          </w:p>
        </w:tc>
      </w:tr>
      <w:tr w14:paraId="2C20B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4" w:type="dxa"/>
            <w:noWrap/>
            <w:vAlign w:val="center"/>
          </w:tcPr>
          <w:p w14:paraId="2782CF90">
            <w:pPr>
              <w:adjustRightInd w:val="0"/>
              <w:snapToGrid w:val="0"/>
              <w:ind w:firstLine="0" w:firstLineChars="0"/>
              <w:jc w:val="center"/>
              <w:rPr>
                <w:szCs w:val="21"/>
              </w:rPr>
            </w:pPr>
          </w:p>
        </w:tc>
        <w:tc>
          <w:tcPr>
            <w:tcW w:w="1901" w:type="dxa"/>
            <w:noWrap/>
            <w:vAlign w:val="center"/>
          </w:tcPr>
          <w:p w14:paraId="6E67154F">
            <w:pPr>
              <w:adjustRightInd w:val="0"/>
              <w:snapToGrid w:val="0"/>
              <w:ind w:firstLine="0" w:firstLineChars="0"/>
              <w:jc w:val="center"/>
              <w:rPr>
                <w:szCs w:val="21"/>
              </w:rPr>
            </w:pPr>
          </w:p>
        </w:tc>
        <w:tc>
          <w:tcPr>
            <w:tcW w:w="1901" w:type="dxa"/>
            <w:noWrap/>
          </w:tcPr>
          <w:p w14:paraId="6E9AFFFA">
            <w:pPr>
              <w:adjustRightInd w:val="0"/>
              <w:snapToGrid w:val="0"/>
              <w:ind w:firstLine="0" w:firstLineChars="0"/>
              <w:jc w:val="center"/>
              <w:rPr>
                <w:szCs w:val="21"/>
              </w:rPr>
            </w:pPr>
          </w:p>
        </w:tc>
        <w:tc>
          <w:tcPr>
            <w:tcW w:w="1901" w:type="dxa"/>
            <w:noWrap/>
          </w:tcPr>
          <w:p w14:paraId="67A014F8">
            <w:pPr>
              <w:adjustRightInd w:val="0"/>
              <w:snapToGrid w:val="0"/>
              <w:ind w:firstLine="0" w:firstLineChars="0"/>
              <w:jc w:val="center"/>
              <w:rPr>
                <w:szCs w:val="21"/>
              </w:rPr>
            </w:pPr>
          </w:p>
        </w:tc>
        <w:tc>
          <w:tcPr>
            <w:tcW w:w="2661" w:type="dxa"/>
            <w:noWrap/>
          </w:tcPr>
          <w:p w14:paraId="72FE106D">
            <w:pPr>
              <w:adjustRightInd w:val="0"/>
              <w:snapToGrid w:val="0"/>
              <w:ind w:firstLine="0" w:firstLineChars="0"/>
              <w:jc w:val="center"/>
              <w:rPr>
                <w:szCs w:val="21"/>
              </w:rPr>
            </w:pPr>
          </w:p>
        </w:tc>
        <w:tc>
          <w:tcPr>
            <w:tcW w:w="1144" w:type="dxa"/>
            <w:noWrap/>
            <w:vAlign w:val="center"/>
          </w:tcPr>
          <w:p w14:paraId="3ABDE3B7">
            <w:pPr>
              <w:adjustRightInd w:val="0"/>
              <w:snapToGrid w:val="0"/>
              <w:ind w:firstLine="0" w:firstLineChars="0"/>
              <w:jc w:val="center"/>
              <w:rPr>
                <w:szCs w:val="21"/>
              </w:rPr>
            </w:pPr>
          </w:p>
        </w:tc>
        <w:tc>
          <w:tcPr>
            <w:tcW w:w="1144" w:type="dxa"/>
            <w:noWrap/>
            <w:vAlign w:val="center"/>
          </w:tcPr>
          <w:p w14:paraId="06236EDF">
            <w:pPr>
              <w:adjustRightInd w:val="0"/>
              <w:snapToGrid w:val="0"/>
              <w:ind w:firstLine="0" w:firstLineChars="0"/>
              <w:jc w:val="center"/>
              <w:rPr>
                <w:szCs w:val="21"/>
              </w:rPr>
            </w:pPr>
          </w:p>
        </w:tc>
        <w:tc>
          <w:tcPr>
            <w:tcW w:w="1144" w:type="dxa"/>
            <w:noWrap/>
          </w:tcPr>
          <w:p w14:paraId="57B11CBA">
            <w:pPr>
              <w:adjustRightInd w:val="0"/>
              <w:snapToGrid w:val="0"/>
              <w:ind w:firstLine="0" w:firstLineChars="0"/>
              <w:jc w:val="center"/>
              <w:rPr>
                <w:szCs w:val="21"/>
              </w:rPr>
            </w:pPr>
          </w:p>
        </w:tc>
        <w:tc>
          <w:tcPr>
            <w:tcW w:w="1523" w:type="dxa"/>
            <w:noWrap/>
            <w:vAlign w:val="center"/>
          </w:tcPr>
          <w:p w14:paraId="48E0FDA7">
            <w:pPr>
              <w:adjustRightInd w:val="0"/>
              <w:snapToGrid w:val="0"/>
              <w:ind w:firstLine="0" w:firstLineChars="0"/>
              <w:jc w:val="center"/>
              <w:rPr>
                <w:szCs w:val="21"/>
              </w:rPr>
            </w:pPr>
          </w:p>
        </w:tc>
        <w:tc>
          <w:tcPr>
            <w:tcW w:w="1145" w:type="dxa"/>
            <w:noWrap/>
            <w:vAlign w:val="center"/>
          </w:tcPr>
          <w:p w14:paraId="2EC7FFDD">
            <w:pPr>
              <w:adjustRightInd w:val="0"/>
              <w:snapToGrid w:val="0"/>
              <w:ind w:firstLine="0" w:firstLineChars="0"/>
              <w:jc w:val="center"/>
              <w:rPr>
                <w:szCs w:val="21"/>
              </w:rPr>
            </w:pPr>
          </w:p>
        </w:tc>
      </w:tr>
      <w:tr w14:paraId="1EADDF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4" w:type="dxa"/>
            <w:noWrap/>
            <w:vAlign w:val="center"/>
          </w:tcPr>
          <w:p w14:paraId="4A7860CA">
            <w:pPr>
              <w:adjustRightInd w:val="0"/>
              <w:snapToGrid w:val="0"/>
              <w:ind w:firstLine="0" w:firstLineChars="0"/>
              <w:jc w:val="center"/>
              <w:rPr>
                <w:szCs w:val="21"/>
              </w:rPr>
            </w:pPr>
          </w:p>
        </w:tc>
        <w:tc>
          <w:tcPr>
            <w:tcW w:w="1901" w:type="dxa"/>
            <w:noWrap/>
            <w:vAlign w:val="center"/>
          </w:tcPr>
          <w:p w14:paraId="5E9BE3A1">
            <w:pPr>
              <w:adjustRightInd w:val="0"/>
              <w:snapToGrid w:val="0"/>
              <w:ind w:firstLine="0" w:firstLineChars="0"/>
              <w:jc w:val="center"/>
              <w:rPr>
                <w:szCs w:val="21"/>
              </w:rPr>
            </w:pPr>
            <w:r>
              <w:rPr>
                <w:rFonts w:hint="eastAsia"/>
                <w:szCs w:val="21"/>
              </w:rPr>
              <w:t>合计</w:t>
            </w:r>
          </w:p>
        </w:tc>
        <w:tc>
          <w:tcPr>
            <w:tcW w:w="1901" w:type="dxa"/>
            <w:noWrap/>
          </w:tcPr>
          <w:p w14:paraId="5258D2E0">
            <w:pPr>
              <w:adjustRightInd w:val="0"/>
              <w:snapToGrid w:val="0"/>
              <w:ind w:firstLine="0" w:firstLineChars="0"/>
              <w:jc w:val="center"/>
              <w:rPr>
                <w:szCs w:val="21"/>
              </w:rPr>
            </w:pPr>
          </w:p>
        </w:tc>
        <w:tc>
          <w:tcPr>
            <w:tcW w:w="1901" w:type="dxa"/>
            <w:noWrap/>
          </w:tcPr>
          <w:p w14:paraId="5AD6738D">
            <w:pPr>
              <w:adjustRightInd w:val="0"/>
              <w:snapToGrid w:val="0"/>
              <w:ind w:firstLine="0" w:firstLineChars="0"/>
              <w:jc w:val="center"/>
              <w:rPr>
                <w:szCs w:val="21"/>
              </w:rPr>
            </w:pPr>
          </w:p>
        </w:tc>
        <w:tc>
          <w:tcPr>
            <w:tcW w:w="2661" w:type="dxa"/>
            <w:noWrap/>
          </w:tcPr>
          <w:p w14:paraId="05986515">
            <w:pPr>
              <w:adjustRightInd w:val="0"/>
              <w:snapToGrid w:val="0"/>
              <w:ind w:firstLine="0" w:firstLineChars="0"/>
              <w:jc w:val="center"/>
              <w:rPr>
                <w:szCs w:val="21"/>
              </w:rPr>
            </w:pPr>
          </w:p>
        </w:tc>
        <w:tc>
          <w:tcPr>
            <w:tcW w:w="1144" w:type="dxa"/>
            <w:noWrap/>
            <w:vAlign w:val="center"/>
          </w:tcPr>
          <w:p w14:paraId="7BBCE3B8">
            <w:pPr>
              <w:adjustRightInd w:val="0"/>
              <w:snapToGrid w:val="0"/>
              <w:ind w:firstLine="0" w:firstLineChars="0"/>
              <w:jc w:val="center"/>
              <w:rPr>
                <w:szCs w:val="21"/>
              </w:rPr>
            </w:pPr>
          </w:p>
        </w:tc>
        <w:tc>
          <w:tcPr>
            <w:tcW w:w="1144" w:type="dxa"/>
            <w:noWrap/>
            <w:vAlign w:val="center"/>
          </w:tcPr>
          <w:p w14:paraId="596B676B">
            <w:pPr>
              <w:adjustRightInd w:val="0"/>
              <w:snapToGrid w:val="0"/>
              <w:ind w:firstLine="0" w:firstLineChars="0"/>
              <w:jc w:val="center"/>
              <w:rPr>
                <w:szCs w:val="21"/>
              </w:rPr>
            </w:pPr>
          </w:p>
        </w:tc>
        <w:tc>
          <w:tcPr>
            <w:tcW w:w="1144" w:type="dxa"/>
            <w:noWrap/>
          </w:tcPr>
          <w:p w14:paraId="139994AF">
            <w:pPr>
              <w:adjustRightInd w:val="0"/>
              <w:snapToGrid w:val="0"/>
              <w:ind w:firstLine="0" w:firstLineChars="0"/>
              <w:jc w:val="center"/>
              <w:rPr>
                <w:szCs w:val="21"/>
              </w:rPr>
            </w:pPr>
          </w:p>
        </w:tc>
        <w:tc>
          <w:tcPr>
            <w:tcW w:w="1523" w:type="dxa"/>
            <w:noWrap/>
            <w:vAlign w:val="center"/>
          </w:tcPr>
          <w:p w14:paraId="75301EB0">
            <w:pPr>
              <w:adjustRightInd w:val="0"/>
              <w:snapToGrid w:val="0"/>
              <w:ind w:firstLine="0" w:firstLineChars="0"/>
              <w:jc w:val="center"/>
              <w:rPr>
                <w:szCs w:val="21"/>
              </w:rPr>
            </w:pPr>
          </w:p>
        </w:tc>
        <w:tc>
          <w:tcPr>
            <w:tcW w:w="1145" w:type="dxa"/>
            <w:noWrap/>
            <w:vAlign w:val="center"/>
          </w:tcPr>
          <w:p w14:paraId="199DB8C3">
            <w:pPr>
              <w:adjustRightInd w:val="0"/>
              <w:snapToGrid w:val="0"/>
              <w:ind w:firstLine="0" w:firstLineChars="0"/>
              <w:jc w:val="center"/>
              <w:rPr>
                <w:szCs w:val="21"/>
              </w:rPr>
            </w:pPr>
          </w:p>
        </w:tc>
      </w:tr>
    </w:tbl>
    <w:p w14:paraId="7AFCDB5C">
      <w:pPr>
        <w:spacing w:line="360" w:lineRule="exact"/>
        <w:ind w:firstLine="211" w:firstLineChars="100"/>
        <w:rPr>
          <w:rFonts w:ascii="楷体_GB2312" w:eastAsia="楷体_GB2312"/>
          <w:b/>
        </w:rPr>
      </w:pPr>
    </w:p>
    <w:p w14:paraId="5B5F12D5">
      <w:pPr>
        <w:adjustRightInd w:val="0"/>
        <w:snapToGrid w:val="0"/>
        <w:rPr>
          <w:szCs w:val="21"/>
          <w:u w:val="single"/>
        </w:rPr>
      </w:pPr>
      <w:r>
        <w:rPr>
          <w:rFonts w:hint="eastAsia"/>
          <w:szCs w:val="21"/>
        </w:rPr>
        <w:t>报价金额合计：小写：大写：</w:t>
      </w:r>
    </w:p>
    <w:p w14:paraId="68C69BF2">
      <w:pPr>
        <w:adjustRightInd w:val="0"/>
        <w:snapToGrid w:val="0"/>
        <w:ind w:left="-88" w:leftChars="-42"/>
        <w:rPr>
          <w:rFonts w:ascii="仿宋_GB2312" w:eastAsia="仿宋_GB2312"/>
          <w:szCs w:val="21"/>
        </w:rPr>
      </w:pPr>
      <w:r>
        <w:rPr>
          <w:rFonts w:hint="eastAsia" w:ascii="仿宋_GB2312" w:eastAsia="仿宋_GB2312"/>
          <w:szCs w:val="21"/>
        </w:rPr>
        <w:t>说明：</w:t>
      </w:r>
    </w:p>
    <w:p w14:paraId="34CC942D">
      <w:pPr>
        <w:adjustRightInd w:val="0"/>
        <w:snapToGrid w:val="0"/>
        <w:ind w:left="-88" w:leftChars="-42" w:firstLine="315" w:firstLineChars="150"/>
        <w:rPr>
          <w:rFonts w:ascii="仿宋_GB2312" w:eastAsia="仿宋_GB2312"/>
          <w:szCs w:val="21"/>
        </w:rPr>
      </w:pPr>
      <w:r>
        <w:rPr>
          <w:rFonts w:hint="eastAsia" w:ascii="仿宋_GB2312" w:eastAsia="仿宋_GB2312"/>
          <w:szCs w:val="21"/>
        </w:rPr>
        <w:t>1、本表包含磋商文件第四章《采购需求》或其他部分对该项目所有要求的详细报价。“合计”及“报价金额合计”应与附件9-1《报价一览表》“报价”一致；栏目“单价”为综合单价，应包含所有隐含的管理费、税金和利润等其他费用，并在“具体要求说明”中注明分类项取费标准和其他费用的计费率和金额。</w:t>
      </w:r>
    </w:p>
    <w:p w14:paraId="35E562F1">
      <w:pPr>
        <w:adjustRightInd w:val="0"/>
        <w:snapToGrid w:val="0"/>
        <w:ind w:left="-88" w:leftChars="-42" w:firstLine="315" w:firstLineChars="150"/>
        <w:rPr>
          <w:rFonts w:ascii="仿宋_GB2312" w:eastAsia="仿宋_GB2312"/>
          <w:szCs w:val="21"/>
        </w:rPr>
      </w:pPr>
      <w:r>
        <w:rPr>
          <w:rFonts w:hint="eastAsia" w:ascii="仿宋_GB2312" w:eastAsia="仿宋_GB2312"/>
          <w:szCs w:val="21"/>
        </w:rPr>
        <w:t>2、“服务名称”是指整包分项服务的内容，品目分类是指分项服务费用构成的明细分类项。</w:t>
      </w:r>
    </w:p>
    <w:p w14:paraId="258FF1C7">
      <w:pPr>
        <w:rPr>
          <w:rFonts w:ascii="仿宋" w:hAnsi="仿宋" w:eastAsia="仿宋_GB2312" w:cs="仿宋"/>
          <w:b/>
          <w:szCs w:val="21"/>
        </w:rPr>
      </w:pPr>
      <w:r>
        <w:rPr>
          <w:rFonts w:hint="eastAsia" w:ascii="仿宋_GB2312" w:eastAsia="仿宋_GB2312"/>
          <w:szCs w:val="21"/>
        </w:rPr>
        <w:t>3、服务类含有货物的，供应商应</w:t>
      </w:r>
      <w:r>
        <w:rPr>
          <w:rFonts w:hint="eastAsia" w:ascii="仿宋_GB2312" w:eastAsia="仿宋_GB2312"/>
          <w:kern w:val="0"/>
          <w:szCs w:val="21"/>
        </w:rPr>
        <w:t>填写提供的</w:t>
      </w:r>
      <w:r>
        <w:rPr>
          <w:rFonts w:hint="eastAsia" w:ascii="仿宋_GB2312" w:eastAsia="仿宋_GB2312"/>
          <w:szCs w:val="21"/>
        </w:rPr>
        <w:t>产品的中国环境标志认证证书编号、节能标志认证证书编号。</w:t>
      </w:r>
    </w:p>
    <w:p w14:paraId="783C09CA">
      <w:pPr>
        <w:pStyle w:val="25"/>
        <w:sectPr>
          <w:pgSz w:w="16838" w:h="11906" w:orient="landscape"/>
          <w:pgMar w:top="720" w:right="720" w:bottom="720" w:left="720" w:header="851" w:footer="992" w:gutter="0"/>
          <w:cols w:space="720" w:num="1"/>
          <w:docGrid w:type="lines" w:linePitch="312" w:charSpace="0"/>
        </w:sectPr>
      </w:pPr>
    </w:p>
    <w:p w14:paraId="6547689B">
      <w:pPr>
        <w:ind w:firstLine="562"/>
        <w:rPr>
          <w:rFonts w:ascii="Times New Roman" w:hAnsi="Times New Roman" w:eastAsia="黑体" w:cs="Times New Roman"/>
          <w:b/>
          <w:sz w:val="28"/>
          <w:szCs w:val="28"/>
        </w:rPr>
      </w:pPr>
    </w:p>
    <w:p w14:paraId="00AF71AB">
      <w:pPr>
        <w:spacing w:line="360" w:lineRule="exact"/>
        <w:ind w:firstLine="0" w:firstLineChars="0"/>
        <w:jc w:val="center"/>
        <w:outlineLvl w:val="1"/>
        <w:rPr>
          <w:rFonts w:ascii="Times New Roman" w:hAnsi="Times New Roman" w:eastAsia="黑体" w:cs="Times New Roman"/>
          <w:b/>
          <w:sz w:val="28"/>
          <w:szCs w:val="28"/>
        </w:rPr>
      </w:pPr>
      <w:bookmarkStart w:id="360" w:name="_Toc5045"/>
      <w:r>
        <w:rPr>
          <w:rFonts w:ascii="Times New Roman" w:hAnsi="Times New Roman" w:eastAsia="黑体" w:cs="Times New Roman"/>
          <w:b/>
          <w:sz w:val="28"/>
          <w:szCs w:val="28"/>
        </w:rPr>
        <w:t>八、供应商认为需要提供的其它资料</w:t>
      </w:r>
      <w:bookmarkEnd w:id="357"/>
      <w:bookmarkEnd w:id="358"/>
      <w:bookmarkEnd w:id="359"/>
      <w:bookmarkEnd w:id="360"/>
    </w:p>
    <w:p w14:paraId="230FC492">
      <w:pPr>
        <w:adjustRightInd w:val="0"/>
        <w:snapToGrid w:val="0"/>
        <w:spacing w:before="156" w:beforeLines="50"/>
        <w:rPr>
          <w:rFonts w:ascii="Times New Roman" w:hAnsi="Times New Roman" w:cs="Times New Roman"/>
        </w:rPr>
      </w:pPr>
    </w:p>
    <w:p w14:paraId="582AA512">
      <w:pPr>
        <w:adjustRightInd w:val="0"/>
        <w:snapToGrid w:val="0"/>
        <w:ind w:firstLine="0" w:firstLineChars="0"/>
        <w:jc w:val="center"/>
        <w:outlineLvl w:val="1"/>
        <w:rPr>
          <w:rFonts w:ascii="Times New Roman" w:hAnsi="Times New Roman" w:eastAsia="黑体" w:cs="Times New Roman"/>
          <w:b/>
          <w:sz w:val="28"/>
          <w:szCs w:val="28"/>
        </w:rPr>
      </w:pPr>
      <w:r>
        <w:rPr>
          <w:rFonts w:ascii="Times New Roman" w:hAnsi="Times New Roman" w:eastAsia="黑体" w:cs="Times New Roman"/>
          <w:sz w:val="28"/>
          <w:szCs w:val="28"/>
        </w:rPr>
        <w:br w:type="page"/>
      </w:r>
      <w:bookmarkStart w:id="361" w:name="_Toc7768"/>
      <w:bookmarkStart w:id="362" w:name="_Toc29144"/>
      <w:bookmarkStart w:id="363" w:name="_Toc15658"/>
      <w:bookmarkStart w:id="364" w:name="_Toc28039"/>
      <w:r>
        <w:rPr>
          <w:rFonts w:ascii="Times New Roman" w:hAnsi="Times New Roman" w:eastAsia="黑体" w:cs="Times New Roman"/>
          <w:b/>
          <w:spacing w:val="6"/>
          <w:kern w:val="0"/>
          <w:sz w:val="28"/>
          <w:szCs w:val="28"/>
        </w:rPr>
        <w:t>九、最后报价</w:t>
      </w:r>
      <w:bookmarkEnd w:id="361"/>
      <w:bookmarkEnd w:id="362"/>
      <w:bookmarkEnd w:id="363"/>
      <w:bookmarkEnd w:id="364"/>
    </w:p>
    <w:p w14:paraId="28980C55">
      <w:pPr>
        <w:adjustRightInd w:val="0"/>
        <w:snapToGrid w:val="0"/>
        <w:rPr>
          <w:szCs w:val="21"/>
        </w:rPr>
      </w:pPr>
      <w:r>
        <w:rPr>
          <w:rFonts w:hint="eastAsia"/>
          <w:szCs w:val="21"/>
        </w:rPr>
        <w:t>说明：</w:t>
      </w:r>
    </w:p>
    <w:p w14:paraId="4D8405E6">
      <w:pPr>
        <w:adjustRightInd w:val="0"/>
        <w:snapToGrid w:val="0"/>
        <w:rPr>
          <w:szCs w:val="21"/>
        </w:rPr>
      </w:pPr>
      <w:r>
        <w:rPr>
          <w:rFonts w:hint="eastAsia"/>
          <w:szCs w:val="21"/>
        </w:rPr>
        <w:t>1、最后报价按第二章磋商须知第30条规定提供，格式按附件5-1提供。</w:t>
      </w:r>
    </w:p>
    <w:p w14:paraId="16D9892E">
      <w:pPr>
        <w:adjustRightInd w:val="0"/>
        <w:snapToGrid w:val="0"/>
        <w:ind w:left="-88" w:leftChars="-42" w:firstLine="525" w:firstLineChars="250"/>
        <w:rPr>
          <w:szCs w:val="21"/>
        </w:rPr>
      </w:pPr>
      <w:r>
        <w:rPr>
          <w:rFonts w:hint="eastAsia"/>
          <w:szCs w:val="21"/>
        </w:rPr>
        <w:t>2、响应文件中“优先采购产品清单”中享受政策功能价格优惠的价格按最后报价对比第一轮报价的下浮比例进行下浮计算。</w:t>
      </w:r>
    </w:p>
    <w:p w14:paraId="3743E33A">
      <w:pPr>
        <w:pStyle w:val="43"/>
        <w:ind w:firstLine="420" w:firstLineChars="200"/>
        <w:rPr>
          <w:szCs w:val="21"/>
        </w:rPr>
      </w:pPr>
      <w:r>
        <w:rPr>
          <w:rFonts w:hint="eastAsia"/>
          <w:szCs w:val="21"/>
        </w:rPr>
        <w:t>3、若供应商未在磋商小组规定的时间内提供最后报价，且未提出放弃或撤回磋商响应，磋商小组将以第一次报价为准进行评审。</w:t>
      </w:r>
    </w:p>
    <w:p w14:paraId="63E0BF71">
      <w:r>
        <w:rPr>
          <w:rFonts w:hint="eastAsia"/>
          <w:szCs w:val="21"/>
        </w:rPr>
        <w:t>4、最后报价再磋商现场经磋商后提交，最后报价相关内容和表格不装订在响应文件中，供应商可提前准备，磋商现场进行报价提交。</w:t>
      </w:r>
    </w:p>
    <w:p w14:paraId="0F339E25">
      <w:pPr>
        <w:adjustRightInd w:val="0"/>
        <w:snapToGrid w:val="0"/>
        <w:ind w:left="-88" w:leftChars="-42" w:firstLine="527" w:firstLineChars="250"/>
        <w:rPr>
          <w:b/>
          <w:bCs/>
          <w:kern w:val="0"/>
          <w:szCs w:val="21"/>
        </w:rPr>
      </w:pPr>
    </w:p>
    <w:p w14:paraId="1D9BA2B7">
      <w:pPr>
        <w:pStyle w:val="43"/>
        <w:ind w:firstLine="210"/>
      </w:pPr>
    </w:p>
    <w:p w14:paraId="162AA1F9">
      <w:pPr>
        <w:adjustRightInd w:val="0"/>
        <w:snapToGrid w:val="0"/>
        <w:ind w:firstLine="0" w:firstLineChars="0"/>
        <w:rPr>
          <w:szCs w:val="21"/>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6592BD4-5194-48CF-98CF-C44BE03002E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74DE1DC-70AC-42A6-BEA9-20A3CDF0011D}"/>
  </w:font>
  <w:font w:name="Courier New">
    <w:panose1 w:val="02070309020205020404"/>
    <w:charset w:val="01"/>
    <w:family w:val="modern"/>
    <w:pitch w:val="default"/>
    <w:sig w:usb0="E0002EFF" w:usb1="C0007843" w:usb2="00000009" w:usb3="00000000" w:csb0="400001FF" w:csb1="FFFF0000"/>
    <w:embedRegular r:id="rId3" w:fontKey="{15D8CEB1-5588-4FB4-8A72-6DACCC0E385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0D50B09-6EDD-47B4-9F58-4ABE072FD914}"/>
  </w:font>
  <w:font w:name="仿宋_GB2312">
    <w:panose1 w:val="02010609030101010101"/>
    <w:charset w:val="86"/>
    <w:family w:val="modern"/>
    <w:pitch w:val="default"/>
    <w:sig w:usb0="00000001" w:usb1="080E0000" w:usb2="00000000" w:usb3="00000000" w:csb0="00040000" w:csb1="00000000"/>
    <w:embedRegular r:id="rId5" w:fontKey="{959CBDE9-EAB1-4D79-8E1E-0C33623CFADA}"/>
  </w:font>
  <w:font w:name="楷体_GB2312">
    <w:altName w:val="Arial Unicode MS"/>
    <w:panose1 w:val="02010609030101010101"/>
    <w:charset w:val="86"/>
    <w:family w:val="modern"/>
    <w:pitch w:val="default"/>
    <w:sig w:usb0="00000001" w:usb1="080E0000" w:usb2="00000000" w:usb3="00000000" w:csb0="00040000" w:csb1="00000000"/>
    <w:embedRegular r:id="rId6" w:fontKey="{CB8EBCC3-F979-4FC0-B9A6-20B124D7E06E}"/>
  </w:font>
  <w:font w:name="华文中宋">
    <w:panose1 w:val="02010600040101010101"/>
    <w:charset w:val="86"/>
    <w:family w:val="auto"/>
    <w:pitch w:val="default"/>
    <w:sig w:usb0="00000287" w:usb1="080F0000" w:usb2="00000000" w:usb3="00000000" w:csb0="0004009F" w:csb1="DFD70000"/>
    <w:embedRegular r:id="rId7" w:fontKey="{2DBF7FAB-98D9-41A1-8512-450080D271E3}"/>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embedRegular r:id="rId8" w:fontKey="{AEE92492-DD32-482E-8C82-BEA8E34E9CF1}"/>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9" w:fontKey="{BA491416-4A9B-4DBE-B473-EFDF8CE11597}"/>
  </w:font>
  <w:font w:name="Wingdings 2">
    <w:panose1 w:val="05020102010507070707"/>
    <w:charset w:val="02"/>
    <w:family w:val="roman"/>
    <w:pitch w:val="default"/>
    <w:sig w:usb0="00000000" w:usb1="00000000" w:usb2="00000000" w:usb3="00000000" w:csb0="80000000" w:csb1="00000000"/>
    <w:embedRegular r:id="rId10" w:fontKey="{387980E4-E4DE-413B-A52C-898EF1CF8AAD}"/>
  </w:font>
  <w:font w:name="仿宋">
    <w:panose1 w:val="02010609060101010101"/>
    <w:charset w:val="86"/>
    <w:family w:val="modern"/>
    <w:pitch w:val="default"/>
    <w:sig w:usb0="800002BF" w:usb1="38CF7CFA" w:usb2="00000016" w:usb3="00000000" w:csb0="00040001" w:csb1="00000000"/>
    <w:embedRegular r:id="rId11" w:fontKey="{BCCEE62D-9AEF-4A06-91DD-CFCE353DAA23}"/>
  </w:font>
  <w:font w:name="方正小标宋简体">
    <w:altName w:val="黑体"/>
    <w:panose1 w:val="00000000000000000000"/>
    <w:charset w:val="86"/>
    <w:family w:val="script"/>
    <w:pitch w:val="default"/>
    <w:sig w:usb0="00000000" w:usb1="00000000" w:usb2="00000000" w:usb3="00000000" w:csb0="00040000" w:csb1="00000000"/>
    <w:embedRegular r:id="rId12" w:fontKey="{C8710A7F-296B-4FD4-BE88-F13319FE6819}"/>
  </w:font>
  <w:font w:name="WPSEMBED6">
    <w:panose1 w:val="02010609030101010101"/>
    <w:charset w:val="86"/>
    <w:family w:val="auto"/>
    <w:pitch w:val="default"/>
    <w:sig w:usb0="00000001" w:usb1="080E0000" w:usb2="00000000" w:usb3="00000000" w:csb0="00040000" w:csb1="00000000"/>
  </w:font>
  <w:font w:name="WPSEMBED8">
    <w:panose1 w:val="02010600040101010101"/>
    <w:charset w:val="86"/>
    <w:family w:val="auto"/>
    <w:pitch w:val="default"/>
    <w:sig w:usb0="00000287" w:usb1="080F0000" w:usb2="00000000" w:usb3="00000000" w:csb0="0004009F" w:csb1="DFD70000"/>
  </w:font>
  <w:font w:name="WPSEMBED10">
    <w:panose1 w:val="05020102010507070707"/>
    <w:charset w:val="00"/>
    <w:family w:val="auto"/>
    <w:pitch w:val="default"/>
    <w:sig w:usb0="00000000" w:usb1="00000000" w:usb2="00000000" w:usb3="00000000" w:csb0="80000000" w:csb1="00000000"/>
  </w:font>
  <w:font w:name="WPSEMBED7">
    <w:panose1 w:val="02010609030101010101"/>
    <w:charset w:val="86"/>
    <w:family w:val="auto"/>
    <w:pitch w:val="default"/>
    <w:sig w:usb0="00000001" w:usb1="080E0000" w:usb2="00000000" w:usb3="00000000" w:csb0="00040000" w:csb1="00000000"/>
  </w:font>
  <w:font w:name="WPSEMBED9">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1A1D">
    <w:pPr>
      <w:pStyle w:val="2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BC8E">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C436">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5136">
    <w:pPr>
      <w:pStyle w:val="2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222250"/>
              <wp:effectExtent l="0" t="0" r="12065" b="0"/>
              <wp:wrapNone/>
              <wp:docPr id="5" name="文本框 5"/>
              <wp:cNvGraphicFramePr/>
              <a:graphic xmlns:a="http://schemas.openxmlformats.org/drawingml/2006/main">
                <a:graphicData uri="http://schemas.microsoft.com/office/word/2010/wordprocessingShape">
                  <wps:wsp>
                    <wps:cNvSpPr txBox="1"/>
                    <wps:spPr>
                      <a:xfrm>
                        <a:off x="0" y="0"/>
                        <a:ext cx="343535" cy="222250"/>
                      </a:xfrm>
                      <a:prstGeom prst="rect">
                        <a:avLst/>
                      </a:prstGeom>
                      <a:noFill/>
                      <a:ln w="6350">
                        <a:noFill/>
                      </a:ln>
                    </wps:spPr>
                    <wps:txbx>
                      <w:txbxContent>
                        <w:p w14:paraId="2DE4F1D3">
                          <w:pPr>
                            <w:pStyle w:val="27"/>
                            <w:ind w:firstLine="36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5pt;width:27.05pt;mso-position-horizontal:center;mso-position-horizontal-relative:margin;mso-wrap-style:none;z-index:251659264;mso-width-relative:page;mso-height-relative:page;" filled="f" stroked="f" coordsize="21600,21600" o:gfxdata="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J6GdfTAAAAAwEAAA8AAAAAAAAAAQAgAAAAIgAAAGRycy9kb3ducmV2LnhtbFBLAQIUABQA&#10;AAAIAIdO4kD4tQ9+LgIAAFMEAAAOAAAAAAAAAAEAIAAAACIBAABkcnMvZTJvRG9jLnhtbFBLBQYA&#10;AAAABgAGAFkBAADCBQAAAAA=&#10;">
              <v:fill on="f" focussize="0,0"/>
              <v:stroke on="f" weight="0.5pt"/>
              <v:imagedata o:title=""/>
              <o:lock v:ext="edit" aspectratio="f"/>
              <v:textbox inset="0mm,0mm,0mm,0mm" style="mso-fit-shape-to-text:t;">
                <w:txbxContent>
                  <w:p w14:paraId="2DE4F1D3">
                    <w:pPr>
                      <w:pStyle w:val="27"/>
                      <w:ind w:firstLine="36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4E8D">
    <w:pPr>
      <w:pStyle w:val="2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222250"/>
              <wp:effectExtent l="0" t="0" r="12065" b="0"/>
              <wp:wrapNone/>
              <wp:docPr id="6" name="文本框 6"/>
              <wp:cNvGraphicFramePr/>
              <a:graphic xmlns:a="http://schemas.openxmlformats.org/drawingml/2006/main">
                <a:graphicData uri="http://schemas.microsoft.com/office/word/2010/wordprocessingShape">
                  <wps:wsp>
                    <wps:cNvSpPr txBox="1"/>
                    <wps:spPr>
                      <a:xfrm>
                        <a:off x="0" y="0"/>
                        <a:ext cx="343535" cy="222250"/>
                      </a:xfrm>
                      <a:prstGeom prst="rect">
                        <a:avLst/>
                      </a:prstGeom>
                      <a:noFill/>
                      <a:ln w="6350">
                        <a:noFill/>
                      </a:ln>
                    </wps:spPr>
                    <wps:txbx>
                      <w:txbxContent>
                        <w:p w14:paraId="74BE3EF6">
                          <w:pPr>
                            <w:pStyle w:val="27"/>
                            <w:ind w:firstLine="36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5pt;width:27.05pt;mso-position-horizontal:center;mso-position-horizontal-relative:margin;mso-wrap-style:none;z-index:251660288;mso-width-relative:page;mso-height-relative:page;" filled="f" stroked="f" coordsize="21600,21600" o:gfxdata="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noZ19MAAAADAQAADwAAAAAAAAABACAAAAAiAAAAZHJzL2Rvd25yZXYueG1sUEsBAhQAFAAA&#10;AAgAh07iQD3i2i8tAgAAUwQAAA4AAAAAAAAAAQAgAAAAIgEAAGRycy9lMm9Eb2MueG1sUEsFBgAA&#10;AAAGAAYAWQEAAMEFAAAAAA==&#10;">
              <v:fill on="f" focussize="0,0"/>
              <v:stroke on="f" weight="0.5pt"/>
              <v:imagedata o:title=""/>
              <o:lock v:ext="edit" aspectratio="f"/>
              <v:textbox inset="0mm,0mm,0mm,0mm" style="mso-fit-shape-to-text:t;">
                <w:txbxContent>
                  <w:p w14:paraId="74BE3EF6">
                    <w:pPr>
                      <w:pStyle w:val="27"/>
                      <w:ind w:firstLine="36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DB88">
    <w:pPr>
      <w:pStyle w:val="2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1EA7">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42D2">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481A">
    <w:pPr>
      <w:pStyle w:val="28"/>
      <w:pBdr>
        <w:bottom w:val="none" w:color="auto" w:sz="0" w:space="0"/>
      </w:pBdr>
      <w:ind w:firstLine="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E927A">
    <w:pPr>
      <w:pStyle w:val="22"/>
      <w:ind w:firstLine="361"/>
      <w:rPr>
        <w:rFonts w:ascii="仿宋_GB2312" w:eastAsia="仿宋_GB2312"/>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EB39E"/>
    <w:multiLevelType w:val="singleLevel"/>
    <w:tmpl w:val="973EB39E"/>
    <w:lvl w:ilvl="0" w:tentative="0">
      <w:start w:val="9"/>
      <w:numFmt w:val="decimal"/>
      <w:lvlText w:val="%1."/>
      <w:lvlJc w:val="left"/>
      <w:pPr>
        <w:tabs>
          <w:tab w:val="left" w:pos="312"/>
        </w:tabs>
      </w:pPr>
    </w:lvl>
  </w:abstractNum>
  <w:abstractNum w:abstractNumId="1">
    <w:nsid w:val="C898C614"/>
    <w:multiLevelType w:val="singleLevel"/>
    <w:tmpl w:val="C898C614"/>
    <w:lvl w:ilvl="0" w:tentative="0">
      <w:start w:val="4"/>
      <w:numFmt w:val="chineseCounting"/>
      <w:suff w:val="space"/>
      <w:lvlText w:val="第%1章"/>
      <w:lvlJc w:val="left"/>
      <w:rPr>
        <w:rFonts w:hint="eastAsia"/>
      </w:rPr>
    </w:lvl>
  </w:abstractNum>
  <w:abstractNum w:abstractNumId="2">
    <w:nsid w:val="502CD74A"/>
    <w:multiLevelType w:val="singleLevel"/>
    <w:tmpl w:val="502CD74A"/>
    <w:lvl w:ilvl="0" w:tentative="0">
      <w:start w:val="3"/>
      <w:numFmt w:val="chineseCounting"/>
      <w:suff w:val="space"/>
      <w:lvlText w:val="第%1节"/>
      <w:lvlJc w:val="left"/>
      <w:rPr>
        <w:rFonts w:hint="eastAsia"/>
      </w:rPr>
    </w:lvl>
  </w:abstractNum>
  <w:abstractNum w:abstractNumId="3">
    <w:nsid w:val="65D68194"/>
    <w:multiLevelType w:val="singleLevel"/>
    <w:tmpl w:val="65D68194"/>
    <w:lvl w:ilvl="0" w:tentative="0">
      <w:start w:val="5"/>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06"/>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NjE2YWNlYzEwNjYwMGJmMDk2N2I4ZDI4MzRlMTMifQ=="/>
  </w:docVars>
  <w:rsids>
    <w:rsidRoot w:val="00496D5A"/>
    <w:rsid w:val="000156E2"/>
    <w:rsid w:val="0002230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56FA1"/>
    <w:rsid w:val="000629E6"/>
    <w:rsid w:val="000640EC"/>
    <w:rsid w:val="000641A5"/>
    <w:rsid w:val="00074700"/>
    <w:rsid w:val="000749E3"/>
    <w:rsid w:val="00076988"/>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190"/>
    <w:rsid w:val="001A6A2C"/>
    <w:rsid w:val="001B229F"/>
    <w:rsid w:val="001B50BA"/>
    <w:rsid w:val="001B56C9"/>
    <w:rsid w:val="001B6E2A"/>
    <w:rsid w:val="001B7F3D"/>
    <w:rsid w:val="001C1815"/>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19A"/>
    <w:rsid w:val="002068F3"/>
    <w:rsid w:val="00206968"/>
    <w:rsid w:val="00206FCE"/>
    <w:rsid w:val="00207162"/>
    <w:rsid w:val="00211C0E"/>
    <w:rsid w:val="002131F5"/>
    <w:rsid w:val="0021675C"/>
    <w:rsid w:val="00220F7C"/>
    <w:rsid w:val="0022181C"/>
    <w:rsid w:val="002223E0"/>
    <w:rsid w:val="00223AAF"/>
    <w:rsid w:val="00226977"/>
    <w:rsid w:val="002270C6"/>
    <w:rsid w:val="00227CB6"/>
    <w:rsid w:val="0023455F"/>
    <w:rsid w:val="00234E98"/>
    <w:rsid w:val="002355BB"/>
    <w:rsid w:val="00237E61"/>
    <w:rsid w:val="00242EFF"/>
    <w:rsid w:val="00243709"/>
    <w:rsid w:val="002444AB"/>
    <w:rsid w:val="00245A92"/>
    <w:rsid w:val="002502DD"/>
    <w:rsid w:val="00260F02"/>
    <w:rsid w:val="00266E91"/>
    <w:rsid w:val="00271164"/>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1B5D"/>
    <w:rsid w:val="003136E5"/>
    <w:rsid w:val="00313BC8"/>
    <w:rsid w:val="0031417B"/>
    <w:rsid w:val="00316527"/>
    <w:rsid w:val="00317CD3"/>
    <w:rsid w:val="00321C75"/>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1EE7"/>
    <w:rsid w:val="00382374"/>
    <w:rsid w:val="003914B4"/>
    <w:rsid w:val="00391A73"/>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16C14"/>
    <w:rsid w:val="00427DBC"/>
    <w:rsid w:val="00430191"/>
    <w:rsid w:val="0043107F"/>
    <w:rsid w:val="00431725"/>
    <w:rsid w:val="00432850"/>
    <w:rsid w:val="004409B2"/>
    <w:rsid w:val="00440D7E"/>
    <w:rsid w:val="00441209"/>
    <w:rsid w:val="0044199B"/>
    <w:rsid w:val="00457832"/>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0863"/>
    <w:rsid w:val="004E26FE"/>
    <w:rsid w:val="004E581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2D7"/>
    <w:rsid w:val="00582329"/>
    <w:rsid w:val="00583097"/>
    <w:rsid w:val="00586507"/>
    <w:rsid w:val="00596362"/>
    <w:rsid w:val="00596918"/>
    <w:rsid w:val="005A10FE"/>
    <w:rsid w:val="005A22A2"/>
    <w:rsid w:val="005A2A0F"/>
    <w:rsid w:val="005A3897"/>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4A6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B1E81"/>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8768E"/>
    <w:rsid w:val="00793F05"/>
    <w:rsid w:val="007940D5"/>
    <w:rsid w:val="00794207"/>
    <w:rsid w:val="00795612"/>
    <w:rsid w:val="007970D6"/>
    <w:rsid w:val="0079791B"/>
    <w:rsid w:val="007A2780"/>
    <w:rsid w:val="007A49E7"/>
    <w:rsid w:val="007A6607"/>
    <w:rsid w:val="007A780F"/>
    <w:rsid w:val="007B0AD1"/>
    <w:rsid w:val="007B0B37"/>
    <w:rsid w:val="007C01D7"/>
    <w:rsid w:val="007C0604"/>
    <w:rsid w:val="007C0A90"/>
    <w:rsid w:val="007C29EF"/>
    <w:rsid w:val="007C5020"/>
    <w:rsid w:val="007C504D"/>
    <w:rsid w:val="007D6AEC"/>
    <w:rsid w:val="007E25E2"/>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66962"/>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1DCE"/>
    <w:rsid w:val="008B3AFA"/>
    <w:rsid w:val="008B6DC9"/>
    <w:rsid w:val="008C2EFD"/>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5FD8"/>
    <w:rsid w:val="009523FD"/>
    <w:rsid w:val="009532D2"/>
    <w:rsid w:val="0095494C"/>
    <w:rsid w:val="00955924"/>
    <w:rsid w:val="00955E56"/>
    <w:rsid w:val="009562F0"/>
    <w:rsid w:val="00956526"/>
    <w:rsid w:val="00956A8A"/>
    <w:rsid w:val="0095726E"/>
    <w:rsid w:val="00957320"/>
    <w:rsid w:val="0096012B"/>
    <w:rsid w:val="00965B6A"/>
    <w:rsid w:val="00967FB4"/>
    <w:rsid w:val="00971556"/>
    <w:rsid w:val="00976258"/>
    <w:rsid w:val="00980F91"/>
    <w:rsid w:val="00981256"/>
    <w:rsid w:val="00984576"/>
    <w:rsid w:val="00984D12"/>
    <w:rsid w:val="009864CB"/>
    <w:rsid w:val="009874F9"/>
    <w:rsid w:val="00991273"/>
    <w:rsid w:val="009914BD"/>
    <w:rsid w:val="0099340D"/>
    <w:rsid w:val="009A13B3"/>
    <w:rsid w:val="009A13E7"/>
    <w:rsid w:val="009A5828"/>
    <w:rsid w:val="009A5857"/>
    <w:rsid w:val="009A590C"/>
    <w:rsid w:val="009A5BF8"/>
    <w:rsid w:val="009A751B"/>
    <w:rsid w:val="009B1053"/>
    <w:rsid w:val="009B1107"/>
    <w:rsid w:val="009B129A"/>
    <w:rsid w:val="009B29C8"/>
    <w:rsid w:val="009B4D48"/>
    <w:rsid w:val="009B630B"/>
    <w:rsid w:val="009B7D14"/>
    <w:rsid w:val="009C0915"/>
    <w:rsid w:val="009C1C6C"/>
    <w:rsid w:val="009C2C09"/>
    <w:rsid w:val="009C337D"/>
    <w:rsid w:val="009C50E0"/>
    <w:rsid w:val="009C6E82"/>
    <w:rsid w:val="009D2117"/>
    <w:rsid w:val="009D24B2"/>
    <w:rsid w:val="009D3302"/>
    <w:rsid w:val="009D52D1"/>
    <w:rsid w:val="009D5A8E"/>
    <w:rsid w:val="009E51AA"/>
    <w:rsid w:val="009E7630"/>
    <w:rsid w:val="009F2A1B"/>
    <w:rsid w:val="009F2B85"/>
    <w:rsid w:val="009F3049"/>
    <w:rsid w:val="009F588C"/>
    <w:rsid w:val="009F6488"/>
    <w:rsid w:val="009F64B9"/>
    <w:rsid w:val="00A026F0"/>
    <w:rsid w:val="00A04145"/>
    <w:rsid w:val="00A125C0"/>
    <w:rsid w:val="00A135C2"/>
    <w:rsid w:val="00A16084"/>
    <w:rsid w:val="00A16BE5"/>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B7E18"/>
    <w:rsid w:val="00AC06D6"/>
    <w:rsid w:val="00AC3E7C"/>
    <w:rsid w:val="00AC542B"/>
    <w:rsid w:val="00AC56AC"/>
    <w:rsid w:val="00AC70FF"/>
    <w:rsid w:val="00AC7D43"/>
    <w:rsid w:val="00AC7D59"/>
    <w:rsid w:val="00AD0E2F"/>
    <w:rsid w:val="00AE1C63"/>
    <w:rsid w:val="00AE4E5E"/>
    <w:rsid w:val="00AE77E6"/>
    <w:rsid w:val="00AE7FA6"/>
    <w:rsid w:val="00AF0FF0"/>
    <w:rsid w:val="00AF1518"/>
    <w:rsid w:val="00AF19A1"/>
    <w:rsid w:val="00AF24AE"/>
    <w:rsid w:val="00AF4888"/>
    <w:rsid w:val="00B10E7A"/>
    <w:rsid w:val="00B11E3E"/>
    <w:rsid w:val="00B15ACE"/>
    <w:rsid w:val="00B17CED"/>
    <w:rsid w:val="00B210CD"/>
    <w:rsid w:val="00B248F8"/>
    <w:rsid w:val="00B2494E"/>
    <w:rsid w:val="00B2517F"/>
    <w:rsid w:val="00B26B9C"/>
    <w:rsid w:val="00B273FE"/>
    <w:rsid w:val="00B3052D"/>
    <w:rsid w:val="00B308C9"/>
    <w:rsid w:val="00B30C84"/>
    <w:rsid w:val="00B3336F"/>
    <w:rsid w:val="00B34456"/>
    <w:rsid w:val="00B35724"/>
    <w:rsid w:val="00B369DC"/>
    <w:rsid w:val="00B40087"/>
    <w:rsid w:val="00B428A4"/>
    <w:rsid w:val="00B55645"/>
    <w:rsid w:val="00B57BDF"/>
    <w:rsid w:val="00B63832"/>
    <w:rsid w:val="00B66CC1"/>
    <w:rsid w:val="00B728A0"/>
    <w:rsid w:val="00B812C2"/>
    <w:rsid w:val="00B81660"/>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180A"/>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80"/>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0401AD"/>
    <w:rsid w:val="010F0633"/>
    <w:rsid w:val="011473B7"/>
    <w:rsid w:val="013B0DE8"/>
    <w:rsid w:val="013D3AC0"/>
    <w:rsid w:val="014C1209"/>
    <w:rsid w:val="014F6463"/>
    <w:rsid w:val="015233E3"/>
    <w:rsid w:val="01527EDF"/>
    <w:rsid w:val="017F6E14"/>
    <w:rsid w:val="01835353"/>
    <w:rsid w:val="018900B6"/>
    <w:rsid w:val="01890C57"/>
    <w:rsid w:val="018E5AC3"/>
    <w:rsid w:val="019C2363"/>
    <w:rsid w:val="019D63A6"/>
    <w:rsid w:val="019E0F71"/>
    <w:rsid w:val="01AA4CF6"/>
    <w:rsid w:val="01B1500F"/>
    <w:rsid w:val="01CC70CA"/>
    <w:rsid w:val="01D35E86"/>
    <w:rsid w:val="01D717A4"/>
    <w:rsid w:val="01EA46C0"/>
    <w:rsid w:val="01ED2BF3"/>
    <w:rsid w:val="01EF2A95"/>
    <w:rsid w:val="01F071B3"/>
    <w:rsid w:val="01F20EFE"/>
    <w:rsid w:val="01F419B5"/>
    <w:rsid w:val="01FE3B56"/>
    <w:rsid w:val="01FE5971"/>
    <w:rsid w:val="021A27AB"/>
    <w:rsid w:val="022A4F79"/>
    <w:rsid w:val="0230542C"/>
    <w:rsid w:val="02342468"/>
    <w:rsid w:val="023575E5"/>
    <w:rsid w:val="023F4471"/>
    <w:rsid w:val="024041AC"/>
    <w:rsid w:val="02465780"/>
    <w:rsid w:val="024A7761"/>
    <w:rsid w:val="02581365"/>
    <w:rsid w:val="0287199B"/>
    <w:rsid w:val="028A629F"/>
    <w:rsid w:val="02A300C1"/>
    <w:rsid w:val="02A86B17"/>
    <w:rsid w:val="02B726F0"/>
    <w:rsid w:val="02B80216"/>
    <w:rsid w:val="02D50C22"/>
    <w:rsid w:val="02D84EFD"/>
    <w:rsid w:val="02EB05EB"/>
    <w:rsid w:val="02EF0D6F"/>
    <w:rsid w:val="02F96864"/>
    <w:rsid w:val="02FB020F"/>
    <w:rsid w:val="030376E3"/>
    <w:rsid w:val="030B4515"/>
    <w:rsid w:val="030F6088"/>
    <w:rsid w:val="03186DE9"/>
    <w:rsid w:val="031A220C"/>
    <w:rsid w:val="03241BE1"/>
    <w:rsid w:val="03247CE2"/>
    <w:rsid w:val="0325578C"/>
    <w:rsid w:val="033B6E7D"/>
    <w:rsid w:val="034026E5"/>
    <w:rsid w:val="034F0B7A"/>
    <w:rsid w:val="035237F7"/>
    <w:rsid w:val="035E700F"/>
    <w:rsid w:val="036363D4"/>
    <w:rsid w:val="0364342E"/>
    <w:rsid w:val="03656CD8"/>
    <w:rsid w:val="036D4EAF"/>
    <w:rsid w:val="037E6C09"/>
    <w:rsid w:val="038A7BB5"/>
    <w:rsid w:val="03991DF6"/>
    <w:rsid w:val="03A10CAA"/>
    <w:rsid w:val="03AA620B"/>
    <w:rsid w:val="03B2599D"/>
    <w:rsid w:val="03D33559"/>
    <w:rsid w:val="03E77005"/>
    <w:rsid w:val="03EB5B65"/>
    <w:rsid w:val="03F82248"/>
    <w:rsid w:val="040175AF"/>
    <w:rsid w:val="04066036"/>
    <w:rsid w:val="04272627"/>
    <w:rsid w:val="042953BC"/>
    <w:rsid w:val="04343B88"/>
    <w:rsid w:val="043D1681"/>
    <w:rsid w:val="0447557C"/>
    <w:rsid w:val="04594533"/>
    <w:rsid w:val="0461636B"/>
    <w:rsid w:val="04754153"/>
    <w:rsid w:val="048900BC"/>
    <w:rsid w:val="04910D1F"/>
    <w:rsid w:val="04A35730"/>
    <w:rsid w:val="04A4119D"/>
    <w:rsid w:val="04A870D3"/>
    <w:rsid w:val="04AB1DE0"/>
    <w:rsid w:val="04B32967"/>
    <w:rsid w:val="04D7215E"/>
    <w:rsid w:val="04E2157A"/>
    <w:rsid w:val="04EE7063"/>
    <w:rsid w:val="04F274B7"/>
    <w:rsid w:val="04FA291F"/>
    <w:rsid w:val="05015EA4"/>
    <w:rsid w:val="05047743"/>
    <w:rsid w:val="0516573A"/>
    <w:rsid w:val="052051DB"/>
    <w:rsid w:val="05243BBE"/>
    <w:rsid w:val="052D4EEB"/>
    <w:rsid w:val="052E6C4D"/>
    <w:rsid w:val="053F1946"/>
    <w:rsid w:val="054671FA"/>
    <w:rsid w:val="054D10EA"/>
    <w:rsid w:val="05502988"/>
    <w:rsid w:val="0552412D"/>
    <w:rsid w:val="055542DB"/>
    <w:rsid w:val="055A1A85"/>
    <w:rsid w:val="05600A22"/>
    <w:rsid w:val="05614B95"/>
    <w:rsid w:val="05662D56"/>
    <w:rsid w:val="056C4B45"/>
    <w:rsid w:val="0572181A"/>
    <w:rsid w:val="057523EE"/>
    <w:rsid w:val="05972365"/>
    <w:rsid w:val="059C42D4"/>
    <w:rsid w:val="05B945AD"/>
    <w:rsid w:val="05BE041F"/>
    <w:rsid w:val="05C07B0D"/>
    <w:rsid w:val="05C81FAD"/>
    <w:rsid w:val="05C96278"/>
    <w:rsid w:val="05CD3FD8"/>
    <w:rsid w:val="05D61032"/>
    <w:rsid w:val="05D77B36"/>
    <w:rsid w:val="05EB4AAB"/>
    <w:rsid w:val="060567E0"/>
    <w:rsid w:val="06090798"/>
    <w:rsid w:val="06161D2A"/>
    <w:rsid w:val="062639CE"/>
    <w:rsid w:val="06273DDA"/>
    <w:rsid w:val="0639341C"/>
    <w:rsid w:val="0644429B"/>
    <w:rsid w:val="064A73D7"/>
    <w:rsid w:val="064C543A"/>
    <w:rsid w:val="064E5119"/>
    <w:rsid w:val="064F2CD7"/>
    <w:rsid w:val="067E3047"/>
    <w:rsid w:val="068648B3"/>
    <w:rsid w:val="068A4E6D"/>
    <w:rsid w:val="068D1614"/>
    <w:rsid w:val="06963406"/>
    <w:rsid w:val="06B8603B"/>
    <w:rsid w:val="06C64076"/>
    <w:rsid w:val="06DB57B4"/>
    <w:rsid w:val="06DC457E"/>
    <w:rsid w:val="06E15F8D"/>
    <w:rsid w:val="06F37A6F"/>
    <w:rsid w:val="06F42124"/>
    <w:rsid w:val="06F43891"/>
    <w:rsid w:val="06FF4665"/>
    <w:rsid w:val="07024943"/>
    <w:rsid w:val="070E192C"/>
    <w:rsid w:val="07237076"/>
    <w:rsid w:val="07322345"/>
    <w:rsid w:val="0750482F"/>
    <w:rsid w:val="075524D7"/>
    <w:rsid w:val="07585B24"/>
    <w:rsid w:val="07671EB0"/>
    <w:rsid w:val="076B0225"/>
    <w:rsid w:val="076B3AA9"/>
    <w:rsid w:val="076D5A73"/>
    <w:rsid w:val="076F17EB"/>
    <w:rsid w:val="07812A3C"/>
    <w:rsid w:val="07822BCF"/>
    <w:rsid w:val="078E1545"/>
    <w:rsid w:val="078F726A"/>
    <w:rsid w:val="07901C95"/>
    <w:rsid w:val="079E5C2C"/>
    <w:rsid w:val="07A01BFC"/>
    <w:rsid w:val="07A23BA4"/>
    <w:rsid w:val="07A611D5"/>
    <w:rsid w:val="07AF1DEE"/>
    <w:rsid w:val="07BA6793"/>
    <w:rsid w:val="07C51ACA"/>
    <w:rsid w:val="07C90157"/>
    <w:rsid w:val="07E07A3F"/>
    <w:rsid w:val="07EE17CE"/>
    <w:rsid w:val="07F129BC"/>
    <w:rsid w:val="080C5B86"/>
    <w:rsid w:val="080E209C"/>
    <w:rsid w:val="08187EB9"/>
    <w:rsid w:val="08202AE5"/>
    <w:rsid w:val="08242AC3"/>
    <w:rsid w:val="08252440"/>
    <w:rsid w:val="083C5603"/>
    <w:rsid w:val="08510EF1"/>
    <w:rsid w:val="08512218"/>
    <w:rsid w:val="08575270"/>
    <w:rsid w:val="08597DA5"/>
    <w:rsid w:val="087A5BA5"/>
    <w:rsid w:val="08870603"/>
    <w:rsid w:val="0895137D"/>
    <w:rsid w:val="08977F0F"/>
    <w:rsid w:val="08991AD4"/>
    <w:rsid w:val="089F0C9C"/>
    <w:rsid w:val="08A13E3F"/>
    <w:rsid w:val="08A1787D"/>
    <w:rsid w:val="08BB21F2"/>
    <w:rsid w:val="08C06411"/>
    <w:rsid w:val="08C61576"/>
    <w:rsid w:val="08D15660"/>
    <w:rsid w:val="08DA2F82"/>
    <w:rsid w:val="08E04023"/>
    <w:rsid w:val="08EB110F"/>
    <w:rsid w:val="08EB3A63"/>
    <w:rsid w:val="08F0070A"/>
    <w:rsid w:val="09033605"/>
    <w:rsid w:val="0904791A"/>
    <w:rsid w:val="091B371D"/>
    <w:rsid w:val="092646F2"/>
    <w:rsid w:val="092B63E5"/>
    <w:rsid w:val="09320D22"/>
    <w:rsid w:val="09336848"/>
    <w:rsid w:val="094C3466"/>
    <w:rsid w:val="095567BF"/>
    <w:rsid w:val="096362CA"/>
    <w:rsid w:val="09641DC0"/>
    <w:rsid w:val="097D1708"/>
    <w:rsid w:val="097F55EA"/>
    <w:rsid w:val="09880942"/>
    <w:rsid w:val="099217C1"/>
    <w:rsid w:val="0992716B"/>
    <w:rsid w:val="09960859"/>
    <w:rsid w:val="09C15C02"/>
    <w:rsid w:val="09C76C6F"/>
    <w:rsid w:val="09CA0F5B"/>
    <w:rsid w:val="09E322B9"/>
    <w:rsid w:val="09F92AB7"/>
    <w:rsid w:val="09FE6E56"/>
    <w:rsid w:val="0A0323C9"/>
    <w:rsid w:val="0A043E81"/>
    <w:rsid w:val="0A1515E5"/>
    <w:rsid w:val="0A1A18F5"/>
    <w:rsid w:val="0A222BA8"/>
    <w:rsid w:val="0A2C35C2"/>
    <w:rsid w:val="0A4C120D"/>
    <w:rsid w:val="0A4D75C8"/>
    <w:rsid w:val="0A595E3B"/>
    <w:rsid w:val="0A64315D"/>
    <w:rsid w:val="0A656E85"/>
    <w:rsid w:val="0A6A5922"/>
    <w:rsid w:val="0A7333A0"/>
    <w:rsid w:val="0A777CC7"/>
    <w:rsid w:val="0A7E5203"/>
    <w:rsid w:val="0A946017"/>
    <w:rsid w:val="0A9A6B7F"/>
    <w:rsid w:val="0AB508C2"/>
    <w:rsid w:val="0ABB4D47"/>
    <w:rsid w:val="0AC97464"/>
    <w:rsid w:val="0ACA6D38"/>
    <w:rsid w:val="0ACB5574"/>
    <w:rsid w:val="0AD5691D"/>
    <w:rsid w:val="0AE37DDF"/>
    <w:rsid w:val="0AE47DFA"/>
    <w:rsid w:val="0AF509FF"/>
    <w:rsid w:val="0AFF19D8"/>
    <w:rsid w:val="0AFF2C5A"/>
    <w:rsid w:val="0B022592"/>
    <w:rsid w:val="0B0B21F5"/>
    <w:rsid w:val="0B1F7084"/>
    <w:rsid w:val="0B222FBA"/>
    <w:rsid w:val="0B266665"/>
    <w:rsid w:val="0B3115BB"/>
    <w:rsid w:val="0B40681A"/>
    <w:rsid w:val="0B425A17"/>
    <w:rsid w:val="0B462071"/>
    <w:rsid w:val="0B610D74"/>
    <w:rsid w:val="0B6251C3"/>
    <w:rsid w:val="0B643DFD"/>
    <w:rsid w:val="0B6B2B57"/>
    <w:rsid w:val="0B811AED"/>
    <w:rsid w:val="0B8D66E4"/>
    <w:rsid w:val="0B9510F4"/>
    <w:rsid w:val="0B9C2483"/>
    <w:rsid w:val="0B9C6927"/>
    <w:rsid w:val="0B9D7F39"/>
    <w:rsid w:val="0BBC2B25"/>
    <w:rsid w:val="0BC04770"/>
    <w:rsid w:val="0BC05C8C"/>
    <w:rsid w:val="0BC706AB"/>
    <w:rsid w:val="0BCA581B"/>
    <w:rsid w:val="0BCE6E97"/>
    <w:rsid w:val="0BDE0CED"/>
    <w:rsid w:val="0BF422BF"/>
    <w:rsid w:val="0C026A20"/>
    <w:rsid w:val="0C063DA0"/>
    <w:rsid w:val="0C087606"/>
    <w:rsid w:val="0C1722D9"/>
    <w:rsid w:val="0C32639D"/>
    <w:rsid w:val="0C3703FE"/>
    <w:rsid w:val="0C476893"/>
    <w:rsid w:val="0C481BD2"/>
    <w:rsid w:val="0C5122EC"/>
    <w:rsid w:val="0C5B535B"/>
    <w:rsid w:val="0C5E3BDC"/>
    <w:rsid w:val="0C600706"/>
    <w:rsid w:val="0C776A4C"/>
    <w:rsid w:val="0C7B02EA"/>
    <w:rsid w:val="0C823159"/>
    <w:rsid w:val="0C877CDB"/>
    <w:rsid w:val="0C8925FB"/>
    <w:rsid w:val="0C992E66"/>
    <w:rsid w:val="0C9E045E"/>
    <w:rsid w:val="0CA330E4"/>
    <w:rsid w:val="0CA645A3"/>
    <w:rsid w:val="0CAA3D28"/>
    <w:rsid w:val="0CB63F57"/>
    <w:rsid w:val="0CBB6090"/>
    <w:rsid w:val="0CBD4084"/>
    <w:rsid w:val="0CC00650"/>
    <w:rsid w:val="0CC02DAC"/>
    <w:rsid w:val="0CC52908"/>
    <w:rsid w:val="0CD143AE"/>
    <w:rsid w:val="0CDC3FB4"/>
    <w:rsid w:val="0CE20AD8"/>
    <w:rsid w:val="0CEA2C99"/>
    <w:rsid w:val="0CEF2A86"/>
    <w:rsid w:val="0CF479F7"/>
    <w:rsid w:val="0CF72B0B"/>
    <w:rsid w:val="0D051CD8"/>
    <w:rsid w:val="0D0B144E"/>
    <w:rsid w:val="0D1A3FA7"/>
    <w:rsid w:val="0D1D10F7"/>
    <w:rsid w:val="0D3504E0"/>
    <w:rsid w:val="0D441024"/>
    <w:rsid w:val="0D4F355A"/>
    <w:rsid w:val="0D5432F6"/>
    <w:rsid w:val="0D55543E"/>
    <w:rsid w:val="0D5A5719"/>
    <w:rsid w:val="0D6D3FB4"/>
    <w:rsid w:val="0D703BC7"/>
    <w:rsid w:val="0D8238FA"/>
    <w:rsid w:val="0D841421"/>
    <w:rsid w:val="0D8D1680"/>
    <w:rsid w:val="0D925D63"/>
    <w:rsid w:val="0DA1250E"/>
    <w:rsid w:val="0DAF0B93"/>
    <w:rsid w:val="0DB461AA"/>
    <w:rsid w:val="0DBA0C95"/>
    <w:rsid w:val="0DD106FB"/>
    <w:rsid w:val="0DD37B6E"/>
    <w:rsid w:val="0DDD6D83"/>
    <w:rsid w:val="0DE325EB"/>
    <w:rsid w:val="0DE36DA0"/>
    <w:rsid w:val="0DE51D01"/>
    <w:rsid w:val="0DEC0DC7"/>
    <w:rsid w:val="0DF60E64"/>
    <w:rsid w:val="0DFF7C81"/>
    <w:rsid w:val="0E1108FE"/>
    <w:rsid w:val="0E2826F4"/>
    <w:rsid w:val="0E3C7F4D"/>
    <w:rsid w:val="0E4A0AB5"/>
    <w:rsid w:val="0E4A4E9B"/>
    <w:rsid w:val="0E53558B"/>
    <w:rsid w:val="0E567031"/>
    <w:rsid w:val="0E583F26"/>
    <w:rsid w:val="0E611762"/>
    <w:rsid w:val="0E614DB7"/>
    <w:rsid w:val="0E7B35F2"/>
    <w:rsid w:val="0E7D2A40"/>
    <w:rsid w:val="0E800B3E"/>
    <w:rsid w:val="0E87566C"/>
    <w:rsid w:val="0E8E16E6"/>
    <w:rsid w:val="0E8F472D"/>
    <w:rsid w:val="0E9438E5"/>
    <w:rsid w:val="0E950BFC"/>
    <w:rsid w:val="0E9A2E45"/>
    <w:rsid w:val="0E9E29B6"/>
    <w:rsid w:val="0EAF4BC3"/>
    <w:rsid w:val="0EB320F5"/>
    <w:rsid w:val="0EB65F51"/>
    <w:rsid w:val="0EBB3568"/>
    <w:rsid w:val="0EC86F86"/>
    <w:rsid w:val="0ECC5CD4"/>
    <w:rsid w:val="0ED43E7F"/>
    <w:rsid w:val="0EDE70F7"/>
    <w:rsid w:val="0EF425D6"/>
    <w:rsid w:val="0EF92D78"/>
    <w:rsid w:val="0EFD148A"/>
    <w:rsid w:val="0F0274E4"/>
    <w:rsid w:val="0F087E2F"/>
    <w:rsid w:val="0F1B7B63"/>
    <w:rsid w:val="0F3A0931"/>
    <w:rsid w:val="0F4A2811"/>
    <w:rsid w:val="0F4A2A50"/>
    <w:rsid w:val="0F511DB3"/>
    <w:rsid w:val="0F655F88"/>
    <w:rsid w:val="0F670FFA"/>
    <w:rsid w:val="0F6834C1"/>
    <w:rsid w:val="0F706100"/>
    <w:rsid w:val="0F7F617C"/>
    <w:rsid w:val="0F8145C3"/>
    <w:rsid w:val="0F88759C"/>
    <w:rsid w:val="0F8D597D"/>
    <w:rsid w:val="0F9242C9"/>
    <w:rsid w:val="0F9266FB"/>
    <w:rsid w:val="0F977B31"/>
    <w:rsid w:val="0FA97864"/>
    <w:rsid w:val="0FBE2B5A"/>
    <w:rsid w:val="0FCC498E"/>
    <w:rsid w:val="0FD12100"/>
    <w:rsid w:val="0FD17A37"/>
    <w:rsid w:val="0FE15F8B"/>
    <w:rsid w:val="0FE43B1D"/>
    <w:rsid w:val="0FF036ED"/>
    <w:rsid w:val="100B2D0F"/>
    <w:rsid w:val="100B64F2"/>
    <w:rsid w:val="10190546"/>
    <w:rsid w:val="101D4F1D"/>
    <w:rsid w:val="102325D8"/>
    <w:rsid w:val="10245A43"/>
    <w:rsid w:val="102745C3"/>
    <w:rsid w:val="102858E0"/>
    <w:rsid w:val="103048BD"/>
    <w:rsid w:val="103154BD"/>
    <w:rsid w:val="10346044"/>
    <w:rsid w:val="10502938"/>
    <w:rsid w:val="1051053E"/>
    <w:rsid w:val="105C3161"/>
    <w:rsid w:val="10772B6A"/>
    <w:rsid w:val="10790550"/>
    <w:rsid w:val="108B4E92"/>
    <w:rsid w:val="108F25B6"/>
    <w:rsid w:val="10A06571"/>
    <w:rsid w:val="10B4026F"/>
    <w:rsid w:val="10BD493A"/>
    <w:rsid w:val="10C04F40"/>
    <w:rsid w:val="10C25C28"/>
    <w:rsid w:val="10CD432E"/>
    <w:rsid w:val="10D269B3"/>
    <w:rsid w:val="10D97ED1"/>
    <w:rsid w:val="10DB1C9F"/>
    <w:rsid w:val="10DC6EE1"/>
    <w:rsid w:val="10EA0134"/>
    <w:rsid w:val="10EC7A09"/>
    <w:rsid w:val="11021A8D"/>
    <w:rsid w:val="110D5062"/>
    <w:rsid w:val="11160F29"/>
    <w:rsid w:val="111A3040"/>
    <w:rsid w:val="111D76A0"/>
    <w:rsid w:val="111E4175"/>
    <w:rsid w:val="11295A20"/>
    <w:rsid w:val="1134138F"/>
    <w:rsid w:val="113628ED"/>
    <w:rsid w:val="113875FC"/>
    <w:rsid w:val="113F396A"/>
    <w:rsid w:val="114333A1"/>
    <w:rsid w:val="11452B1A"/>
    <w:rsid w:val="11515ABE"/>
    <w:rsid w:val="115832F0"/>
    <w:rsid w:val="11814C5B"/>
    <w:rsid w:val="118F2F35"/>
    <w:rsid w:val="1190161C"/>
    <w:rsid w:val="119D4909"/>
    <w:rsid w:val="11A3745A"/>
    <w:rsid w:val="11C233F6"/>
    <w:rsid w:val="11C40985"/>
    <w:rsid w:val="11C72224"/>
    <w:rsid w:val="11DB2E96"/>
    <w:rsid w:val="11F72B09"/>
    <w:rsid w:val="11FC2994"/>
    <w:rsid w:val="12042B30"/>
    <w:rsid w:val="12064AFA"/>
    <w:rsid w:val="121F68AB"/>
    <w:rsid w:val="122659EB"/>
    <w:rsid w:val="122B27B2"/>
    <w:rsid w:val="123E5BC4"/>
    <w:rsid w:val="124E66A8"/>
    <w:rsid w:val="12536C7B"/>
    <w:rsid w:val="1255654E"/>
    <w:rsid w:val="125924FA"/>
    <w:rsid w:val="125A02B1"/>
    <w:rsid w:val="125B32E6"/>
    <w:rsid w:val="126857B5"/>
    <w:rsid w:val="127F2E11"/>
    <w:rsid w:val="1288647B"/>
    <w:rsid w:val="12930F4F"/>
    <w:rsid w:val="12957C2C"/>
    <w:rsid w:val="129B6365"/>
    <w:rsid w:val="129C6773"/>
    <w:rsid w:val="129E32AD"/>
    <w:rsid w:val="129E61F5"/>
    <w:rsid w:val="12AB48F3"/>
    <w:rsid w:val="12B66520"/>
    <w:rsid w:val="12BE5E09"/>
    <w:rsid w:val="12C10FFD"/>
    <w:rsid w:val="12CB126D"/>
    <w:rsid w:val="12CE578F"/>
    <w:rsid w:val="12D740AF"/>
    <w:rsid w:val="12EE7F7F"/>
    <w:rsid w:val="12FC2ED8"/>
    <w:rsid w:val="13021765"/>
    <w:rsid w:val="13164834"/>
    <w:rsid w:val="13196AAF"/>
    <w:rsid w:val="131A6BB9"/>
    <w:rsid w:val="131C6001"/>
    <w:rsid w:val="131D790E"/>
    <w:rsid w:val="1329324B"/>
    <w:rsid w:val="1331143C"/>
    <w:rsid w:val="134203FD"/>
    <w:rsid w:val="13453087"/>
    <w:rsid w:val="134E05A4"/>
    <w:rsid w:val="1356385F"/>
    <w:rsid w:val="1360023A"/>
    <w:rsid w:val="136321F4"/>
    <w:rsid w:val="136D25DA"/>
    <w:rsid w:val="136F2FDE"/>
    <w:rsid w:val="136F66CF"/>
    <w:rsid w:val="13722A67"/>
    <w:rsid w:val="137C48B0"/>
    <w:rsid w:val="137D719C"/>
    <w:rsid w:val="13822C41"/>
    <w:rsid w:val="13840BAB"/>
    <w:rsid w:val="138D19B6"/>
    <w:rsid w:val="139C56E1"/>
    <w:rsid w:val="139D148E"/>
    <w:rsid w:val="13A1293A"/>
    <w:rsid w:val="13A32386"/>
    <w:rsid w:val="13A46379"/>
    <w:rsid w:val="13A51F3C"/>
    <w:rsid w:val="13B14F39"/>
    <w:rsid w:val="13BB1DCA"/>
    <w:rsid w:val="13BF4726"/>
    <w:rsid w:val="13F866C4"/>
    <w:rsid w:val="14096514"/>
    <w:rsid w:val="140E2149"/>
    <w:rsid w:val="141B23B3"/>
    <w:rsid w:val="14283366"/>
    <w:rsid w:val="142E3000"/>
    <w:rsid w:val="14373691"/>
    <w:rsid w:val="1437543F"/>
    <w:rsid w:val="143D7EDA"/>
    <w:rsid w:val="144105DB"/>
    <w:rsid w:val="14424A3B"/>
    <w:rsid w:val="144415AB"/>
    <w:rsid w:val="14466E74"/>
    <w:rsid w:val="144A50C0"/>
    <w:rsid w:val="145315F0"/>
    <w:rsid w:val="145703A2"/>
    <w:rsid w:val="145E607B"/>
    <w:rsid w:val="14620BFA"/>
    <w:rsid w:val="147B1174"/>
    <w:rsid w:val="14902DA1"/>
    <w:rsid w:val="14926B19"/>
    <w:rsid w:val="14AB1989"/>
    <w:rsid w:val="14B940A6"/>
    <w:rsid w:val="14C447F8"/>
    <w:rsid w:val="14C842E9"/>
    <w:rsid w:val="14D66CCC"/>
    <w:rsid w:val="14F265C9"/>
    <w:rsid w:val="15026292"/>
    <w:rsid w:val="150426E8"/>
    <w:rsid w:val="151508C6"/>
    <w:rsid w:val="151A3CF7"/>
    <w:rsid w:val="151B54D7"/>
    <w:rsid w:val="15202377"/>
    <w:rsid w:val="152245DE"/>
    <w:rsid w:val="152F3911"/>
    <w:rsid w:val="15567100"/>
    <w:rsid w:val="155902AC"/>
    <w:rsid w:val="155F086C"/>
    <w:rsid w:val="155F216C"/>
    <w:rsid w:val="156C1A16"/>
    <w:rsid w:val="15704C2A"/>
    <w:rsid w:val="1574621E"/>
    <w:rsid w:val="15875F52"/>
    <w:rsid w:val="159D3D21"/>
    <w:rsid w:val="15AC3C0A"/>
    <w:rsid w:val="15BD7BC5"/>
    <w:rsid w:val="15C31568"/>
    <w:rsid w:val="15CF1123"/>
    <w:rsid w:val="15DB44F0"/>
    <w:rsid w:val="15E50ECA"/>
    <w:rsid w:val="15EF3AF7"/>
    <w:rsid w:val="15FE270B"/>
    <w:rsid w:val="1602323B"/>
    <w:rsid w:val="16105F47"/>
    <w:rsid w:val="16114CC3"/>
    <w:rsid w:val="16133C89"/>
    <w:rsid w:val="161C1F83"/>
    <w:rsid w:val="162068B0"/>
    <w:rsid w:val="16230020"/>
    <w:rsid w:val="162C38CF"/>
    <w:rsid w:val="162D02AE"/>
    <w:rsid w:val="162E0AC3"/>
    <w:rsid w:val="16367B47"/>
    <w:rsid w:val="163E5154"/>
    <w:rsid w:val="16407198"/>
    <w:rsid w:val="16431EEB"/>
    <w:rsid w:val="1658169C"/>
    <w:rsid w:val="165D6CB3"/>
    <w:rsid w:val="165F2A2B"/>
    <w:rsid w:val="166E0EC0"/>
    <w:rsid w:val="16726C02"/>
    <w:rsid w:val="167453B3"/>
    <w:rsid w:val="167A5AB7"/>
    <w:rsid w:val="168129A1"/>
    <w:rsid w:val="168C7C83"/>
    <w:rsid w:val="168D3A3C"/>
    <w:rsid w:val="168E6363"/>
    <w:rsid w:val="16945039"/>
    <w:rsid w:val="16957E5C"/>
    <w:rsid w:val="1699418F"/>
    <w:rsid w:val="169A132F"/>
    <w:rsid w:val="169D602E"/>
    <w:rsid w:val="169F376F"/>
    <w:rsid w:val="16A5504B"/>
    <w:rsid w:val="16A668AC"/>
    <w:rsid w:val="16AD5AC3"/>
    <w:rsid w:val="16B32332"/>
    <w:rsid w:val="16BF3133"/>
    <w:rsid w:val="16C4115D"/>
    <w:rsid w:val="16CE195E"/>
    <w:rsid w:val="16D2144F"/>
    <w:rsid w:val="16E00FCD"/>
    <w:rsid w:val="16E15B36"/>
    <w:rsid w:val="16EA58A7"/>
    <w:rsid w:val="17005140"/>
    <w:rsid w:val="17064158"/>
    <w:rsid w:val="17116285"/>
    <w:rsid w:val="172961BE"/>
    <w:rsid w:val="172C2B7A"/>
    <w:rsid w:val="1732013F"/>
    <w:rsid w:val="17345C65"/>
    <w:rsid w:val="17364892"/>
    <w:rsid w:val="17465999"/>
    <w:rsid w:val="17467C1C"/>
    <w:rsid w:val="174D4F79"/>
    <w:rsid w:val="17580A4C"/>
    <w:rsid w:val="17612417"/>
    <w:rsid w:val="176E3033"/>
    <w:rsid w:val="17712A16"/>
    <w:rsid w:val="177249E0"/>
    <w:rsid w:val="17780248"/>
    <w:rsid w:val="17800EAB"/>
    <w:rsid w:val="1780342C"/>
    <w:rsid w:val="1787048B"/>
    <w:rsid w:val="17872239"/>
    <w:rsid w:val="179F06C8"/>
    <w:rsid w:val="17B91E87"/>
    <w:rsid w:val="17B9616B"/>
    <w:rsid w:val="17BE64CA"/>
    <w:rsid w:val="17D24A27"/>
    <w:rsid w:val="17DF7B99"/>
    <w:rsid w:val="17E21DCE"/>
    <w:rsid w:val="17E458DD"/>
    <w:rsid w:val="17E742B5"/>
    <w:rsid w:val="17E86A50"/>
    <w:rsid w:val="17EE4066"/>
    <w:rsid w:val="17F02E90"/>
    <w:rsid w:val="17F95422"/>
    <w:rsid w:val="17FD074D"/>
    <w:rsid w:val="180968B5"/>
    <w:rsid w:val="180D1CF8"/>
    <w:rsid w:val="181C2A9C"/>
    <w:rsid w:val="18267CA4"/>
    <w:rsid w:val="182B630C"/>
    <w:rsid w:val="1845512D"/>
    <w:rsid w:val="18512847"/>
    <w:rsid w:val="185443E6"/>
    <w:rsid w:val="185540E5"/>
    <w:rsid w:val="18581E27"/>
    <w:rsid w:val="18635AD1"/>
    <w:rsid w:val="186E164B"/>
    <w:rsid w:val="18704C0C"/>
    <w:rsid w:val="1881137E"/>
    <w:rsid w:val="188624F1"/>
    <w:rsid w:val="18866995"/>
    <w:rsid w:val="189C60B9"/>
    <w:rsid w:val="18A045E2"/>
    <w:rsid w:val="18A137CE"/>
    <w:rsid w:val="18A64941"/>
    <w:rsid w:val="18AB3C5C"/>
    <w:rsid w:val="18C0143A"/>
    <w:rsid w:val="18C54754"/>
    <w:rsid w:val="18C654B3"/>
    <w:rsid w:val="18C7166E"/>
    <w:rsid w:val="18C85F48"/>
    <w:rsid w:val="18D019BE"/>
    <w:rsid w:val="18D74616"/>
    <w:rsid w:val="18DA45EA"/>
    <w:rsid w:val="18DC6A11"/>
    <w:rsid w:val="18E813AA"/>
    <w:rsid w:val="18EB272B"/>
    <w:rsid w:val="18F37025"/>
    <w:rsid w:val="18F8683F"/>
    <w:rsid w:val="19000AAD"/>
    <w:rsid w:val="19067820"/>
    <w:rsid w:val="190E13F0"/>
    <w:rsid w:val="191E46D7"/>
    <w:rsid w:val="193B7ED8"/>
    <w:rsid w:val="19410B0E"/>
    <w:rsid w:val="194221BD"/>
    <w:rsid w:val="194859F8"/>
    <w:rsid w:val="19512AB7"/>
    <w:rsid w:val="19515E8B"/>
    <w:rsid w:val="195E521C"/>
    <w:rsid w:val="195F5C2B"/>
    <w:rsid w:val="196A2745"/>
    <w:rsid w:val="197210C7"/>
    <w:rsid w:val="19744BBA"/>
    <w:rsid w:val="19744E81"/>
    <w:rsid w:val="19800B61"/>
    <w:rsid w:val="19843232"/>
    <w:rsid w:val="19855E4D"/>
    <w:rsid w:val="1988673C"/>
    <w:rsid w:val="198D1B8E"/>
    <w:rsid w:val="199F125E"/>
    <w:rsid w:val="19A277FE"/>
    <w:rsid w:val="19AA66B3"/>
    <w:rsid w:val="19B867E5"/>
    <w:rsid w:val="19C2019A"/>
    <w:rsid w:val="19DD2B4C"/>
    <w:rsid w:val="19E576EB"/>
    <w:rsid w:val="19EB43CB"/>
    <w:rsid w:val="19EC47A6"/>
    <w:rsid w:val="19EC6C78"/>
    <w:rsid w:val="19F416DC"/>
    <w:rsid w:val="19F45B80"/>
    <w:rsid w:val="1A002DB1"/>
    <w:rsid w:val="1A0E07CE"/>
    <w:rsid w:val="1A14446F"/>
    <w:rsid w:val="1A18361C"/>
    <w:rsid w:val="1A2A221B"/>
    <w:rsid w:val="1A345156"/>
    <w:rsid w:val="1A3674DF"/>
    <w:rsid w:val="1A390444"/>
    <w:rsid w:val="1A3F70E3"/>
    <w:rsid w:val="1A51383C"/>
    <w:rsid w:val="1A5253FC"/>
    <w:rsid w:val="1A5E29B4"/>
    <w:rsid w:val="1A6515CA"/>
    <w:rsid w:val="1A676352"/>
    <w:rsid w:val="1A7501E8"/>
    <w:rsid w:val="1A750A6F"/>
    <w:rsid w:val="1A772A39"/>
    <w:rsid w:val="1A7E203A"/>
    <w:rsid w:val="1A7E2A45"/>
    <w:rsid w:val="1A7F5449"/>
    <w:rsid w:val="1AAB6EB9"/>
    <w:rsid w:val="1AB05F4B"/>
    <w:rsid w:val="1ABE71D3"/>
    <w:rsid w:val="1AC34361"/>
    <w:rsid w:val="1AC35C7E"/>
    <w:rsid w:val="1AC400EC"/>
    <w:rsid w:val="1AC71354"/>
    <w:rsid w:val="1ACF7FE9"/>
    <w:rsid w:val="1AE77B0C"/>
    <w:rsid w:val="1AEF2C9F"/>
    <w:rsid w:val="1AF6164B"/>
    <w:rsid w:val="1B06750C"/>
    <w:rsid w:val="1B0C263C"/>
    <w:rsid w:val="1B125105"/>
    <w:rsid w:val="1B154000"/>
    <w:rsid w:val="1B155291"/>
    <w:rsid w:val="1B15744B"/>
    <w:rsid w:val="1B1C090D"/>
    <w:rsid w:val="1B1F09DB"/>
    <w:rsid w:val="1B263F1D"/>
    <w:rsid w:val="1B3347D3"/>
    <w:rsid w:val="1B391A9C"/>
    <w:rsid w:val="1B3C2F0E"/>
    <w:rsid w:val="1B466AA1"/>
    <w:rsid w:val="1B4A1EFB"/>
    <w:rsid w:val="1B5413EA"/>
    <w:rsid w:val="1B577DA2"/>
    <w:rsid w:val="1B6075DC"/>
    <w:rsid w:val="1B612DA1"/>
    <w:rsid w:val="1B636B19"/>
    <w:rsid w:val="1B724A47"/>
    <w:rsid w:val="1B7D6991"/>
    <w:rsid w:val="1B856849"/>
    <w:rsid w:val="1B932335"/>
    <w:rsid w:val="1B937A0D"/>
    <w:rsid w:val="1B997ADF"/>
    <w:rsid w:val="1BA23AE5"/>
    <w:rsid w:val="1BA3696F"/>
    <w:rsid w:val="1BA36ACA"/>
    <w:rsid w:val="1BA861DD"/>
    <w:rsid w:val="1BA921A5"/>
    <w:rsid w:val="1BB245A4"/>
    <w:rsid w:val="1BB67AE8"/>
    <w:rsid w:val="1BC02022"/>
    <w:rsid w:val="1BCD0942"/>
    <w:rsid w:val="1BDA5771"/>
    <w:rsid w:val="1BDA7105"/>
    <w:rsid w:val="1BDB35E8"/>
    <w:rsid w:val="1BE22360"/>
    <w:rsid w:val="1BE375FC"/>
    <w:rsid w:val="1BED4878"/>
    <w:rsid w:val="1BEE6D2B"/>
    <w:rsid w:val="1C033E58"/>
    <w:rsid w:val="1C0B7651"/>
    <w:rsid w:val="1C0E2F29"/>
    <w:rsid w:val="1C0F4EF3"/>
    <w:rsid w:val="1C1077F8"/>
    <w:rsid w:val="1C1531DB"/>
    <w:rsid w:val="1C266030"/>
    <w:rsid w:val="1C2E5379"/>
    <w:rsid w:val="1C2F7F77"/>
    <w:rsid w:val="1C35145D"/>
    <w:rsid w:val="1C3C4068"/>
    <w:rsid w:val="1C40656F"/>
    <w:rsid w:val="1C55210D"/>
    <w:rsid w:val="1C5A38B6"/>
    <w:rsid w:val="1C5B6CAC"/>
    <w:rsid w:val="1C675EB2"/>
    <w:rsid w:val="1C6A166A"/>
    <w:rsid w:val="1C706191"/>
    <w:rsid w:val="1CA7512B"/>
    <w:rsid w:val="1CAC44F0"/>
    <w:rsid w:val="1CAC6D99"/>
    <w:rsid w:val="1CB00640"/>
    <w:rsid w:val="1CB20104"/>
    <w:rsid w:val="1CB57E73"/>
    <w:rsid w:val="1CBC4A3B"/>
    <w:rsid w:val="1CC90935"/>
    <w:rsid w:val="1CCE7DBD"/>
    <w:rsid w:val="1CD852E5"/>
    <w:rsid w:val="1CDB00B0"/>
    <w:rsid w:val="1CE04199"/>
    <w:rsid w:val="1CE960B7"/>
    <w:rsid w:val="1D0A0FEB"/>
    <w:rsid w:val="1D0B1216"/>
    <w:rsid w:val="1D17405F"/>
    <w:rsid w:val="1D1A76AB"/>
    <w:rsid w:val="1D1D0F4A"/>
    <w:rsid w:val="1D2136AA"/>
    <w:rsid w:val="1D236587"/>
    <w:rsid w:val="1D427753"/>
    <w:rsid w:val="1D4E1969"/>
    <w:rsid w:val="1D4F7BF9"/>
    <w:rsid w:val="1D5052F0"/>
    <w:rsid w:val="1D532BBD"/>
    <w:rsid w:val="1D540E0F"/>
    <w:rsid w:val="1D5801D4"/>
    <w:rsid w:val="1D5804C5"/>
    <w:rsid w:val="1D5F6B81"/>
    <w:rsid w:val="1D6467D4"/>
    <w:rsid w:val="1D7160DC"/>
    <w:rsid w:val="1D790876"/>
    <w:rsid w:val="1D7E7C3A"/>
    <w:rsid w:val="1D813BCE"/>
    <w:rsid w:val="1D994A74"/>
    <w:rsid w:val="1DA0641B"/>
    <w:rsid w:val="1DA13929"/>
    <w:rsid w:val="1DA6442D"/>
    <w:rsid w:val="1DAE3F9A"/>
    <w:rsid w:val="1DB36CC6"/>
    <w:rsid w:val="1DBD1371"/>
    <w:rsid w:val="1DCD0BC2"/>
    <w:rsid w:val="1DDA0080"/>
    <w:rsid w:val="1DDE2D97"/>
    <w:rsid w:val="1DE0617B"/>
    <w:rsid w:val="1DE20E4B"/>
    <w:rsid w:val="1DE57613"/>
    <w:rsid w:val="1DEF28E6"/>
    <w:rsid w:val="1DFE0D7B"/>
    <w:rsid w:val="1DFE71E1"/>
    <w:rsid w:val="1E0102F8"/>
    <w:rsid w:val="1E0740D4"/>
    <w:rsid w:val="1E0B5246"/>
    <w:rsid w:val="1E111D67"/>
    <w:rsid w:val="1E135098"/>
    <w:rsid w:val="1E175276"/>
    <w:rsid w:val="1E223DF9"/>
    <w:rsid w:val="1E350CB4"/>
    <w:rsid w:val="1E380731"/>
    <w:rsid w:val="1E3C0ECB"/>
    <w:rsid w:val="1E505222"/>
    <w:rsid w:val="1E5C4BF8"/>
    <w:rsid w:val="1E7B23CC"/>
    <w:rsid w:val="1E805C34"/>
    <w:rsid w:val="1E8A260F"/>
    <w:rsid w:val="1E941136"/>
    <w:rsid w:val="1EA2204E"/>
    <w:rsid w:val="1EA24FE1"/>
    <w:rsid w:val="1EA305EF"/>
    <w:rsid w:val="1EAE09F3"/>
    <w:rsid w:val="1EBE0837"/>
    <w:rsid w:val="1EC65D3D"/>
    <w:rsid w:val="1EDF295B"/>
    <w:rsid w:val="1EE933D5"/>
    <w:rsid w:val="1EF87E98"/>
    <w:rsid w:val="1EFB16BD"/>
    <w:rsid w:val="1F146462"/>
    <w:rsid w:val="1F3F164B"/>
    <w:rsid w:val="1F461286"/>
    <w:rsid w:val="1F495D13"/>
    <w:rsid w:val="1F5046EB"/>
    <w:rsid w:val="1F533349"/>
    <w:rsid w:val="1F646872"/>
    <w:rsid w:val="1F7915EB"/>
    <w:rsid w:val="1F8B2AE2"/>
    <w:rsid w:val="1F971487"/>
    <w:rsid w:val="1F9A5044"/>
    <w:rsid w:val="1FA77B14"/>
    <w:rsid w:val="1FAA128A"/>
    <w:rsid w:val="1FAF2323"/>
    <w:rsid w:val="1FBA5176"/>
    <w:rsid w:val="1FC80960"/>
    <w:rsid w:val="1FC85AE5"/>
    <w:rsid w:val="1FCC58FB"/>
    <w:rsid w:val="1FDA4068"/>
    <w:rsid w:val="1FDF3693"/>
    <w:rsid w:val="1FE65F6B"/>
    <w:rsid w:val="1FFF56DF"/>
    <w:rsid w:val="2001415D"/>
    <w:rsid w:val="20085EE1"/>
    <w:rsid w:val="200A7BB4"/>
    <w:rsid w:val="200E45BB"/>
    <w:rsid w:val="20127824"/>
    <w:rsid w:val="2027280B"/>
    <w:rsid w:val="202A2AF5"/>
    <w:rsid w:val="202A40A9"/>
    <w:rsid w:val="20317BA4"/>
    <w:rsid w:val="20322F5E"/>
    <w:rsid w:val="203727AF"/>
    <w:rsid w:val="203D63DC"/>
    <w:rsid w:val="2041079C"/>
    <w:rsid w:val="20464723"/>
    <w:rsid w:val="206B1B50"/>
    <w:rsid w:val="20713EC3"/>
    <w:rsid w:val="20815038"/>
    <w:rsid w:val="208A69E4"/>
    <w:rsid w:val="208B7348"/>
    <w:rsid w:val="208F4E42"/>
    <w:rsid w:val="20A61D0E"/>
    <w:rsid w:val="20A7453F"/>
    <w:rsid w:val="20AD0B0D"/>
    <w:rsid w:val="20B322F1"/>
    <w:rsid w:val="20B41BC5"/>
    <w:rsid w:val="20B56020"/>
    <w:rsid w:val="20B94930"/>
    <w:rsid w:val="20BB11A5"/>
    <w:rsid w:val="20BF5AA4"/>
    <w:rsid w:val="20C02051"/>
    <w:rsid w:val="20D766AE"/>
    <w:rsid w:val="20DA4DB9"/>
    <w:rsid w:val="20DA787E"/>
    <w:rsid w:val="20EB4EDE"/>
    <w:rsid w:val="20ED60C3"/>
    <w:rsid w:val="20F6042F"/>
    <w:rsid w:val="20FF1C9F"/>
    <w:rsid w:val="210937B1"/>
    <w:rsid w:val="21093CBF"/>
    <w:rsid w:val="210F295C"/>
    <w:rsid w:val="212E4139"/>
    <w:rsid w:val="21515EB6"/>
    <w:rsid w:val="215B2910"/>
    <w:rsid w:val="21621621"/>
    <w:rsid w:val="217F7756"/>
    <w:rsid w:val="218D1028"/>
    <w:rsid w:val="2197751D"/>
    <w:rsid w:val="21A40497"/>
    <w:rsid w:val="21A47E8B"/>
    <w:rsid w:val="21D679DF"/>
    <w:rsid w:val="21DD6E7E"/>
    <w:rsid w:val="21E76768"/>
    <w:rsid w:val="21E95DD9"/>
    <w:rsid w:val="21EF55AB"/>
    <w:rsid w:val="21F664BF"/>
    <w:rsid w:val="21FA6AA7"/>
    <w:rsid w:val="22020ACD"/>
    <w:rsid w:val="2212098A"/>
    <w:rsid w:val="22165EE2"/>
    <w:rsid w:val="221B28B1"/>
    <w:rsid w:val="2229782D"/>
    <w:rsid w:val="22387B97"/>
    <w:rsid w:val="223E1F22"/>
    <w:rsid w:val="22440FB8"/>
    <w:rsid w:val="224513FB"/>
    <w:rsid w:val="22521696"/>
    <w:rsid w:val="22605054"/>
    <w:rsid w:val="226F5814"/>
    <w:rsid w:val="22786850"/>
    <w:rsid w:val="227B4CD2"/>
    <w:rsid w:val="228F5B46"/>
    <w:rsid w:val="22925F36"/>
    <w:rsid w:val="229C6999"/>
    <w:rsid w:val="22AD6D9B"/>
    <w:rsid w:val="22AF6AE8"/>
    <w:rsid w:val="22B12860"/>
    <w:rsid w:val="22B42350"/>
    <w:rsid w:val="22B717AA"/>
    <w:rsid w:val="22B91715"/>
    <w:rsid w:val="22B9517A"/>
    <w:rsid w:val="22BA5BB9"/>
    <w:rsid w:val="22C53076"/>
    <w:rsid w:val="22CE3412"/>
    <w:rsid w:val="22D30A28"/>
    <w:rsid w:val="22D632DA"/>
    <w:rsid w:val="22E569AE"/>
    <w:rsid w:val="22EB0F80"/>
    <w:rsid w:val="22F32E79"/>
    <w:rsid w:val="230E7CB2"/>
    <w:rsid w:val="23145C21"/>
    <w:rsid w:val="232C1EE7"/>
    <w:rsid w:val="23341641"/>
    <w:rsid w:val="233578A3"/>
    <w:rsid w:val="235A0180"/>
    <w:rsid w:val="2378337E"/>
    <w:rsid w:val="237B69CA"/>
    <w:rsid w:val="238A7EA7"/>
    <w:rsid w:val="238B1DA2"/>
    <w:rsid w:val="238D1D74"/>
    <w:rsid w:val="239C4FAC"/>
    <w:rsid w:val="239D7097"/>
    <w:rsid w:val="23B3078E"/>
    <w:rsid w:val="23BD161F"/>
    <w:rsid w:val="23BD6FE3"/>
    <w:rsid w:val="23C10881"/>
    <w:rsid w:val="23C60DF7"/>
    <w:rsid w:val="23C86623"/>
    <w:rsid w:val="23D42CAA"/>
    <w:rsid w:val="23D55435"/>
    <w:rsid w:val="23EC6A1C"/>
    <w:rsid w:val="23F22574"/>
    <w:rsid w:val="23F35E85"/>
    <w:rsid w:val="23F724F4"/>
    <w:rsid w:val="23F91212"/>
    <w:rsid w:val="24013925"/>
    <w:rsid w:val="240510B5"/>
    <w:rsid w:val="240770B2"/>
    <w:rsid w:val="24125580"/>
    <w:rsid w:val="2412732E"/>
    <w:rsid w:val="24172B97"/>
    <w:rsid w:val="241F37F9"/>
    <w:rsid w:val="24477E2B"/>
    <w:rsid w:val="2467493C"/>
    <w:rsid w:val="246B49F7"/>
    <w:rsid w:val="246C2EE2"/>
    <w:rsid w:val="246F652F"/>
    <w:rsid w:val="24707B88"/>
    <w:rsid w:val="24726696"/>
    <w:rsid w:val="247A4741"/>
    <w:rsid w:val="248E2062"/>
    <w:rsid w:val="248F74E2"/>
    <w:rsid w:val="24954DF0"/>
    <w:rsid w:val="249B3BCC"/>
    <w:rsid w:val="24A67D23"/>
    <w:rsid w:val="24CA149F"/>
    <w:rsid w:val="24D57081"/>
    <w:rsid w:val="24D90223"/>
    <w:rsid w:val="24E32E04"/>
    <w:rsid w:val="24E4778F"/>
    <w:rsid w:val="24E94533"/>
    <w:rsid w:val="24EA2059"/>
    <w:rsid w:val="24F4656C"/>
    <w:rsid w:val="250A26FB"/>
    <w:rsid w:val="250A6257"/>
    <w:rsid w:val="2522492D"/>
    <w:rsid w:val="25274927"/>
    <w:rsid w:val="25287D17"/>
    <w:rsid w:val="2536704D"/>
    <w:rsid w:val="254135F9"/>
    <w:rsid w:val="254E31B2"/>
    <w:rsid w:val="255310D4"/>
    <w:rsid w:val="25541EB2"/>
    <w:rsid w:val="25555A22"/>
    <w:rsid w:val="255676EF"/>
    <w:rsid w:val="25597FFC"/>
    <w:rsid w:val="255A6C57"/>
    <w:rsid w:val="257336E7"/>
    <w:rsid w:val="257A6826"/>
    <w:rsid w:val="25803D3A"/>
    <w:rsid w:val="25873D81"/>
    <w:rsid w:val="25981AB5"/>
    <w:rsid w:val="259B3353"/>
    <w:rsid w:val="259C35A3"/>
    <w:rsid w:val="25A450EF"/>
    <w:rsid w:val="25AA108C"/>
    <w:rsid w:val="25AC462B"/>
    <w:rsid w:val="25AD0F48"/>
    <w:rsid w:val="25B52667"/>
    <w:rsid w:val="25B6170A"/>
    <w:rsid w:val="25B924F3"/>
    <w:rsid w:val="25C603D0"/>
    <w:rsid w:val="25D23219"/>
    <w:rsid w:val="25D37972"/>
    <w:rsid w:val="25D4192E"/>
    <w:rsid w:val="25D9766F"/>
    <w:rsid w:val="25E53A11"/>
    <w:rsid w:val="25FD2A6E"/>
    <w:rsid w:val="25FE2D55"/>
    <w:rsid w:val="260053A6"/>
    <w:rsid w:val="26075247"/>
    <w:rsid w:val="261C63DC"/>
    <w:rsid w:val="26213859"/>
    <w:rsid w:val="26287BFB"/>
    <w:rsid w:val="263129AE"/>
    <w:rsid w:val="263D2198"/>
    <w:rsid w:val="263E266D"/>
    <w:rsid w:val="26535278"/>
    <w:rsid w:val="26563C73"/>
    <w:rsid w:val="26597496"/>
    <w:rsid w:val="265A61FF"/>
    <w:rsid w:val="265C6D9E"/>
    <w:rsid w:val="265C7C7F"/>
    <w:rsid w:val="266876DA"/>
    <w:rsid w:val="267267AA"/>
    <w:rsid w:val="267A6D2E"/>
    <w:rsid w:val="267B38E1"/>
    <w:rsid w:val="267C4F33"/>
    <w:rsid w:val="268838D8"/>
    <w:rsid w:val="268C34BE"/>
    <w:rsid w:val="269F3FA4"/>
    <w:rsid w:val="26AC056A"/>
    <w:rsid w:val="26B96187"/>
    <w:rsid w:val="26BA70C9"/>
    <w:rsid w:val="26BC54B1"/>
    <w:rsid w:val="26BD3BFD"/>
    <w:rsid w:val="26C1503C"/>
    <w:rsid w:val="26CF7FC9"/>
    <w:rsid w:val="26D14D86"/>
    <w:rsid w:val="26D66D39"/>
    <w:rsid w:val="26D703BB"/>
    <w:rsid w:val="26D82637"/>
    <w:rsid w:val="26DB004C"/>
    <w:rsid w:val="26DE0981"/>
    <w:rsid w:val="26E054C2"/>
    <w:rsid w:val="26F23447"/>
    <w:rsid w:val="26FF1042"/>
    <w:rsid w:val="27063C3F"/>
    <w:rsid w:val="2709752E"/>
    <w:rsid w:val="27181100"/>
    <w:rsid w:val="27194E78"/>
    <w:rsid w:val="27221F7E"/>
    <w:rsid w:val="27326899"/>
    <w:rsid w:val="273B588C"/>
    <w:rsid w:val="27402404"/>
    <w:rsid w:val="27421CD9"/>
    <w:rsid w:val="27484E85"/>
    <w:rsid w:val="274A5031"/>
    <w:rsid w:val="27502247"/>
    <w:rsid w:val="275068CA"/>
    <w:rsid w:val="27537B5D"/>
    <w:rsid w:val="275F6D2E"/>
    <w:rsid w:val="27661C4E"/>
    <w:rsid w:val="27681344"/>
    <w:rsid w:val="276D56B7"/>
    <w:rsid w:val="276F59B1"/>
    <w:rsid w:val="276F6F14"/>
    <w:rsid w:val="27702CEA"/>
    <w:rsid w:val="277060EF"/>
    <w:rsid w:val="27761936"/>
    <w:rsid w:val="278E4F1E"/>
    <w:rsid w:val="27960276"/>
    <w:rsid w:val="27962287"/>
    <w:rsid w:val="27987B12"/>
    <w:rsid w:val="279D33B3"/>
    <w:rsid w:val="27A36B43"/>
    <w:rsid w:val="27AB3D22"/>
    <w:rsid w:val="27B54BA0"/>
    <w:rsid w:val="27B84691"/>
    <w:rsid w:val="27CB0983"/>
    <w:rsid w:val="27EC05D9"/>
    <w:rsid w:val="27ED3DE7"/>
    <w:rsid w:val="27F23390"/>
    <w:rsid w:val="28095F37"/>
    <w:rsid w:val="280A36D9"/>
    <w:rsid w:val="282835C4"/>
    <w:rsid w:val="282A34FA"/>
    <w:rsid w:val="282B4C86"/>
    <w:rsid w:val="282E424F"/>
    <w:rsid w:val="282E4CB3"/>
    <w:rsid w:val="28414686"/>
    <w:rsid w:val="284303FE"/>
    <w:rsid w:val="284566FB"/>
    <w:rsid w:val="285857A7"/>
    <w:rsid w:val="286A598B"/>
    <w:rsid w:val="286E3F18"/>
    <w:rsid w:val="287103DB"/>
    <w:rsid w:val="288F7729"/>
    <w:rsid w:val="289360AA"/>
    <w:rsid w:val="289A7DDE"/>
    <w:rsid w:val="289C4061"/>
    <w:rsid w:val="28A8200F"/>
    <w:rsid w:val="28B66606"/>
    <w:rsid w:val="28DA4766"/>
    <w:rsid w:val="28DE3C83"/>
    <w:rsid w:val="28E12E21"/>
    <w:rsid w:val="28EF3AAA"/>
    <w:rsid w:val="29022526"/>
    <w:rsid w:val="290532A7"/>
    <w:rsid w:val="29057462"/>
    <w:rsid w:val="291114AB"/>
    <w:rsid w:val="292373AC"/>
    <w:rsid w:val="292C08CA"/>
    <w:rsid w:val="292C5F75"/>
    <w:rsid w:val="293027CD"/>
    <w:rsid w:val="293073E9"/>
    <w:rsid w:val="294C078D"/>
    <w:rsid w:val="295E2B6D"/>
    <w:rsid w:val="29654BFF"/>
    <w:rsid w:val="29657F00"/>
    <w:rsid w:val="29711FD4"/>
    <w:rsid w:val="29797455"/>
    <w:rsid w:val="298244EE"/>
    <w:rsid w:val="298A0B02"/>
    <w:rsid w:val="299C32E5"/>
    <w:rsid w:val="29A273A6"/>
    <w:rsid w:val="29A91D28"/>
    <w:rsid w:val="29AC55DD"/>
    <w:rsid w:val="29AD2F55"/>
    <w:rsid w:val="29C1790B"/>
    <w:rsid w:val="29C3221B"/>
    <w:rsid w:val="29CD4C31"/>
    <w:rsid w:val="29CD5749"/>
    <w:rsid w:val="29D41951"/>
    <w:rsid w:val="29E11498"/>
    <w:rsid w:val="29E614D2"/>
    <w:rsid w:val="29E72555"/>
    <w:rsid w:val="29F14929"/>
    <w:rsid w:val="29F8663A"/>
    <w:rsid w:val="2A017794"/>
    <w:rsid w:val="2A02031C"/>
    <w:rsid w:val="2A047719"/>
    <w:rsid w:val="2A056724"/>
    <w:rsid w:val="2A0B6CFA"/>
    <w:rsid w:val="2A0D4321"/>
    <w:rsid w:val="2A0E0598"/>
    <w:rsid w:val="2A123AFF"/>
    <w:rsid w:val="2A272825"/>
    <w:rsid w:val="2A322633"/>
    <w:rsid w:val="2A3C5105"/>
    <w:rsid w:val="2A4456C9"/>
    <w:rsid w:val="2A530D92"/>
    <w:rsid w:val="2A585A67"/>
    <w:rsid w:val="2A5D7B1A"/>
    <w:rsid w:val="2A6308E4"/>
    <w:rsid w:val="2A697EC4"/>
    <w:rsid w:val="2A743DB6"/>
    <w:rsid w:val="2A7F4677"/>
    <w:rsid w:val="2A9750DC"/>
    <w:rsid w:val="2AA8279A"/>
    <w:rsid w:val="2AAF2E0D"/>
    <w:rsid w:val="2AB43B94"/>
    <w:rsid w:val="2ABD7C6A"/>
    <w:rsid w:val="2AC045A7"/>
    <w:rsid w:val="2AC11AAE"/>
    <w:rsid w:val="2ACB19DA"/>
    <w:rsid w:val="2ACC5CA8"/>
    <w:rsid w:val="2ACF32E3"/>
    <w:rsid w:val="2AD05060"/>
    <w:rsid w:val="2AD57DEE"/>
    <w:rsid w:val="2AD86063"/>
    <w:rsid w:val="2AE8441B"/>
    <w:rsid w:val="2AE87E60"/>
    <w:rsid w:val="2AEA2022"/>
    <w:rsid w:val="2AF858CA"/>
    <w:rsid w:val="2AF86E01"/>
    <w:rsid w:val="2AFC5DE4"/>
    <w:rsid w:val="2AFD108B"/>
    <w:rsid w:val="2AFE098F"/>
    <w:rsid w:val="2B0562AF"/>
    <w:rsid w:val="2B065713"/>
    <w:rsid w:val="2B087E3A"/>
    <w:rsid w:val="2B0A4EE8"/>
    <w:rsid w:val="2B112F6F"/>
    <w:rsid w:val="2B1240B8"/>
    <w:rsid w:val="2B22214A"/>
    <w:rsid w:val="2B287437"/>
    <w:rsid w:val="2B2C4D0A"/>
    <w:rsid w:val="2B331151"/>
    <w:rsid w:val="2B39306E"/>
    <w:rsid w:val="2B3A07C8"/>
    <w:rsid w:val="2B3C6C7B"/>
    <w:rsid w:val="2B402A14"/>
    <w:rsid w:val="2B403280"/>
    <w:rsid w:val="2B477C5D"/>
    <w:rsid w:val="2B482DD1"/>
    <w:rsid w:val="2B572741"/>
    <w:rsid w:val="2B596716"/>
    <w:rsid w:val="2B5B4633"/>
    <w:rsid w:val="2B6C7A30"/>
    <w:rsid w:val="2B6D0EA0"/>
    <w:rsid w:val="2B7C75CA"/>
    <w:rsid w:val="2B820EE4"/>
    <w:rsid w:val="2B856638"/>
    <w:rsid w:val="2B9351F9"/>
    <w:rsid w:val="2B956DFA"/>
    <w:rsid w:val="2B996587"/>
    <w:rsid w:val="2B9A6040"/>
    <w:rsid w:val="2BA016C4"/>
    <w:rsid w:val="2BA24AC5"/>
    <w:rsid w:val="2BB04BC3"/>
    <w:rsid w:val="2BB4440B"/>
    <w:rsid w:val="2BC74EA2"/>
    <w:rsid w:val="2BD13B0C"/>
    <w:rsid w:val="2BED496C"/>
    <w:rsid w:val="2BEE60E5"/>
    <w:rsid w:val="2BEF3496"/>
    <w:rsid w:val="2BF043F9"/>
    <w:rsid w:val="2BF17A51"/>
    <w:rsid w:val="2C144FDB"/>
    <w:rsid w:val="2C2108F2"/>
    <w:rsid w:val="2C22688D"/>
    <w:rsid w:val="2C35005E"/>
    <w:rsid w:val="2C387B4E"/>
    <w:rsid w:val="2C3F7F1C"/>
    <w:rsid w:val="2C4205AF"/>
    <w:rsid w:val="2C5A3D39"/>
    <w:rsid w:val="2C610E53"/>
    <w:rsid w:val="2C7A3409"/>
    <w:rsid w:val="2C7A714B"/>
    <w:rsid w:val="2C7B5C51"/>
    <w:rsid w:val="2C952D0F"/>
    <w:rsid w:val="2C9A4F6D"/>
    <w:rsid w:val="2C9C76AF"/>
    <w:rsid w:val="2CB61A5F"/>
    <w:rsid w:val="2CC43190"/>
    <w:rsid w:val="2CD7205C"/>
    <w:rsid w:val="2CDA3F89"/>
    <w:rsid w:val="2CED22F7"/>
    <w:rsid w:val="2CEE5473"/>
    <w:rsid w:val="2CEF00EF"/>
    <w:rsid w:val="2CFE1D6E"/>
    <w:rsid w:val="2CFF066C"/>
    <w:rsid w:val="2D172712"/>
    <w:rsid w:val="2D1B3AFA"/>
    <w:rsid w:val="2D2105E2"/>
    <w:rsid w:val="2D217CEA"/>
    <w:rsid w:val="2D336CD0"/>
    <w:rsid w:val="2D415DC3"/>
    <w:rsid w:val="2D524F3E"/>
    <w:rsid w:val="2D5E261A"/>
    <w:rsid w:val="2D6D1A79"/>
    <w:rsid w:val="2D7352E2"/>
    <w:rsid w:val="2D753F69"/>
    <w:rsid w:val="2D8E5895"/>
    <w:rsid w:val="2D96530F"/>
    <w:rsid w:val="2DA3549B"/>
    <w:rsid w:val="2DA92CBE"/>
    <w:rsid w:val="2DAE1C1A"/>
    <w:rsid w:val="2DCC2C44"/>
    <w:rsid w:val="2DDB2D8A"/>
    <w:rsid w:val="2DE31132"/>
    <w:rsid w:val="2DE610A2"/>
    <w:rsid w:val="2DED0030"/>
    <w:rsid w:val="2DEE09C8"/>
    <w:rsid w:val="2DEF06E0"/>
    <w:rsid w:val="2DFF51EF"/>
    <w:rsid w:val="2E014517"/>
    <w:rsid w:val="2E0660FB"/>
    <w:rsid w:val="2E0758C2"/>
    <w:rsid w:val="2E0C6EE3"/>
    <w:rsid w:val="2E113916"/>
    <w:rsid w:val="2E20089A"/>
    <w:rsid w:val="2E2A34C6"/>
    <w:rsid w:val="2E352597"/>
    <w:rsid w:val="2E3615D0"/>
    <w:rsid w:val="2E3A71F6"/>
    <w:rsid w:val="2E400F3C"/>
    <w:rsid w:val="2E440655"/>
    <w:rsid w:val="2E627418"/>
    <w:rsid w:val="2E651759"/>
    <w:rsid w:val="2E6B6B05"/>
    <w:rsid w:val="2E6F5A1E"/>
    <w:rsid w:val="2E953036"/>
    <w:rsid w:val="2E9E1201"/>
    <w:rsid w:val="2EAE2349"/>
    <w:rsid w:val="2EB21E3A"/>
    <w:rsid w:val="2EB43DB9"/>
    <w:rsid w:val="2EC53854"/>
    <w:rsid w:val="2ED94819"/>
    <w:rsid w:val="2EEB5B35"/>
    <w:rsid w:val="2EEF6BEA"/>
    <w:rsid w:val="2EFE6F26"/>
    <w:rsid w:val="2F0D7022"/>
    <w:rsid w:val="2F215A85"/>
    <w:rsid w:val="2F2209A6"/>
    <w:rsid w:val="2F407596"/>
    <w:rsid w:val="2F4E64CD"/>
    <w:rsid w:val="2F5A0BB0"/>
    <w:rsid w:val="2F5E78CC"/>
    <w:rsid w:val="2F6440CA"/>
    <w:rsid w:val="2F6E0ECD"/>
    <w:rsid w:val="2F7C5FA4"/>
    <w:rsid w:val="2F822BF1"/>
    <w:rsid w:val="2F8434EE"/>
    <w:rsid w:val="2F87159D"/>
    <w:rsid w:val="2F9D4EC9"/>
    <w:rsid w:val="2FA15A0A"/>
    <w:rsid w:val="2FAD2601"/>
    <w:rsid w:val="2FAF5689"/>
    <w:rsid w:val="2FB054D4"/>
    <w:rsid w:val="2FB45454"/>
    <w:rsid w:val="2FC260AC"/>
    <w:rsid w:val="2FC46D35"/>
    <w:rsid w:val="2FD758A9"/>
    <w:rsid w:val="2FD960EE"/>
    <w:rsid w:val="2FDA302C"/>
    <w:rsid w:val="2FDB716E"/>
    <w:rsid w:val="2FE9308B"/>
    <w:rsid w:val="2FEE760B"/>
    <w:rsid w:val="2FF10740"/>
    <w:rsid w:val="2FF124EE"/>
    <w:rsid w:val="2FF73956"/>
    <w:rsid w:val="2FF8225E"/>
    <w:rsid w:val="2FFF61F5"/>
    <w:rsid w:val="30093ADE"/>
    <w:rsid w:val="300E38DC"/>
    <w:rsid w:val="301B402A"/>
    <w:rsid w:val="303A1923"/>
    <w:rsid w:val="306925E3"/>
    <w:rsid w:val="307D37FE"/>
    <w:rsid w:val="307F4CBF"/>
    <w:rsid w:val="30847806"/>
    <w:rsid w:val="308C6F84"/>
    <w:rsid w:val="309317F7"/>
    <w:rsid w:val="3093495C"/>
    <w:rsid w:val="30980B68"/>
    <w:rsid w:val="309D6BE7"/>
    <w:rsid w:val="30C8448F"/>
    <w:rsid w:val="30DF00C0"/>
    <w:rsid w:val="30E405DC"/>
    <w:rsid w:val="30E43E01"/>
    <w:rsid w:val="30E8538C"/>
    <w:rsid w:val="30F05C48"/>
    <w:rsid w:val="30F2476F"/>
    <w:rsid w:val="30F66C88"/>
    <w:rsid w:val="30FC55EE"/>
    <w:rsid w:val="311C1421"/>
    <w:rsid w:val="31276A5E"/>
    <w:rsid w:val="31466869"/>
    <w:rsid w:val="31510669"/>
    <w:rsid w:val="31530A22"/>
    <w:rsid w:val="315B3433"/>
    <w:rsid w:val="315C7DFC"/>
    <w:rsid w:val="315E1E05"/>
    <w:rsid w:val="315F16D9"/>
    <w:rsid w:val="3161596C"/>
    <w:rsid w:val="31647A1E"/>
    <w:rsid w:val="3170793B"/>
    <w:rsid w:val="31726E06"/>
    <w:rsid w:val="31A137AE"/>
    <w:rsid w:val="31A17F44"/>
    <w:rsid w:val="31AF2BF4"/>
    <w:rsid w:val="31B13106"/>
    <w:rsid w:val="31B47C77"/>
    <w:rsid w:val="31BB1CA7"/>
    <w:rsid w:val="31D122CD"/>
    <w:rsid w:val="31DE1993"/>
    <w:rsid w:val="31E56082"/>
    <w:rsid w:val="31F27779"/>
    <w:rsid w:val="31F75BE8"/>
    <w:rsid w:val="31FB410C"/>
    <w:rsid w:val="31FE5396"/>
    <w:rsid w:val="32042DA9"/>
    <w:rsid w:val="3207424B"/>
    <w:rsid w:val="321C7E7D"/>
    <w:rsid w:val="322C49FC"/>
    <w:rsid w:val="323210A3"/>
    <w:rsid w:val="32384404"/>
    <w:rsid w:val="323F1C36"/>
    <w:rsid w:val="323F790E"/>
    <w:rsid w:val="324C5552"/>
    <w:rsid w:val="324F2253"/>
    <w:rsid w:val="32513718"/>
    <w:rsid w:val="325354D5"/>
    <w:rsid w:val="325823B4"/>
    <w:rsid w:val="3273368E"/>
    <w:rsid w:val="3276317E"/>
    <w:rsid w:val="32A016AF"/>
    <w:rsid w:val="32A01FA9"/>
    <w:rsid w:val="32B31CDC"/>
    <w:rsid w:val="32B76B39"/>
    <w:rsid w:val="32C97752"/>
    <w:rsid w:val="32D02752"/>
    <w:rsid w:val="32DA54BB"/>
    <w:rsid w:val="32DF6F75"/>
    <w:rsid w:val="32EE5DA1"/>
    <w:rsid w:val="33052F80"/>
    <w:rsid w:val="3316226B"/>
    <w:rsid w:val="331A1F09"/>
    <w:rsid w:val="331B5409"/>
    <w:rsid w:val="3321133C"/>
    <w:rsid w:val="33294694"/>
    <w:rsid w:val="333170A5"/>
    <w:rsid w:val="333504EE"/>
    <w:rsid w:val="33387AA1"/>
    <w:rsid w:val="333C13C1"/>
    <w:rsid w:val="333E05AF"/>
    <w:rsid w:val="334071FA"/>
    <w:rsid w:val="334119DE"/>
    <w:rsid w:val="33446DD8"/>
    <w:rsid w:val="3345056A"/>
    <w:rsid w:val="33650454"/>
    <w:rsid w:val="337068B0"/>
    <w:rsid w:val="33763220"/>
    <w:rsid w:val="337B6B3F"/>
    <w:rsid w:val="338609E1"/>
    <w:rsid w:val="33920C9B"/>
    <w:rsid w:val="33996FD7"/>
    <w:rsid w:val="339C5061"/>
    <w:rsid w:val="339C6C14"/>
    <w:rsid w:val="33A14DE5"/>
    <w:rsid w:val="33B26438"/>
    <w:rsid w:val="33B43F5E"/>
    <w:rsid w:val="33CA5530"/>
    <w:rsid w:val="33CC656D"/>
    <w:rsid w:val="33D12D62"/>
    <w:rsid w:val="33E5680D"/>
    <w:rsid w:val="33FE1022"/>
    <w:rsid w:val="34002433"/>
    <w:rsid w:val="34120C85"/>
    <w:rsid w:val="34156EA7"/>
    <w:rsid w:val="341744ED"/>
    <w:rsid w:val="341C4BD5"/>
    <w:rsid w:val="34380747"/>
    <w:rsid w:val="343D15F3"/>
    <w:rsid w:val="344409A5"/>
    <w:rsid w:val="344C52A2"/>
    <w:rsid w:val="34594B05"/>
    <w:rsid w:val="345E036E"/>
    <w:rsid w:val="34790FFC"/>
    <w:rsid w:val="347B2CCE"/>
    <w:rsid w:val="347F740C"/>
    <w:rsid w:val="34837EC4"/>
    <w:rsid w:val="34861A07"/>
    <w:rsid w:val="34904279"/>
    <w:rsid w:val="349F4C0E"/>
    <w:rsid w:val="34A30383"/>
    <w:rsid w:val="34A42DD3"/>
    <w:rsid w:val="34A72D33"/>
    <w:rsid w:val="34B14942"/>
    <w:rsid w:val="34BA1470"/>
    <w:rsid w:val="34CE54F3"/>
    <w:rsid w:val="34D136C0"/>
    <w:rsid w:val="34D754F0"/>
    <w:rsid w:val="34EC4BC8"/>
    <w:rsid w:val="34F07218"/>
    <w:rsid w:val="34FA0097"/>
    <w:rsid w:val="34FA62E8"/>
    <w:rsid w:val="350258BB"/>
    <w:rsid w:val="35052490"/>
    <w:rsid w:val="35132F06"/>
    <w:rsid w:val="352471F2"/>
    <w:rsid w:val="352A5DFE"/>
    <w:rsid w:val="352B46F4"/>
    <w:rsid w:val="352F3436"/>
    <w:rsid w:val="352F77C3"/>
    <w:rsid w:val="35334170"/>
    <w:rsid w:val="35394A23"/>
    <w:rsid w:val="353D61D5"/>
    <w:rsid w:val="353E6734"/>
    <w:rsid w:val="354B08F2"/>
    <w:rsid w:val="35521C81"/>
    <w:rsid w:val="35690E38"/>
    <w:rsid w:val="3569521C"/>
    <w:rsid w:val="357065AB"/>
    <w:rsid w:val="35780FBB"/>
    <w:rsid w:val="358A22E5"/>
    <w:rsid w:val="35935DF5"/>
    <w:rsid w:val="359B742E"/>
    <w:rsid w:val="35A02B5B"/>
    <w:rsid w:val="35A65B28"/>
    <w:rsid w:val="35B06324"/>
    <w:rsid w:val="35B65B5C"/>
    <w:rsid w:val="35B72BD3"/>
    <w:rsid w:val="35C076D1"/>
    <w:rsid w:val="35C60C37"/>
    <w:rsid w:val="35CD1307"/>
    <w:rsid w:val="35DB7EC8"/>
    <w:rsid w:val="35DD2FBF"/>
    <w:rsid w:val="35EA149C"/>
    <w:rsid w:val="35EC6B09"/>
    <w:rsid w:val="35F1677D"/>
    <w:rsid w:val="360835CA"/>
    <w:rsid w:val="360867E3"/>
    <w:rsid w:val="360A568E"/>
    <w:rsid w:val="361138EA"/>
    <w:rsid w:val="36126AF0"/>
    <w:rsid w:val="361433DA"/>
    <w:rsid w:val="362A1482"/>
    <w:rsid w:val="362C28E4"/>
    <w:rsid w:val="36445382"/>
    <w:rsid w:val="36486BBD"/>
    <w:rsid w:val="365612FD"/>
    <w:rsid w:val="365D2222"/>
    <w:rsid w:val="36624145"/>
    <w:rsid w:val="366854D4"/>
    <w:rsid w:val="36690F3C"/>
    <w:rsid w:val="366A5626"/>
    <w:rsid w:val="366C6AC7"/>
    <w:rsid w:val="36750A67"/>
    <w:rsid w:val="36895E80"/>
    <w:rsid w:val="368A37CC"/>
    <w:rsid w:val="36910587"/>
    <w:rsid w:val="369D1D15"/>
    <w:rsid w:val="36A302BA"/>
    <w:rsid w:val="36AE3981"/>
    <w:rsid w:val="36C22B9E"/>
    <w:rsid w:val="36C7044C"/>
    <w:rsid w:val="36D30BE3"/>
    <w:rsid w:val="36D45E7C"/>
    <w:rsid w:val="36E27034"/>
    <w:rsid w:val="370A0339"/>
    <w:rsid w:val="37197B36"/>
    <w:rsid w:val="37286336"/>
    <w:rsid w:val="37294C63"/>
    <w:rsid w:val="372D2E6E"/>
    <w:rsid w:val="37335AE2"/>
    <w:rsid w:val="37387FB2"/>
    <w:rsid w:val="373F09C2"/>
    <w:rsid w:val="374E6478"/>
    <w:rsid w:val="375453ED"/>
    <w:rsid w:val="375B08D6"/>
    <w:rsid w:val="376B32D1"/>
    <w:rsid w:val="376C0B36"/>
    <w:rsid w:val="3780137B"/>
    <w:rsid w:val="37816CF5"/>
    <w:rsid w:val="37826772"/>
    <w:rsid w:val="378C369C"/>
    <w:rsid w:val="378E1492"/>
    <w:rsid w:val="3795318A"/>
    <w:rsid w:val="379E67E0"/>
    <w:rsid w:val="37B3452D"/>
    <w:rsid w:val="37BC7885"/>
    <w:rsid w:val="37C61E05"/>
    <w:rsid w:val="37CF1F8E"/>
    <w:rsid w:val="37D632E8"/>
    <w:rsid w:val="37D75160"/>
    <w:rsid w:val="37DA45CD"/>
    <w:rsid w:val="37E17AB5"/>
    <w:rsid w:val="37E456D8"/>
    <w:rsid w:val="37EB7C62"/>
    <w:rsid w:val="37EF3133"/>
    <w:rsid w:val="37F04080"/>
    <w:rsid w:val="37FF7772"/>
    <w:rsid w:val="380562C5"/>
    <w:rsid w:val="38107BD1"/>
    <w:rsid w:val="3811340B"/>
    <w:rsid w:val="38260DAA"/>
    <w:rsid w:val="382707CE"/>
    <w:rsid w:val="38295D87"/>
    <w:rsid w:val="38312021"/>
    <w:rsid w:val="383E1329"/>
    <w:rsid w:val="384254EE"/>
    <w:rsid w:val="38511017"/>
    <w:rsid w:val="385D643C"/>
    <w:rsid w:val="385F6E45"/>
    <w:rsid w:val="387168C2"/>
    <w:rsid w:val="38721645"/>
    <w:rsid w:val="387E12C5"/>
    <w:rsid w:val="388D617D"/>
    <w:rsid w:val="38926838"/>
    <w:rsid w:val="38975632"/>
    <w:rsid w:val="38985854"/>
    <w:rsid w:val="389D0128"/>
    <w:rsid w:val="38A327F3"/>
    <w:rsid w:val="38A5656B"/>
    <w:rsid w:val="38AF2A08"/>
    <w:rsid w:val="38BD297B"/>
    <w:rsid w:val="38C7787E"/>
    <w:rsid w:val="38D26C34"/>
    <w:rsid w:val="38D41F14"/>
    <w:rsid w:val="38D4638D"/>
    <w:rsid w:val="38D621FE"/>
    <w:rsid w:val="38DD08FE"/>
    <w:rsid w:val="38E5105E"/>
    <w:rsid w:val="38F63AD7"/>
    <w:rsid w:val="38FD0155"/>
    <w:rsid w:val="390E2362"/>
    <w:rsid w:val="390E5EBF"/>
    <w:rsid w:val="3930052B"/>
    <w:rsid w:val="393F35F2"/>
    <w:rsid w:val="395138A8"/>
    <w:rsid w:val="39574BC0"/>
    <w:rsid w:val="395F0FA5"/>
    <w:rsid w:val="397B0657"/>
    <w:rsid w:val="397F0B6A"/>
    <w:rsid w:val="39974106"/>
    <w:rsid w:val="399E269E"/>
    <w:rsid w:val="39B50A30"/>
    <w:rsid w:val="39BA4C32"/>
    <w:rsid w:val="39BA6F74"/>
    <w:rsid w:val="39BD2467"/>
    <w:rsid w:val="39C0500B"/>
    <w:rsid w:val="39D24E37"/>
    <w:rsid w:val="39D37108"/>
    <w:rsid w:val="39E00D11"/>
    <w:rsid w:val="39E3560E"/>
    <w:rsid w:val="39F23A32"/>
    <w:rsid w:val="39F257E0"/>
    <w:rsid w:val="39F5707E"/>
    <w:rsid w:val="39FB6F2E"/>
    <w:rsid w:val="39FD32DA"/>
    <w:rsid w:val="3A045513"/>
    <w:rsid w:val="3A055B0F"/>
    <w:rsid w:val="3A09302F"/>
    <w:rsid w:val="3A0D261A"/>
    <w:rsid w:val="3A184B8A"/>
    <w:rsid w:val="3A1957AC"/>
    <w:rsid w:val="3A1C126E"/>
    <w:rsid w:val="3A2F57D1"/>
    <w:rsid w:val="3A3A7D13"/>
    <w:rsid w:val="3A3B7A62"/>
    <w:rsid w:val="3A464B75"/>
    <w:rsid w:val="3A4F6CE8"/>
    <w:rsid w:val="3A5C264F"/>
    <w:rsid w:val="3A6701BF"/>
    <w:rsid w:val="3A751082"/>
    <w:rsid w:val="3A81336E"/>
    <w:rsid w:val="3A8A3A90"/>
    <w:rsid w:val="3A8A77C7"/>
    <w:rsid w:val="3A9932B0"/>
    <w:rsid w:val="3AA274AE"/>
    <w:rsid w:val="3AA36ADA"/>
    <w:rsid w:val="3AA46637"/>
    <w:rsid w:val="3AB761C2"/>
    <w:rsid w:val="3AD153F6"/>
    <w:rsid w:val="3AD817D6"/>
    <w:rsid w:val="3ADE3F7E"/>
    <w:rsid w:val="3ADF3A39"/>
    <w:rsid w:val="3B0529DF"/>
    <w:rsid w:val="3B0C4680"/>
    <w:rsid w:val="3B141786"/>
    <w:rsid w:val="3B192406"/>
    <w:rsid w:val="3B1E4680"/>
    <w:rsid w:val="3B2A0FAA"/>
    <w:rsid w:val="3B2D43E9"/>
    <w:rsid w:val="3B304316"/>
    <w:rsid w:val="3B3B412E"/>
    <w:rsid w:val="3B407F79"/>
    <w:rsid w:val="3B473BE7"/>
    <w:rsid w:val="3B551553"/>
    <w:rsid w:val="3B6B584A"/>
    <w:rsid w:val="3B7566C9"/>
    <w:rsid w:val="3B7D557D"/>
    <w:rsid w:val="3B80223C"/>
    <w:rsid w:val="3B803DE4"/>
    <w:rsid w:val="3B8763FC"/>
    <w:rsid w:val="3B8A37F6"/>
    <w:rsid w:val="3B8C30C5"/>
    <w:rsid w:val="3B8D0C06"/>
    <w:rsid w:val="3B9A49EF"/>
    <w:rsid w:val="3BB53172"/>
    <w:rsid w:val="3BCA63C3"/>
    <w:rsid w:val="3BD203C6"/>
    <w:rsid w:val="3BD36F4E"/>
    <w:rsid w:val="3BED322B"/>
    <w:rsid w:val="3BF0662D"/>
    <w:rsid w:val="3BF50A91"/>
    <w:rsid w:val="3BFA4677"/>
    <w:rsid w:val="3BFA56DB"/>
    <w:rsid w:val="3BFA6BCE"/>
    <w:rsid w:val="3C024908"/>
    <w:rsid w:val="3C092B06"/>
    <w:rsid w:val="3C204DD9"/>
    <w:rsid w:val="3C245ED1"/>
    <w:rsid w:val="3C25608E"/>
    <w:rsid w:val="3C4D31A2"/>
    <w:rsid w:val="3C5E36F7"/>
    <w:rsid w:val="3C5F2FF7"/>
    <w:rsid w:val="3C6329C5"/>
    <w:rsid w:val="3C683636"/>
    <w:rsid w:val="3C6B187A"/>
    <w:rsid w:val="3C6E4B61"/>
    <w:rsid w:val="3C7544A7"/>
    <w:rsid w:val="3C814CEF"/>
    <w:rsid w:val="3C94492D"/>
    <w:rsid w:val="3CA27DBE"/>
    <w:rsid w:val="3CBF0783"/>
    <w:rsid w:val="3CD00DCC"/>
    <w:rsid w:val="3CD840E3"/>
    <w:rsid w:val="3CDC62D4"/>
    <w:rsid w:val="3CE447AC"/>
    <w:rsid w:val="3CE63342"/>
    <w:rsid w:val="3CF0021D"/>
    <w:rsid w:val="3CF51E92"/>
    <w:rsid w:val="3CFD5608"/>
    <w:rsid w:val="3D04596E"/>
    <w:rsid w:val="3D1B40FE"/>
    <w:rsid w:val="3D1E069A"/>
    <w:rsid w:val="3D204412"/>
    <w:rsid w:val="3D2C2DB7"/>
    <w:rsid w:val="3D332398"/>
    <w:rsid w:val="3D3B5D72"/>
    <w:rsid w:val="3D41637D"/>
    <w:rsid w:val="3D4A76E1"/>
    <w:rsid w:val="3D52271E"/>
    <w:rsid w:val="3D551C5C"/>
    <w:rsid w:val="3D5A1989"/>
    <w:rsid w:val="3D5E4F3B"/>
    <w:rsid w:val="3D6267D9"/>
    <w:rsid w:val="3D6427BC"/>
    <w:rsid w:val="3D6A23D9"/>
    <w:rsid w:val="3D6B26D7"/>
    <w:rsid w:val="3D6D157E"/>
    <w:rsid w:val="3D7A14EE"/>
    <w:rsid w:val="3D813C77"/>
    <w:rsid w:val="3D962707"/>
    <w:rsid w:val="3DA07301"/>
    <w:rsid w:val="3DA271D2"/>
    <w:rsid w:val="3DA37BAD"/>
    <w:rsid w:val="3DB334D8"/>
    <w:rsid w:val="3DBD7EB3"/>
    <w:rsid w:val="3DC73669"/>
    <w:rsid w:val="3DD82F3F"/>
    <w:rsid w:val="3DD97850"/>
    <w:rsid w:val="3DDD0555"/>
    <w:rsid w:val="3DE018F4"/>
    <w:rsid w:val="3DEB4A20"/>
    <w:rsid w:val="3DFE088B"/>
    <w:rsid w:val="3E017EED"/>
    <w:rsid w:val="3E045AE2"/>
    <w:rsid w:val="3E0F33CA"/>
    <w:rsid w:val="3E210442"/>
    <w:rsid w:val="3E234869"/>
    <w:rsid w:val="3E253D79"/>
    <w:rsid w:val="3E2A763C"/>
    <w:rsid w:val="3E350391"/>
    <w:rsid w:val="3E395C74"/>
    <w:rsid w:val="3E3A575D"/>
    <w:rsid w:val="3E3D4A72"/>
    <w:rsid w:val="3E4B278F"/>
    <w:rsid w:val="3E4D1237"/>
    <w:rsid w:val="3E6E7810"/>
    <w:rsid w:val="3E822BB0"/>
    <w:rsid w:val="3E871CC9"/>
    <w:rsid w:val="3E88487C"/>
    <w:rsid w:val="3E8F51FF"/>
    <w:rsid w:val="3E9167AC"/>
    <w:rsid w:val="3E962299"/>
    <w:rsid w:val="3E9957A5"/>
    <w:rsid w:val="3EA13686"/>
    <w:rsid w:val="3EA95792"/>
    <w:rsid w:val="3EAC5FB7"/>
    <w:rsid w:val="3EAD1CD6"/>
    <w:rsid w:val="3EC3599D"/>
    <w:rsid w:val="3EC531FD"/>
    <w:rsid w:val="3ECD2378"/>
    <w:rsid w:val="3ED10598"/>
    <w:rsid w:val="3ED81E60"/>
    <w:rsid w:val="3EE06334"/>
    <w:rsid w:val="3EE53B65"/>
    <w:rsid w:val="3EE6168C"/>
    <w:rsid w:val="3EF45B57"/>
    <w:rsid w:val="3EF87478"/>
    <w:rsid w:val="3EF913BF"/>
    <w:rsid w:val="3EFE4C27"/>
    <w:rsid w:val="3F054C11"/>
    <w:rsid w:val="3F08368F"/>
    <w:rsid w:val="3F10773B"/>
    <w:rsid w:val="3F114434"/>
    <w:rsid w:val="3F141D55"/>
    <w:rsid w:val="3F177654"/>
    <w:rsid w:val="3F1C16D3"/>
    <w:rsid w:val="3F283A52"/>
    <w:rsid w:val="3F2D1069"/>
    <w:rsid w:val="3F402B4A"/>
    <w:rsid w:val="3F451BF3"/>
    <w:rsid w:val="3F465470"/>
    <w:rsid w:val="3F591E5E"/>
    <w:rsid w:val="3F6A2E3E"/>
    <w:rsid w:val="3F7B6278"/>
    <w:rsid w:val="3F8F3FC4"/>
    <w:rsid w:val="3F953C63"/>
    <w:rsid w:val="3F9614BE"/>
    <w:rsid w:val="3FAF7CCF"/>
    <w:rsid w:val="3FB14142"/>
    <w:rsid w:val="3FBF6165"/>
    <w:rsid w:val="3FC52C55"/>
    <w:rsid w:val="3FCA68B7"/>
    <w:rsid w:val="3FCE63A8"/>
    <w:rsid w:val="3FDD65EB"/>
    <w:rsid w:val="3FEF631E"/>
    <w:rsid w:val="3FF9504A"/>
    <w:rsid w:val="3FFA1DF3"/>
    <w:rsid w:val="3FFD6511"/>
    <w:rsid w:val="4001677D"/>
    <w:rsid w:val="400530AD"/>
    <w:rsid w:val="400943E7"/>
    <w:rsid w:val="401875DF"/>
    <w:rsid w:val="401B4B48"/>
    <w:rsid w:val="40205908"/>
    <w:rsid w:val="40210BCD"/>
    <w:rsid w:val="40300E10"/>
    <w:rsid w:val="40386E3C"/>
    <w:rsid w:val="404843AC"/>
    <w:rsid w:val="404E6916"/>
    <w:rsid w:val="40507467"/>
    <w:rsid w:val="40521A68"/>
    <w:rsid w:val="406231BA"/>
    <w:rsid w:val="40644F5E"/>
    <w:rsid w:val="40670739"/>
    <w:rsid w:val="406C20F8"/>
    <w:rsid w:val="406C5D89"/>
    <w:rsid w:val="40717952"/>
    <w:rsid w:val="407526A9"/>
    <w:rsid w:val="407916AB"/>
    <w:rsid w:val="40814CB1"/>
    <w:rsid w:val="408178BE"/>
    <w:rsid w:val="40862607"/>
    <w:rsid w:val="40872000"/>
    <w:rsid w:val="40A10DE7"/>
    <w:rsid w:val="40AD2461"/>
    <w:rsid w:val="40BC6B48"/>
    <w:rsid w:val="40DD3E4C"/>
    <w:rsid w:val="40E47A68"/>
    <w:rsid w:val="40F3110D"/>
    <w:rsid w:val="40FE26CE"/>
    <w:rsid w:val="41006F09"/>
    <w:rsid w:val="41036F80"/>
    <w:rsid w:val="410C67A1"/>
    <w:rsid w:val="41165C65"/>
    <w:rsid w:val="411E510D"/>
    <w:rsid w:val="41246CA7"/>
    <w:rsid w:val="41285F8B"/>
    <w:rsid w:val="412D224A"/>
    <w:rsid w:val="413A36FE"/>
    <w:rsid w:val="413B36FE"/>
    <w:rsid w:val="414035F3"/>
    <w:rsid w:val="414323CD"/>
    <w:rsid w:val="41474664"/>
    <w:rsid w:val="41481B2B"/>
    <w:rsid w:val="415A660F"/>
    <w:rsid w:val="416A4CA9"/>
    <w:rsid w:val="41A82FF6"/>
    <w:rsid w:val="41A90335"/>
    <w:rsid w:val="41B220EF"/>
    <w:rsid w:val="41B3303E"/>
    <w:rsid w:val="41B42908"/>
    <w:rsid w:val="41B45A71"/>
    <w:rsid w:val="41C23CEA"/>
    <w:rsid w:val="41CF67A3"/>
    <w:rsid w:val="41D66708"/>
    <w:rsid w:val="41D7234B"/>
    <w:rsid w:val="41DB2FFE"/>
    <w:rsid w:val="41DC5AB1"/>
    <w:rsid w:val="421545D9"/>
    <w:rsid w:val="421952FE"/>
    <w:rsid w:val="422A16A8"/>
    <w:rsid w:val="424E4C95"/>
    <w:rsid w:val="42731488"/>
    <w:rsid w:val="427E1069"/>
    <w:rsid w:val="42806FDA"/>
    <w:rsid w:val="428B0580"/>
    <w:rsid w:val="428D4036"/>
    <w:rsid w:val="428E733F"/>
    <w:rsid w:val="42937435"/>
    <w:rsid w:val="429733C9"/>
    <w:rsid w:val="42B67CE3"/>
    <w:rsid w:val="42C13FA2"/>
    <w:rsid w:val="42D00689"/>
    <w:rsid w:val="42EC155D"/>
    <w:rsid w:val="430F0ADF"/>
    <w:rsid w:val="43111EEE"/>
    <w:rsid w:val="43193DDE"/>
    <w:rsid w:val="43195B8C"/>
    <w:rsid w:val="43267E62"/>
    <w:rsid w:val="43297406"/>
    <w:rsid w:val="433504EC"/>
    <w:rsid w:val="434075BC"/>
    <w:rsid w:val="43417EBB"/>
    <w:rsid w:val="43437F24"/>
    <w:rsid w:val="434A7716"/>
    <w:rsid w:val="434E0E6D"/>
    <w:rsid w:val="434E7724"/>
    <w:rsid w:val="43607C5E"/>
    <w:rsid w:val="43614241"/>
    <w:rsid w:val="43674A58"/>
    <w:rsid w:val="439231B3"/>
    <w:rsid w:val="439F41C6"/>
    <w:rsid w:val="43A324A6"/>
    <w:rsid w:val="43A713E9"/>
    <w:rsid w:val="43A85E50"/>
    <w:rsid w:val="43BB4E95"/>
    <w:rsid w:val="43BC0209"/>
    <w:rsid w:val="43C51C49"/>
    <w:rsid w:val="43DD305D"/>
    <w:rsid w:val="43DD4CA6"/>
    <w:rsid w:val="43E01CA1"/>
    <w:rsid w:val="43E02257"/>
    <w:rsid w:val="43E17924"/>
    <w:rsid w:val="43E91A02"/>
    <w:rsid w:val="43F822ED"/>
    <w:rsid w:val="43FC50D7"/>
    <w:rsid w:val="440721FA"/>
    <w:rsid w:val="44114AB5"/>
    <w:rsid w:val="441B05F2"/>
    <w:rsid w:val="4429359A"/>
    <w:rsid w:val="443248E8"/>
    <w:rsid w:val="44354C47"/>
    <w:rsid w:val="443A0A15"/>
    <w:rsid w:val="44412933"/>
    <w:rsid w:val="444943B9"/>
    <w:rsid w:val="444F3B74"/>
    <w:rsid w:val="445B21D4"/>
    <w:rsid w:val="44646F08"/>
    <w:rsid w:val="446A3CB4"/>
    <w:rsid w:val="447A6AFE"/>
    <w:rsid w:val="447D5515"/>
    <w:rsid w:val="44827A4B"/>
    <w:rsid w:val="44831482"/>
    <w:rsid w:val="44873D87"/>
    <w:rsid w:val="4487773C"/>
    <w:rsid w:val="44987F46"/>
    <w:rsid w:val="44A676BE"/>
    <w:rsid w:val="44A703AC"/>
    <w:rsid w:val="44AD6847"/>
    <w:rsid w:val="44B1130C"/>
    <w:rsid w:val="44C164DB"/>
    <w:rsid w:val="44C241A2"/>
    <w:rsid w:val="44CE29A6"/>
    <w:rsid w:val="44CF4CC8"/>
    <w:rsid w:val="44D02BC2"/>
    <w:rsid w:val="44DD744C"/>
    <w:rsid w:val="44DE708D"/>
    <w:rsid w:val="44ED5522"/>
    <w:rsid w:val="44F91C62"/>
    <w:rsid w:val="45091B37"/>
    <w:rsid w:val="45237196"/>
    <w:rsid w:val="45297926"/>
    <w:rsid w:val="452D43FA"/>
    <w:rsid w:val="453F2562"/>
    <w:rsid w:val="45485FD0"/>
    <w:rsid w:val="454B2248"/>
    <w:rsid w:val="45592BB7"/>
    <w:rsid w:val="455F7341"/>
    <w:rsid w:val="45684BA8"/>
    <w:rsid w:val="45694D0A"/>
    <w:rsid w:val="45725A27"/>
    <w:rsid w:val="45730AF9"/>
    <w:rsid w:val="45790B64"/>
    <w:rsid w:val="4585154E"/>
    <w:rsid w:val="45947182"/>
    <w:rsid w:val="45965CFE"/>
    <w:rsid w:val="459A4240"/>
    <w:rsid w:val="459B5914"/>
    <w:rsid w:val="45AA75D1"/>
    <w:rsid w:val="45B24076"/>
    <w:rsid w:val="45B57A28"/>
    <w:rsid w:val="45B66329"/>
    <w:rsid w:val="45C3763E"/>
    <w:rsid w:val="45CC3389"/>
    <w:rsid w:val="45D43FEC"/>
    <w:rsid w:val="45D466E2"/>
    <w:rsid w:val="45D77C06"/>
    <w:rsid w:val="45EF0E26"/>
    <w:rsid w:val="45F16636"/>
    <w:rsid w:val="45FD187B"/>
    <w:rsid w:val="4602687F"/>
    <w:rsid w:val="46040D75"/>
    <w:rsid w:val="460D74FE"/>
    <w:rsid w:val="46127BB6"/>
    <w:rsid w:val="46146ADE"/>
    <w:rsid w:val="46274A64"/>
    <w:rsid w:val="462907DC"/>
    <w:rsid w:val="464A088B"/>
    <w:rsid w:val="464E1DE3"/>
    <w:rsid w:val="464F2A85"/>
    <w:rsid w:val="46503FBA"/>
    <w:rsid w:val="465D1C4F"/>
    <w:rsid w:val="466018BA"/>
    <w:rsid w:val="46671883"/>
    <w:rsid w:val="46717A8D"/>
    <w:rsid w:val="46A41C10"/>
    <w:rsid w:val="46C92DA7"/>
    <w:rsid w:val="46CD5E38"/>
    <w:rsid w:val="46E62229"/>
    <w:rsid w:val="46E94D29"/>
    <w:rsid w:val="46EE07F2"/>
    <w:rsid w:val="46EE37D3"/>
    <w:rsid w:val="46FE1EDD"/>
    <w:rsid w:val="47053186"/>
    <w:rsid w:val="471A69C9"/>
    <w:rsid w:val="47372A84"/>
    <w:rsid w:val="47421DAD"/>
    <w:rsid w:val="47446FF4"/>
    <w:rsid w:val="47643C7B"/>
    <w:rsid w:val="47731D29"/>
    <w:rsid w:val="47744E9B"/>
    <w:rsid w:val="47745A86"/>
    <w:rsid w:val="477A2E85"/>
    <w:rsid w:val="477F4B17"/>
    <w:rsid w:val="478B4B7E"/>
    <w:rsid w:val="47921E66"/>
    <w:rsid w:val="479A09F6"/>
    <w:rsid w:val="479E5A69"/>
    <w:rsid w:val="47A735E5"/>
    <w:rsid w:val="47B10A89"/>
    <w:rsid w:val="47BC5E84"/>
    <w:rsid w:val="47C634A0"/>
    <w:rsid w:val="47C702AC"/>
    <w:rsid w:val="47CE682C"/>
    <w:rsid w:val="47CF53B3"/>
    <w:rsid w:val="47E76DB2"/>
    <w:rsid w:val="47E80223"/>
    <w:rsid w:val="47E979D7"/>
    <w:rsid w:val="47F62D7A"/>
    <w:rsid w:val="47FD5DF2"/>
    <w:rsid w:val="4805359A"/>
    <w:rsid w:val="480B000A"/>
    <w:rsid w:val="480F755D"/>
    <w:rsid w:val="481C651B"/>
    <w:rsid w:val="48240939"/>
    <w:rsid w:val="482A083B"/>
    <w:rsid w:val="482A53D6"/>
    <w:rsid w:val="48403BBB"/>
    <w:rsid w:val="48404343"/>
    <w:rsid w:val="48457423"/>
    <w:rsid w:val="484A67E7"/>
    <w:rsid w:val="484A6EEA"/>
    <w:rsid w:val="48637D5E"/>
    <w:rsid w:val="48645AFB"/>
    <w:rsid w:val="487B5A68"/>
    <w:rsid w:val="487F0120"/>
    <w:rsid w:val="48827784"/>
    <w:rsid w:val="4886052E"/>
    <w:rsid w:val="48931F3C"/>
    <w:rsid w:val="48947E12"/>
    <w:rsid w:val="48985AF3"/>
    <w:rsid w:val="48A05277"/>
    <w:rsid w:val="48B50FFB"/>
    <w:rsid w:val="48B819A3"/>
    <w:rsid w:val="48B85E47"/>
    <w:rsid w:val="48C20A74"/>
    <w:rsid w:val="48D46A2D"/>
    <w:rsid w:val="48D63213"/>
    <w:rsid w:val="48D95E07"/>
    <w:rsid w:val="48F43FBF"/>
    <w:rsid w:val="48F563C0"/>
    <w:rsid w:val="48FD5F50"/>
    <w:rsid w:val="490279F1"/>
    <w:rsid w:val="490868D4"/>
    <w:rsid w:val="49087613"/>
    <w:rsid w:val="490E5C39"/>
    <w:rsid w:val="49155047"/>
    <w:rsid w:val="49171082"/>
    <w:rsid w:val="49211C3E"/>
    <w:rsid w:val="492B0B9D"/>
    <w:rsid w:val="492B486B"/>
    <w:rsid w:val="492D6733"/>
    <w:rsid w:val="49311708"/>
    <w:rsid w:val="49341C23"/>
    <w:rsid w:val="493962EA"/>
    <w:rsid w:val="493F20C4"/>
    <w:rsid w:val="495F59AD"/>
    <w:rsid w:val="497526AF"/>
    <w:rsid w:val="497A3114"/>
    <w:rsid w:val="498112FB"/>
    <w:rsid w:val="49992446"/>
    <w:rsid w:val="49A03A49"/>
    <w:rsid w:val="49A563CB"/>
    <w:rsid w:val="49B860FF"/>
    <w:rsid w:val="49C56BA9"/>
    <w:rsid w:val="49CE6D23"/>
    <w:rsid w:val="49D56585"/>
    <w:rsid w:val="49D95F6B"/>
    <w:rsid w:val="49DC0AFB"/>
    <w:rsid w:val="49DE5B2D"/>
    <w:rsid w:val="49EB4F0C"/>
    <w:rsid w:val="49F72097"/>
    <w:rsid w:val="49F7474D"/>
    <w:rsid w:val="49FD6207"/>
    <w:rsid w:val="4A01583A"/>
    <w:rsid w:val="4A0975F4"/>
    <w:rsid w:val="4A0C3094"/>
    <w:rsid w:val="4A265482"/>
    <w:rsid w:val="4A286FFC"/>
    <w:rsid w:val="4A314103"/>
    <w:rsid w:val="4A332FF8"/>
    <w:rsid w:val="4A347F6C"/>
    <w:rsid w:val="4A361719"/>
    <w:rsid w:val="4A3819E8"/>
    <w:rsid w:val="4A524CE4"/>
    <w:rsid w:val="4A572337"/>
    <w:rsid w:val="4A594F69"/>
    <w:rsid w:val="4A7162AD"/>
    <w:rsid w:val="4A734EDD"/>
    <w:rsid w:val="4A7B014E"/>
    <w:rsid w:val="4A7F5CBF"/>
    <w:rsid w:val="4A800BE6"/>
    <w:rsid w:val="4A83494B"/>
    <w:rsid w:val="4A8C396A"/>
    <w:rsid w:val="4A930919"/>
    <w:rsid w:val="4A9621B8"/>
    <w:rsid w:val="4A993A56"/>
    <w:rsid w:val="4A9D28FF"/>
    <w:rsid w:val="4AA14808"/>
    <w:rsid w:val="4AA46683"/>
    <w:rsid w:val="4AB443EC"/>
    <w:rsid w:val="4AC42386"/>
    <w:rsid w:val="4AD36A27"/>
    <w:rsid w:val="4ADF6FC1"/>
    <w:rsid w:val="4AE04797"/>
    <w:rsid w:val="4AEF4970"/>
    <w:rsid w:val="4B0B461C"/>
    <w:rsid w:val="4B0C5C86"/>
    <w:rsid w:val="4B2417CC"/>
    <w:rsid w:val="4B29302C"/>
    <w:rsid w:val="4B314FE4"/>
    <w:rsid w:val="4B397174"/>
    <w:rsid w:val="4B460089"/>
    <w:rsid w:val="4B4F5D43"/>
    <w:rsid w:val="4B571947"/>
    <w:rsid w:val="4B5C52BD"/>
    <w:rsid w:val="4B5F2A0F"/>
    <w:rsid w:val="4B6F528A"/>
    <w:rsid w:val="4B721CEB"/>
    <w:rsid w:val="4B837148"/>
    <w:rsid w:val="4B9416E6"/>
    <w:rsid w:val="4B9506C1"/>
    <w:rsid w:val="4BA449D3"/>
    <w:rsid w:val="4BA85A3E"/>
    <w:rsid w:val="4BBC17AA"/>
    <w:rsid w:val="4BBE3069"/>
    <w:rsid w:val="4BBE3774"/>
    <w:rsid w:val="4BC14F76"/>
    <w:rsid w:val="4BC62629"/>
    <w:rsid w:val="4BCC79C4"/>
    <w:rsid w:val="4BD41542"/>
    <w:rsid w:val="4BD525C4"/>
    <w:rsid w:val="4BD66E16"/>
    <w:rsid w:val="4BE37D3E"/>
    <w:rsid w:val="4BE979D8"/>
    <w:rsid w:val="4BFD64D0"/>
    <w:rsid w:val="4C0D35DE"/>
    <w:rsid w:val="4C0E77DF"/>
    <w:rsid w:val="4C285035"/>
    <w:rsid w:val="4C393AEB"/>
    <w:rsid w:val="4C4D4AF8"/>
    <w:rsid w:val="4C5217F8"/>
    <w:rsid w:val="4C550243"/>
    <w:rsid w:val="4C5E4F57"/>
    <w:rsid w:val="4C6B21B3"/>
    <w:rsid w:val="4C746529"/>
    <w:rsid w:val="4C7A24D7"/>
    <w:rsid w:val="4C7E1155"/>
    <w:rsid w:val="4C995102"/>
    <w:rsid w:val="4CA21C4A"/>
    <w:rsid w:val="4CAB59F5"/>
    <w:rsid w:val="4CAD5597"/>
    <w:rsid w:val="4CB46925"/>
    <w:rsid w:val="4CC76658"/>
    <w:rsid w:val="4CD66BC2"/>
    <w:rsid w:val="4CD81EDF"/>
    <w:rsid w:val="4CDF0AE0"/>
    <w:rsid w:val="4CE0771A"/>
    <w:rsid w:val="4CEC2563"/>
    <w:rsid w:val="4CF24CCA"/>
    <w:rsid w:val="4CF65190"/>
    <w:rsid w:val="4D067B4C"/>
    <w:rsid w:val="4D106251"/>
    <w:rsid w:val="4D5277B1"/>
    <w:rsid w:val="4D607A39"/>
    <w:rsid w:val="4D641FBA"/>
    <w:rsid w:val="4D774011"/>
    <w:rsid w:val="4D7B4B97"/>
    <w:rsid w:val="4D810C89"/>
    <w:rsid w:val="4D9E1AAF"/>
    <w:rsid w:val="4D9F2236"/>
    <w:rsid w:val="4DA81276"/>
    <w:rsid w:val="4DAD7A29"/>
    <w:rsid w:val="4DD52FF7"/>
    <w:rsid w:val="4DD806E6"/>
    <w:rsid w:val="4DDD6A1E"/>
    <w:rsid w:val="4DEB7471"/>
    <w:rsid w:val="4DF06083"/>
    <w:rsid w:val="4DF2620B"/>
    <w:rsid w:val="4E026DC4"/>
    <w:rsid w:val="4E081082"/>
    <w:rsid w:val="4E12173A"/>
    <w:rsid w:val="4E2163FF"/>
    <w:rsid w:val="4E257ADB"/>
    <w:rsid w:val="4E2A7A69"/>
    <w:rsid w:val="4E2B0E69"/>
    <w:rsid w:val="4E2F5300"/>
    <w:rsid w:val="4E346BBE"/>
    <w:rsid w:val="4E3C5E84"/>
    <w:rsid w:val="4E4200AF"/>
    <w:rsid w:val="4E43384C"/>
    <w:rsid w:val="4E4D5283"/>
    <w:rsid w:val="4E54289B"/>
    <w:rsid w:val="4E547C30"/>
    <w:rsid w:val="4E6A1991"/>
    <w:rsid w:val="4E7E1AB8"/>
    <w:rsid w:val="4E8174ED"/>
    <w:rsid w:val="4E883785"/>
    <w:rsid w:val="4E8D2E04"/>
    <w:rsid w:val="4EA07161"/>
    <w:rsid w:val="4EA63D16"/>
    <w:rsid w:val="4EA77960"/>
    <w:rsid w:val="4EAC3C89"/>
    <w:rsid w:val="4EAC3D12"/>
    <w:rsid w:val="4EB26E94"/>
    <w:rsid w:val="4EB47AF7"/>
    <w:rsid w:val="4EBC01D7"/>
    <w:rsid w:val="4EBC4FD5"/>
    <w:rsid w:val="4ED71797"/>
    <w:rsid w:val="4EDD6607"/>
    <w:rsid w:val="4EE759F5"/>
    <w:rsid w:val="4EE77256"/>
    <w:rsid w:val="4EEC627F"/>
    <w:rsid w:val="4EF15C0F"/>
    <w:rsid w:val="4EFD595E"/>
    <w:rsid w:val="4F0F14A5"/>
    <w:rsid w:val="4F1813ED"/>
    <w:rsid w:val="4F1D37ED"/>
    <w:rsid w:val="4F264677"/>
    <w:rsid w:val="4F346466"/>
    <w:rsid w:val="4F400944"/>
    <w:rsid w:val="4F42240D"/>
    <w:rsid w:val="4F57157C"/>
    <w:rsid w:val="4F5B577E"/>
    <w:rsid w:val="4F632BA8"/>
    <w:rsid w:val="4F860B05"/>
    <w:rsid w:val="4F98252E"/>
    <w:rsid w:val="4F9B5B7A"/>
    <w:rsid w:val="4F9D7E5D"/>
    <w:rsid w:val="4FA221B2"/>
    <w:rsid w:val="4FB419BC"/>
    <w:rsid w:val="4FD0061B"/>
    <w:rsid w:val="4FDD43E5"/>
    <w:rsid w:val="4FDD6193"/>
    <w:rsid w:val="500E48AA"/>
    <w:rsid w:val="50120532"/>
    <w:rsid w:val="50145586"/>
    <w:rsid w:val="50265397"/>
    <w:rsid w:val="503009B9"/>
    <w:rsid w:val="50494DC1"/>
    <w:rsid w:val="50526B81"/>
    <w:rsid w:val="50702DBA"/>
    <w:rsid w:val="50772144"/>
    <w:rsid w:val="50795EBC"/>
    <w:rsid w:val="507E7A1A"/>
    <w:rsid w:val="507F724A"/>
    <w:rsid w:val="508036EE"/>
    <w:rsid w:val="50901457"/>
    <w:rsid w:val="509C305B"/>
    <w:rsid w:val="50AB7F7F"/>
    <w:rsid w:val="50C734F3"/>
    <w:rsid w:val="50C80BF1"/>
    <w:rsid w:val="50D56148"/>
    <w:rsid w:val="50DD23FB"/>
    <w:rsid w:val="50E0510A"/>
    <w:rsid w:val="50E1457B"/>
    <w:rsid w:val="50EC0D83"/>
    <w:rsid w:val="50F86735"/>
    <w:rsid w:val="51007BB2"/>
    <w:rsid w:val="51051E45"/>
    <w:rsid w:val="511410E9"/>
    <w:rsid w:val="51167BAE"/>
    <w:rsid w:val="511B6F73"/>
    <w:rsid w:val="513748EB"/>
    <w:rsid w:val="513F5082"/>
    <w:rsid w:val="51422751"/>
    <w:rsid w:val="51433511"/>
    <w:rsid w:val="51451007"/>
    <w:rsid w:val="51502B40"/>
    <w:rsid w:val="51547E98"/>
    <w:rsid w:val="515626A1"/>
    <w:rsid w:val="515B7CB7"/>
    <w:rsid w:val="51776B62"/>
    <w:rsid w:val="51804432"/>
    <w:rsid w:val="51861C76"/>
    <w:rsid w:val="518C66BB"/>
    <w:rsid w:val="518C7D66"/>
    <w:rsid w:val="51903ADB"/>
    <w:rsid w:val="51907961"/>
    <w:rsid w:val="519136D9"/>
    <w:rsid w:val="519345B2"/>
    <w:rsid w:val="519B13A8"/>
    <w:rsid w:val="51A0391C"/>
    <w:rsid w:val="51A35B7E"/>
    <w:rsid w:val="51A96C75"/>
    <w:rsid w:val="51AB6549"/>
    <w:rsid w:val="51CD1C6D"/>
    <w:rsid w:val="51DA0248"/>
    <w:rsid w:val="51DE12B3"/>
    <w:rsid w:val="51E01EAB"/>
    <w:rsid w:val="51E643D3"/>
    <w:rsid w:val="51E8779D"/>
    <w:rsid w:val="51EE0B2B"/>
    <w:rsid w:val="520C2D5F"/>
    <w:rsid w:val="52104F50"/>
    <w:rsid w:val="522D51B0"/>
    <w:rsid w:val="523646CD"/>
    <w:rsid w:val="523A2E32"/>
    <w:rsid w:val="523C5D36"/>
    <w:rsid w:val="52423E63"/>
    <w:rsid w:val="52437513"/>
    <w:rsid w:val="52481FEA"/>
    <w:rsid w:val="52487199"/>
    <w:rsid w:val="524B3576"/>
    <w:rsid w:val="52556A4B"/>
    <w:rsid w:val="525F7333"/>
    <w:rsid w:val="528374C6"/>
    <w:rsid w:val="52862B12"/>
    <w:rsid w:val="528B1ED6"/>
    <w:rsid w:val="529B6C78"/>
    <w:rsid w:val="52B76009"/>
    <w:rsid w:val="52C3746A"/>
    <w:rsid w:val="52D56189"/>
    <w:rsid w:val="52EB0BC7"/>
    <w:rsid w:val="52F21F55"/>
    <w:rsid w:val="52FC5C5D"/>
    <w:rsid w:val="530711EA"/>
    <w:rsid w:val="531A2245"/>
    <w:rsid w:val="532347AD"/>
    <w:rsid w:val="532B3763"/>
    <w:rsid w:val="53490DC2"/>
    <w:rsid w:val="53500DE4"/>
    <w:rsid w:val="535A5F48"/>
    <w:rsid w:val="536077E8"/>
    <w:rsid w:val="5370484D"/>
    <w:rsid w:val="537A08C9"/>
    <w:rsid w:val="539F20DD"/>
    <w:rsid w:val="539F56A4"/>
    <w:rsid w:val="53A276CC"/>
    <w:rsid w:val="53AD0657"/>
    <w:rsid w:val="53AF2487"/>
    <w:rsid w:val="53C40496"/>
    <w:rsid w:val="53CB23D2"/>
    <w:rsid w:val="53D457EE"/>
    <w:rsid w:val="53E1503E"/>
    <w:rsid w:val="53F817ED"/>
    <w:rsid w:val="53F90041"/>
    <w:rsid w:val="5402441A"/>
    <w:rsid w:val="54091A6F"/>
    <w:rsid w:val="54273E81"/>
    <w:rsid w:val="542813F0"/>
    <w:rsid w:val="542A07E4"/>
    <w:rsid w:val="5430135B"/>
    <w:rsid w:val="544335C6"/>
    <w:rsid w:val="54451EC0"/>
    <w:rsid w:val="544868DE"/>
    <w:rsid w:val="54521371"/>
    <w:rsid w:val="54534C76"/>
    <w:rsid w:val="545729B8"/>
    <w:rsid w:val="545C6243"/>
    <w:rsid w:val="545F2967"/>
    <w:rsid w:val="54640021"/>
    <w:rsid w:val="546A35D2"/>
    <w:rsid w:val="547C2257"/>
    <w:rsid w:val="548955E5"/>
    <w:rsid w:val="549C661D"/>
    <w:rsid w:val="549E264E"/>
    <w:rsid w:val="54AA0D3A"/>
    <w:rsid w:val="54AE00FE"/>
    <w:rsid w:val="54B24092"/>
    <w:rsid w:val="54BE0B40"/>
    <w:rsid w:val="54C33BA9"/>
    <w:rsid w:val="54C46DF7"/>
    <w:rsid w:val="54C55B73"/>
    <w:rsid w:val="54C805D4"/>
    <w:rsid w:val="54DE4835"/>
    <w:rsid w:val="54E83B2A"/>
    <w:rsid w:val="54F2623D"/>
    <w:rsid w:val="54F82ABF"/>
    <w:rsid w:val="55020B76"/>
    <w:rsid w:val="55222FC6"/>
    <w:rsid w:val="552C6636"/>
    <w:rsid w:val="553027F9"/>
    <w:rsid w:val="553D4BCF"/>
    <w:rsid w:val="554241E8"/>
    <w:rsid w:val="554747DA"/>
    <w:rsid w:val="5552317F"/>
    <w:rsid w:val="55562C6F"/>
    <w:rsid w:val="555869E7"/>
    <w:rsid w:val="555E1B7D"/>
    <w:rsid w:val="55621CEF"/>
    <w:rsid w:val="55676C2B"/>
    <w:rsid w:val="556F4D27"/>
    <w:rsid w:val="557C66F9"/>
    <w:rsid w:val="557F6A6B"/>
    <w:rsid w:val="55903525"/>
    <w:rsid w:val="55946B86"/>
    <w:rsid w:val="55967840"/>
    <w:rsid w:val="559E021B"/>
    <w:rsid w:val="55A27C63"/>
    <w:rsid w:val="55A75279"/>
    <w:rsid w:val="55A8516B"/>
    <w:rsid w:val="55BF5D3A"/>
    <w:rsid w:val="55C027DF"/>
    <w:rsid w:val="55C23ED0"/>
    <w:rsid w:val="55C968A1"/>
    <w:rsid w:val="55CC2337"/>
    <w:rsid w:val="55D021CE"/>
    <w:rsid w:val="55D12837"/>
    <w:rsid w:val="55DC686E"/>
    <w:rsid w:val="55E77179"/>
    <w:rsid w:val="55F761C0"/>
    <w:rsid w:val="55F7664B"/>
    <w:rsid w:val="55FA6A75"/>
    <w:rsid w:val="56004B7D"/>
    <w:rsid w:val="56091A90"/>
    <w:rsid w:val="56101068"/>
    <w:rsid w:val="56116A28"/>
    <w:rsid w:val="56175849"/>
    <w:rsid w:val="562042D4"/>
    <w:rsid w:val="56243BCC"/>
    <w:rsid w:val="56272B59"/>
    <w:rsid w:val="563551AF"/>
    <w:rsid w:val="56404134"/>
    <w:rsid w:val="56411509"/>
    <w:rsid w:val="56416DD9"/>
    <w:rsid w:val="564275D8"/>
    <w:rsid w:val="56501F08"/>
    <w:rsid w:val="56536E4C"/>
    <w:rsid w:val="56552F27"/>
    <w:rsid w:val="56583C63"/>
    <w:rsid w:val="565A6FAE"/>
    <w:rsid w:val="565B44A2"/>
    <w:rsid w:val="56723AD9"/>
    <w:rsid w:val="56810B43"/>
    <w:rsid w:val="568B6BE0"/>
    <w:rsid w:val="569B7F96"/>
    <w:rsid w:val="56A04E77"/>
    <w:rsid w:val="56A10098"/>
    <w:rsid w:val="56A41832"/>
    <w:rsid w:val="56A87127"/>
    <w:rsid w:val="56B22658"/>
    <w:rsid w:val="56CE25B0"/>
    <w:rsid w:val="56D4592B"/>
    <w:rsid w:val="56EF3078"/>
    <w:rsid w:val="56F22703"/>
    <w:rsid w:val="56FE090D"/>
    <w:rsid w:val="56FE711B"/>
    <w:rsid w:val="570235A6"/>
    <w:rsid w:val="571428B9"/>
    <w:rsid w:val="571526B6"/>
    <w:rsid w:val="57186F13"/>
    <w:rsid w:val="572528F9"/>
    <w:rsid w:val="57291412"/>
    <w:rsid w:val="572B4CD4"/>
    <w:rsid w:val="57304168"/>
    <w:rsid w:val="574F3E1A"/>
    <w:rsid w:val="57525044"/>
    <w:rsid w:val="575530B0"/>
    <w:rsid w:val="57763155"/>
    <w:rsid w:val="579161E1"/>
    <w:rsid w:val="579A4486"/>
    <w:rsid w:val="579E445A"/>
    <w:rsid w:val="57A346A5"/>
    <w:rsid w:val="57A67CB8"/>
    <w:rsid w:val="57AC4B6F"/>
    <w:rsid w:val="57AF6A97"/>
    <w:rsid w:val="57B035A5"/>
    <w:rsid w:val="57B603C6"/>
    <w:rsid w:val="57C6549F"/>
    <w:rsid w:val="57D6726A"/>
    <w:rsid w:val="57E23E8E"/>
    <w:rsid w:val="57E2425F"/>
    <w:rsid w:val="57EA3B43"/>
    <w:rsid w:val="58023023"/>
    <w:rsid w:val="580309FC"/>
    <w:rsid w:val="580368F4"/>
    <w:rsid w:val="580A1AEF"/>
    <w:rsid w:val="5814296E"/>
    <w:rsid w:val="5816094C"/>
    <w:rsid w:val="581C2F61"/>
    <w:rsid w:val="58233265"/>
    <w:rsid w:val="58240E03"/>
    <w:rsid w:val="582C5F09"/>
    <w:rsid w:val="583316D3"/>
    <w:rsid w:val="5838665C"/>
    <w:rsid w:val="58434292"/>
    <w:rsid w:val="58445C23"/>
    <w:rsid w:val="58580AAD"/>
    <w:rsid w:val="5870229A"/>
    <w:rsid w:val="58710D40"/>
    <w:rsid w:val="58721B1C"/>
    <w:rsid w:val="58767185"/>
    <w:rsid w:val="5878684A"/>
    <w:rsid w:val="587C29ED"/>
    <w:rsid w:val="58856D1A"/>
    <w:rsid w:val="58862ECD"/>
    <w:rsid w:val="58951D01"/>
    <w:rsid w:val="58990369"/>
    <w:rsid w:val="589917F1"/>
    <w:rsid w:val="589A7317"/>
    <w:rsid w:val="58AD47DD"/>
    <w:rsid w:val="58BD5714"/>
    <w:rsid w:val="58C15DD4"/>
    <w:rsid w:val="58CD4FF7"/>
    <w:rsid w:val="58DF2211"/>
    <w:rsid w:val="58E6430A"/>
    <w:rsid w:val="58EE6D79"/>
    <w:rsid w:val="58F0272A"/>
    <w:rsid w:val="58FF2E99"/>
    <w:rsid w:val="59011144"/>
    <w:rsid w:val="59035258"/>
    <w:rsid w:val="591744DE"/>
    <w:rsid w:val="59450261"/>
    <w:rsid w:val="594651C8"/>
    <w:rsid w:val="5947124D"/>
    <w:rsid w:val="594869A2"/>
    <w:rsid w:val="594D721D"/>
    <w:rsid w:val="59520643"/>
    <w:rsid w:val="595870E6"/>
    <w:rsid w:val="5964386B"/>
    <w:rsid w:val="597554DF"/>
    <w:rsid w:val="597731B4"/>
    <w:rsid w:val="597D6FAF"/>
    <w:rsid w:val="598D61AB"/>
    <w:rsid w:val="598F6750"/>
    <w:rsid w:val="599535E2"/>
    <w:rsid w:val="59A214D7"/>
    <w:rsid w:val="59A95B72"/>
    <w:rsid w:val="59AA3524"/>
    <w:rsid w:val="59B30D78"/>
    <w:rsid w:val="59B74671"/>
    <w:rsid w:val="59BD64AC"/>
    <w:rsid w:val="59CA6DFB"/>
    <w:rsid w:val="59D04961"/>
    <w:rsid w:val="59D14816"/>
    <w:rsid w:val="59EA60AA"/>
    <w:rsid w:val="59EF5A03"/>
    <w:rsid w:val="5A047DDA"/>
    <w:rsid w:val="5A1B4D97"/>
    <w:rsid w:val="5A1C6FBE"/>
    <w:rsid w:val="5A290952"/>
    <w:rsid w:val="5A2E01D2"/>
    <w:rsid w:val="5A51401E"/>
    <w:rsid w:val="5A53777D"/>
    <w:rsid w:val="5A5602CA"/>
    <w:rsid w:val="5A56101C"/>
    <w:rsid w:val="5A6104A6"/>
    <w:rsid w:val="5A643739"/>
    <w:rsid w:val="5A71551C"/>
    <w:rsid w:val="5A7840A0"/>
    <w:rsid w:val="5A823EA0"/>
    <w:rsid w:val="5A902908"/>
    <w:rsid w:val="5A9F4452"/>
    <w:rsid w:val="5AB346C0"/>
    <w:rsid w:val="5ABE1607"/>
    <w:rsid w:val="5AD240D0"/>
    <w:rsid w:val="5ADA5D82"/>
    <w:rsid w:val="5AEE56F8"/>
    <w:rsid w:val="5AF80C1D"/>
    <w:rsid w:val="5AF820D3"/>
    <w:rsid w:val="5AFC7E15"/>
    <w:rsid w:val="5B027FD6"/>
    <w:rsid w:val="5B120984"/>
    <w:rsid w:val="5B123918"/>
    <w:rsid w:val="5B183C41"/>
    <w:rsid w:val="5B1909C7"/>
    <w:rsid w:val="5B231846"/>
    <w:rsid w:val="5B2626BE"/>
    <w:rsid w:val="5B33135D"/>
    <w:rsid w:val="5B5215AC"/>
    <w:rsid w:val="5B5C4D58"/>
    <w:rsid w:val="5B5E1FC2"/>
    <w:rsid w:val="5B610C1F"/>
    <w:rsid w:val="5B67008B"/>
    <w:rsid w:val="5B6A4B13"/>
    <w:rsid w:val="5B7243B0"/>
    <w:rsid w:val="5B72720F"/>
    <w:rsid w:val="5B7B51DE"/>
    <w:rsid w:val="5B7C4AB2"/>
    <w:rsid w:val="5B8A0BEC"/>
    <w:rsid w:val="5BA62D70"/>
    <w:rsid w:val="5BB10966"/>
    <w:rsid w:val="5BBE45E4"/>
    <w:rsid w:val="5BC21C93"/>
    <w:rsid w:val="5BD668B8"/>
    <w:rsid w:val="5BE84965"/>
    <w:rsid w:val="5BF8682E"/>
    <w:rsid w:val="5BF92B78"/>
    <w:rsid w:val="5BF95423"/>
    <w:rsid w:val="5BFB00CD"/>
    <w:rsid w:val="5C0D72C2"/>
    <w:rsid w:val="5C161EB9"/>
    <w:rsid w:val="5C180C7F"/>
    <w:rsid w:val="5C1D6295"/>
    <w:rsid w:val="5C1F4C32"/>
    <w:rsid w:val="5C232C28"/>
    <w:rsid w:val="5C237623"/>
    <w:rsid w:val="5C29365C"/>
    <w:rsid w:val="5C423F4D"/>
    <w:rsid w:val="5C425CFC"/>
    <w:rsid w:val="5C46074B"/>
    <w:rsid w:val="5C557E8A"/>
    <w:rsid w:val="5C58260D"/>
    <w:rsid w:val="5C5E30D8"/>
    <w:rsid w:val="5C7646CB"/>
    <w:rsid w:val="5C7F0CFE"/>
    <w:rsid w:val="5C997836"/>
    <w:rsid w:val="5CA73DB1"/>
    <w:rsid w:val="5CAC5847"/>
    <w:rsid w:val="5CB03A50"/>
    <w:rsid w:val="5CB07109"/>
    <w:rsid w:val="5CBA4AB1"/>
    <w:rsid w:val="5CC0462F"/>
    <w:rsid w:val="5CCB02D4"/>
    <w:rsid w:val="5CCF14F4"/>
    <w:rsid w:val="5CD874B5"/>
    <w:rsid w:val="5CE53D02"/>
    <w:rsid w:val="5CEC5C67"/>
    <w:rsid w:val="5CEE5E83"/>
    <w:rsid w:val="5CF27722"/>
    <w:rsid w:val="5CF36FF6"/>
    <w:rsid w:val="5CFD2008"/>
    <w:rsid w:val="5CFE1ADB"/>
    <w:rsid w:val="5D004ADA"/>
    <w:rsid w:val="5D0C00B7"/>
    <w:rsid w:val="5D153410"/>
    <w:rsid w:val="5D2E44D2"/>
    <w:rsid w:val="5D3F4A3A"/>
    <w:rsid w:val="5D41118A"/>
    <w:rsid w:val="5D442B3B"/>
    <w:rsid w:val="5D450B06"/>
    <w:rsid w:val="5D5020A1"/>
    <w:rsid w:val="5D5135B6"/>
    <w:rsid w:val="5D5C103F"/>
    <w:rsid w:val="5D5F2DE6"/>
    <w:rsid w:val="5D6E290D"/>
    <w:rsid w:val="5D753342"/>
    <w:rsid w:val="5D7F43D2"/>
    <w:rsid w:val="5D84157F"/>
    <w:rsid w:val="5D883BE2"/>
    <w:rsid w:val="5D8F0FB9"/>
    <w:rsid w:val="5D911DB3"/>
    <w:rsid w:val="5D944335"/>
    <w:rsid w:val="5D99752D"/>
    <w:rsid w:val="5DA86032"/>
    <w:rsid w:val="5DAF73C1"/>
    <w:rsid w:val="5DB70023"/>
    <w:rsid w:val="5DBB2511"/>
    <w:rsid w:val="5DBE5856"/>
    <w:rsid w:val="5DDA3E2A"/>
    <w:rsid w:val="5DDB1F64"/>
    <w:rsid w:val="5DE40889"/>
    <w:rsid w:val="5DF23751"/>
    <w:rsid w:val="5DF5067A"/>
    <w:rsid w:val="5DF63241"/>
    <w:rsid w:val="5DF82331"/>
    <w:rsid w:val="5DFB0858"/>
    <w:rsid w:val="5E055233"/>
    <w:rsid w:val="5E100FD9"/>
    <w:rsid w:val="5E1772E5"/>
    <w:rsid w:val="5E276AD2"/>
    <w:rsid w:val="5E322113"/>
    <w:rsid w:val="5E39312E"/>
    <w:rsid w:val="5E4775F9"/>
    <w:rsid w:val="5E54098B"/>
    <w:rsid w:val="5E555A9A"/>
    <w:rsid w:val="5E6463FD"/>
    <w:rsid w:val="5E6879BA"/>
    <w:rsid w:val="5E7005EF"/>
    <w:rsid w:val="5E7B069C"/>
    <w:rsid w:val="5E815B61"/>
    <w:rsid w:val="5E9A4CBA"/>
    <w:rsid w:val="5EA031AD"/>
    <w:rsid w:val="5EAA39AC"/>
    <w:rsid w:val="5EB131EC"/>
    <w:rsid w:val="5EB50A07"/>
    <w:rsid w:val="5EC21BA8"/>
    <w:rsid w:val="5EC65064"/>
    <w:rsid w:val="5EC6535E"/>
    <w:rsid w:val="5EE96902"/>
    <w:rsid w:val="5EF14313"/>
    <w:rsid w:val="5F01554E"/>
    <w:rsid w:val="5F090D52"/>
    <w:rsid w:val="5F0A08D8"/>
    <w:rsid w:val="5F0C446A"/>
    <w:rsid w:val="5F141469"/>
    <w:rsid w:val="5F160B34"/>
    <w:rsid w:val="5F1A4D0E"/>
    <w:rsid w:val="5F264A7B"/>
    <w:rsid w:val="5F2913F5"/>
    <w:rsid w:val="5F294F51"/>
    <w:rsid w:val="5F2E07B9"/>
    <w:rsid w:val="5F3D27AA"/>
    <w:rsid w:val="5F415C53"/>
    <w:rsid w:val="5F434264"/>
    <w:rsid w:val="5F4C33F1"/>
    <w:rsid w:val="5F510F8A"/>
    <w:rsid w:val="5F603AC2"/>
    <w:rsid w:val="5F6244B3"/>
    <w:rsid w:val="5F6F47EF"/>
    <w:rsid w:val="5F797C86"/>
    <w:rsid w:val="5F7A63F7"/>
    <w:rsid w:val="5F9C5723"/>
    <w:rsid w:val="5FB567E4"/>
    <w:rsid w:val="5FC345BF"/>
    <w:rsid w:val="5FCC2465"/>
    <w:rsid w:val="5FD16066"/>
    <w:rsid w:val="5FD37DBD"/>
    <w:rsid w:val="5FF4730D"/>
    <w:rsid w:val="5FF97FD7"/>
    <w:rsid w:val="5FFD1FD6"/>
    <w:rsid w:val="5FFD73A2"/>
    <w:rsid w:val="5FFF04A2"/>
    <w:rsid w:val="60132695"/>
    <w:rsid w:val="601F3304"/>
    <w:rsid w:val="602538D1"/>
    <w:rsid w:val="602E35F0"/>
    <w:rsid w:val="60365B77"/>
    <w:rsid w:val="60376342"/>
    <w:rsid w:val="604810F7"/>
    <w:rsid w:val="60517035"/>
    <w:rsid w:val="605534F3"/>
    <w:rsid w:val="60553502"/>
    <w:rsid w:val="606918E5"/>
    <w:rsid w:val="606B172E"/>
    <w:rsid w:val="607F4AFF"/>
    <w:rsid w:val="60810AF0"/>
    <w:rsid w:val="60815459"/>
    <w:rsid w:val="608518BB"/>
    <w:rsid w:val="6089614F"/>
    <w:rsid w:val="608F708F"/>
    <w:rsid w:val="60924A0D"/>
    <w:rsid w:val="6098191D"/>
    <w:rsid w:val="609B59DA"/>
    <w:rsid w:val="609B60EB"/>
    <w:rsid w:val="60A4375B"/>
    <w:rsid w:val="60AA3E6F"/>
    <w:rsid w:val="60B16E66"/>
    <w:rsid w:val="60C110F2"/>
    <w:rsid w:val="60C420B6"/>
    <w:rsid w:val="60D1481F"/>
    <w:rsid w:val="60DC2CC3"/>
    <w:rsid w:val="60DF4F9F"/>
    <w:rsid w:val="60E41F7E"/>
    <w:rsid w:val="60E530F9"/>
    <w:rsid w:val="60E92618"/>
    <w:rsid w:val="60F264E5"/>
    <w:rsid w:val="60F72902"/>
    <w:rsid w:val="61002057"/>
    <w:rsid w:val="61007F33"/>
    <w:rsid w:val="6109328C"/>
    <w:rsid w:val="610D1DB7"/>
    <w:rsid w:val="610E0521"/>
    <w:rsid w:val="61185D13"/>
    <w:rsid w:val="61280ADF"/>
    <w:rsid w:val="61291238"/>
    <w:rsid w:val="613377E7"/>
    <w:rsid w:val="6138092A"/>
    <w:rsid w:val="61481506"/>
    <w:rsid w:val="61580538"/>
    <w:rsid w:val="61682BD1"/>
    <w:rsid w:val="616E7593"/>
    <w:rsid w:val="61750921"/>
    <w:rsid w:val="6175447D"/>
    <w:rsid w:val="61774699"/>
    <w:rsid w:val="617E4B22"/>
    <w:rsid w:val="61880654"/>
    <w:rsid w:val="61897F29"/>
    <w:rsid w:val="619863BE"/>
    <w:rsid w:val="61A134C4"/>
    <w:rsid w:val="61B442E6"/>
    <w:rsid w:val="61BF3EDA"/>
    <w:rsid w:val="61C6470F"/>
    <w:rsid w:val="61C827FF"/>
    <w:rsid w:val="61CB6793"/>
    <w:rsid w:val="61DC49CE"/>
    <w:rsid w:val="61DE4348"/>
    <w:rsid w:val="61F45CEA"/>
    <w:rsid w:val="61F65784"/>
    <w:rsid w:val="61F71336"/>
    <w:rsid w:val="61FB42CF"/>
    <w:rsid w:val="62060558"/>
    <w:rsid w:val="62127F1E"/>
    <w:rsid w:val="62145252"/>
    <w:rsid w:val="621505FF"/>
    <w:rsid w:val="621A6DD3"/>
    <w:rsid w:val="621F4154"/>
    <w:rsid w:val="6223037D"/>
    <w:rsid w:val="622A170C"/>
    <w:rsid w:val="6230263F"/>
    <w:rsid w:val="62402CDD"/>
    <w:rsid w:val="624B3AF6"/>
    <w:rsid w:val="62513687"/>
    <w:rsid w:val="625915CC"/>
    <w:rsid w:val="625C563D"/>
    <w:rsid w:val="62783C0B"/>
    <w:rsid w:val="627D7A8D"/>
    <w:rsid w:val="62954ED7"/>
    <w:rsid w:val="629D7E7C"/>
    <w:rsid w:val="62A212A2"/>
    <w:rsid w:val="62A71561"/>
    <w:rsid w:val="62B71584"/>
    <w:rsid w:val="62C531E2"/>
    <w:rsid w:val="62D358FF"/>
    <w:rsid w:val="62D44C49"/>
    <w:rsid w:val="62D6719E"/>
    <w:rsid w:val="62E573E1"/>
    <w:rsid w:val="62EC3512"/>
    <w:rsid w:val="62FA7330"/>
    <w:rsid w:val="62FE5D89"/>
    <w:rsid w:val="630A1AD1"/>
    <w:rsid w:val="630A6E47"/>
    <w:rsid w:val="63152639"/>
    <w:rsid w:val="632077B4"/>
    <w:rsid w:val="63220635"/>
    <w:rsid w:val="632A1619"/>
    <w:rsid w:val="63302D52"/>
    <w:rsid w:val="63342381"/>
    <w:rsid w:val="634935B5"/>
    <w:rsid w:val="6372336A"/>
    <w:rsid w:val="637C4CA0"/>
    <w:rsid w:val="63845631"/>
    <w:rsid w:val="638B61DA"/>
    <w:rsid w:val="638F7952"/>
    <w:rsid w:val="639E60E3"/>
    <w:rsid w:val="63AB5BF7"/>
    <w:rsid w:val="63C856F4"/>
    <w:rsid w:val="63CF4671"/>
    <w:rsid w:val="63D556A7"/>
    <w:rsid w:val="63E27B04"/>
    <w:rsid w:val="63E334FE"/>
    <w:rsid w:val="63EC3C2E"/>
    <w:rsid w:val="63F81D46"/>
    <w:rsid w:val="63F91396"/>
    <w:rsid w:val="63FF0976"/>
    <w:rsid w:val="640269BB"/>
    <w:rsid w:val="64065861"/>
    <w:rsid w:val="6411743B"/>
    <w:rsid w:val="64121E57"/>
    <w:rsid w:val="641A130C"/>
    <w:rsid w:val="64243EEB"/>
    <w:rsid w:val="642559F9"/>
    <w:rsid w:val="64277E74"/>
    <w:rsid w:val="644509E7"/>
    <w:rsid w:val="645405A3"/>
    <w:rsid w:val="64584A4D"/>
    <w:rsid w:val="64724393"/>
    <w:rsid w:val="647A4AC8"/>
    <w:rsid w:val="648340A3"/>
    <w:rsid w:val="6495344A"/>
    <w:rsid w:val="64AA6B34"/>
    <w:rsid w:val="64AF7CA6"/>
    <w:rsid w:val="64B204D8"/>
    <w:rsid w:val="64B32E59"/>
    <w:rsid w:val="64BA34FF"/>
    <w:rsid w:val="64BB489D"/>
    <w:rsid w:val="64BD0615"/>
    <w:rsid w:val="64BF6B8F"/>
    <w:rsid w:val="64C03C61"/>
    <w:rsid w:val="64CC543C"/>
    <w:rsid w:val="64CC6AAA"/>
    <w:rsid w:val="64D21BE7"/>
    <w:rsid w:val="64D52A7C"/>
    <w:rsid w:val="64D616D7"/>
    <w:rsid w:val="64D70FAB"/>
    <w:rsid w:val="64DC4F3F"/>
    <w:rsid w:val="64E505DA"/>
    <w:rsid w:val="650360F3"/>
    <w:rsid w:val="650414C0"/>
    <w:rsid w:val="6509385A"/>
    <w:rsid w:val="65162626"/>
    <w:rsid w:val="651E0AB8"/>
    <w:rsid w:val="652A3E61"/>
    <w:rsid w:val="654A5C21"/>
    <w:rsid w:val="654D7EE3"/>
    <w:rsid w:val="6566293B"/>
    <w:rsid w:val="656E32C8"/>
    <w:rsid w:val="656F20F9"/>
    <w:rsid w:val="65752C9E"/>
    <w:rsid w:val="657B6143"/>
    <w:rsid w:val="657F58CB"/>
    <w:rsid w:val="65896749"/>
    <w:rsid w:val="658B0713"/>
    <w:rsid w:val="65934CA2"/>
    <w:rsid w:val="65A77734"/>
    <w:rsid w:val="65B33439"/>
    <w:rsid w:val="65C57872"/>
    <w:rsid w:val="65CD7447"/>
    <w:rsid w:val="65D11D0B"/>
    <w:rsid w:val="65D7040A"/>
    <w:rsid w:val="65DC0944"/>
    <w:rsid w:val="65E71F59"/>
    <w:rsid w:val="65E97FD6"/>
    <w:rsid w:val="65EA09B9"/>
    <w:rsid w:val="65F324E2"/>
    <w:rsid w:val="66005EDD"/>
    <w:rsid w:val="66064875"/>
    <w:rsid w:val="660D063C"/>
    <w:rsid w:val="66126DBE"/>
    <w:rsid w:val="661C75BD"/>
    <w:rsid w:val="662221DB"/>
    <w:rsid w:val="664A412A"/>
    <w:rsid w:val="664D5032"/>
    <w:rsid w:val="66593F6C"/>
    <w:rsid w:val="66613222"/>
    <w:rsid w:val="66666A8A"/>
    <w:rsid w:val="66734968"/>
    <w:rsid w:val="667351D1"/>
    <w:rsid w:val="66772A46"/>
    <w:rsid w:val="66796BC2"/>
    <w:rsid w:val="668B7F72"/>
    <w:rsid w:val="668C3B5D"/>
    <w:rsid w:val="669435F8"/>
    <w:rsid w:val="669E7FD2"/>
    <w:rsid w:val="66A53171"/>
    <w:rsid w:val="66A81E50"/>
    <w:rsid w:val="66AF21DF"/>
    <w:rsid w:val="66C347C1"/>
    <w:rsid w:val="66C538C1"/>
    <w:rsid w:val="66D9725C"/>
    <w:rsid w:val="66DF7576"/>
    <w:rsid w:val="66E209E1"/>
    <w:rsid w:val="66FB3677"/>
    <w:rsid w:val="67050051"/>
    <w:rsid w:val="670E13F5"/>
    <w:rsid w:val="6712193D"/>
    <w:rsid w:val="67141D0B"/>
    <w:rsid w:val="6719264F"/>
    <w:rsid w:val="67207643"/>
    <w:rsid w:val="67246FAB"/>
    <w:rsid w:val="674212A6"/>
    <w:rsid w:val="675542EB"/>
    <w:rsid w:val="675E49B6"/>
    <w:rsid w:val="676236F6"/>
    <w:rsid w:val="676365E2"/>
    <w:rsid w:val="676F4B55"/>
    <w:rsid w:val="67871415"/>
    <w:rsid w:val="67AA5031"/>
    <w:rsid w:val="67BB4BB4"/>
    <w:rsid w:val="67D4147B"/>
    <w:rsid w:val="67D756F1"/>
    <w:rsid w:val="67DF2BEF"/>
    <w:rsid w:val="67E112A3"/>
    <w:rsid w:val="67E1286C"/>
    <w:rsid w:val="67E22067"/>
    <w:rsid w:val="67F646BC"/>
    <w:rsid w:val="67FD76C1"/>
    <w:rsid w:val="68036093"/>
    <w:rsid w:val="681A18DB"/>
    <w:rsid w:val="682210BA"/>
    <w:rsid w:val="68311993"/>
    <w:rsid w:val="68312E78"/>
    <w:rsid w:val="68384A7E"/>
    <w:rsid w:val="68444BA9"/>
    <w:rsid w:val="684D7205"/>
    <w:rsid w:val="68690C4B"/>
    <w:rsid w:val="68692862"/>
    <w:rsid w:val="68733660"/>
    <w:rsid w:val="68810835"/>
    <w:rsid w:val="688A4CB2"/>
    <w:rsid w:val="688C6BE9"/>
    <w:rsid w:val="688D4D1E"/>
    <w:rsid w:val="68934D62"/>
    <w:rsid w:val="68954610"/>
    <w:rsid w:val="689A7AF0"/>
    <w:rsid w:val="689B5D0C"/>
    <w:rsid w:val="689D7E07"/>
    <w:rsid w:val="68A815DC"/>
    <w:rsid w:val="68BE2BAE"/>
    <w:rsid w:val="68C25CBE"/>
    <w:rsid w:val="68CC52CB"/>
    <w:rsid w:val="68CE6246"/>
    <w:rsid w:val="68D36EFB"/>
    <w:rsid w:val="68EB3277"/>
    <w:rsid w:val="68ED3493"/>
    <w:rsid w:val="690F74C6"/>
    <w:rsid w:val="691722BE"/>
    <w:rsid w:val="691C2E1D"/>
    <w:rsid w:val="6920161F"/>
    <w:rsid w:val="692B3394"/>
    <w:rsid w:val="692C7B17"/>
    <w:rsid w:val="692E7453"/>
    <w:rsid w:val="692E7F1E"/>
    <w:rsid w:val="69362E46"/>
    <w:rsid w:val="693D620F"/>
    <w:rsid w:val="69416EAD"/>
    <w:rsid w:val="69425262"/>
    <w:rsid w:val="69543C66"/>
    <w:rsid w:val="696270BD"/>
    <w:rsid w:val="696F11C6"/>
    <w:rsid w:val="697B45FB"/>
    <w:rsid w:val="698F3FC6"/>
    <w:rsid w:val="69951B60"/>
    <w:rsid w:val="69A40294"/>
    <w:rsid w:val="69A578CA"/>
    <w:rsid w:val="69A73642"/>
    <w:rsid w:val="69AF6AE8"/>
    <w:rsid w:val="69B10716"/>
    <w:rsid w:val="69B13FD8"/>
    <w:rsid w:val="69B31C00"/>
    <w:rsid w:val="69C0327E"/>
    <w:rsid w:val="69C07CDF"/>
    <w:rsid w:val="69C207E6"/>
    <w:rsid w:val="69D34437"/>
    <w:rsid w:val="69E76134"/>
    <w:rsid w:val="69EB79D2"/>
    <w:rsid w:val="69EF070B"/>
    <w:rsid w:val="69F442E5"/>
    <w:rsid w:val="6A022F6E"/>
    <w:rsid w:val="6A035297"/>
    <w:rsid w:val="6A070584"/>
    <w:rsid w:val="6A072AEB"/>
    <w:rsid w:val="6A143022"/>
    <w:rsid w:val="6A1C4030"/>
    <w:rsid w:val="6A2276DF"/>
    <w:rsid w:val="6A26162F"/>
    <w:rsid w:val="6A32120A"/>
    <w:rsid w:val="6A330664"/>
    <w:rsid w:val="6A3325D6"/>
    <w:rsid w:val="6A3C3D88"/>
    <w:rsid w:val="6A412964"/>
    <w:rsid w:val="6A460276"/>
    <w:rsid w:val="6A4B66C3"/>
    <w:rsid w:val="6A4F6E29"/>
    <w:rsid w:val="6A5C267E"/>
    <w:rsid w:val="6A5C442C"/>
    <w:rsid w:val="6A5C5C28"/>
    <w:rsid w:val="6A63455B"/>
    <w:rsid w:val="6A661C94"/>
    <w:rsid w:val="6A793230"/>
    <w:rsid w:val="6A7D0F8A"/>
    <w:rsid w:val="6A7F636D"/>
    <w:rsid w:val="6A856DC1"/>
    <w:rsid w:val="6A8948DB"/>
    <w:rsid w:val="6A8A7D73"/>
    <w:rsid w:val="6A8B46D2"/>
    <w:rsid w:val="6A954981"/>
    <w:rsid w:val="6A985BD3"/>
    <w:rsid w:val="6A995363"/>
    <w:rsid w:val="6AA32240"/>
    <w:rsid w:val="6AB75B07"/>
    <w:rsid w:val="6ABA1153"/>
    <w:rsid w:val="6AD634AC"/>
    <w:rsid w:val="6ADE7566"/>
    <w:rsid w:val="6AE50E73"/>
    <w:rsid w:val="6AF12E1B"/>
    <w:rsid w:val="6B073AF4"/>
    <w:rsid w:val="6B0745CF"/>
    <w:rsid w:val="6B0B11B3"/>
    <w:rsid w:val="6B1271E1"/>
    <w:rsid w:val="6B1C1E0E"/>
    <w:rsid w:val="6B225231"/>
    <w:rsid w:val="6B23319C"/>
    <w:rsid w:val="6B257422"/>
    <w:rsid w:val="6B2667E8"/>
    <w:rsid w:val="6B3C7DBA"/>
    <w:rsid w:val="6B3D493A"/>
    <w:rsid w:val="6B412472"/>
    <w:rsid w:val="6B4152C9"/>
    <w:rsid w:val="6B4E7143"/>
    <w:rsid w:val="6B6643D7"/>
    <w:rsid w:val="6B727614"/>
    <w:rsid w:val="6B741C4A"/>
    <w:rsid w:val="6B7D526B"/>
    <w:rsid w:val="6B857D96"/>
    <w:rsid w:val="6B8A6C42"/>
    <w:rsid w:val="6B8C6F93"/>
    <w:rsid w:val="6B9D0D31"/>
    <w:rsid w:val="6BAA763E"/>
    <w:rsid w:val="6BC02799"/>
    <w:rsid w:val="6BD3513D"/>
    <w:rsid w:val="6BDA7CFF"/>
    <w:rsid w:val="6BDF3567"/>
    <w:rsid w:val="6BE2124F"/>
    <w:rsid w:val="6BE85B99"/>
    <w:rsid w:val="6BF32B6E"/>
    <w:rsid w:val="6BF8170F"/>
    <w:rsid w:val="6BF905D1"/>
    <w:rsid w:val="6C0150AE"/>
    <w:rsid w:val="6C060AF4"/>
    <w:rsid w:val="6C156246"/>
    <w:rsid w:val="6C176F49"/>
    <w:rsid w:val="6C283176"/>
    <w:rsid w:val="6C2E004A"/>
    <w:rsid w:val="6C2F2F24"/>
    <w:rsid w:val="6C353187"/>
    <w:rsid w:val="6C5506F2"/>
    <w:rsid w:val="6C6770B8"/>
    <w:rsid w:val="6C691082"/>
    <w:rsid w:val="6C7472BA"/>
    <w:rsid w:val="6C787517"/>
    <w:rsid w:val="6C811BF6"/>
    <w:rsid w:val="6C832108"/>
    <w:rsid w:val="6C8D6E7D"/>
    <w:rsid w:val="6C910945"/>
    <w:rsid w:val="6CAB1467"/>
    <w:rsid w:val="6CB00A5F"/>
    <w:rsid w:val="6CD25159"/>
    <w:rsid w:val="6CE16A55"/>
    <w:rsid w:val="6CEE5300"/>
    <w:rsid w:val="6CF26E2B"/>
    <w:rsid w:val="6CFF4053"/>
    <w:rsid w:val="6D093958"/>
    <w:rsid w:val="6D0F1C2A"/>
    <w:rsid w:val="6D110C83"/>
    <w:rsid w:val="6D13080A"/>
    <w:rsid w:val="6D18512F"/>
    <w:rsid w:val="6D203E37"/>
    <w:rsid w:val="6D425CCF"/>
    <w:rsid w:val="6D4D4500"/>
    <w:rsid w:val="6D611D5A"/>
    <w:rsid w:val="6D666FD4"/>
    <w:rsid w:val="6D6C154A"/>
    <w:rsid w:val="6D746C5F"/>
    <w:rsid w:val="6D7A38A3"/>
    <w:rsid w:val="6D7C21C8"/>
    <w:rsid w:val="6D7D3037"/>
    <w:rsid w:val="6D80350C"/>
    <w:rsid w:val="6D855A48"/>
    <w:rsid w:val="6D8A12B0"/>
    <w:rsid w:val="6D973569"/>
    <w:rsid w:val="6D9E4D5C"/>
    <w:rsid w:val="6DC66C53"/>
    <w:rsid w:val="6DC85463"/>
    <w:rsid w:val="6DD90FD0"/>
    <w:rsid w:val="6DE4018A"/>
    <w:rsid w:val="6DE966E9"/>
    <w:rsid w:val="6DEA1D4F"/>
    <w:rsid w:val="6DF146C9"/>
    <w:rsid w:val="6DF332FA"/>
    <w:rsid w:val="6DF826BE"/>
    <w:rsid w:val="6DFC36CB"/>
    <w:rsid w:val="6DFC7958"/>
    <w:rsid w:val="6E014356"/>
    <w:rsid w:val="6E112C50"/>
    <w:rsid w:val="6E1B63AC"/>
    <w:rsid w:val="6E1F5E9D"/>
    <w:rsid w:val="6E233706"/>
    <w:rsid w:val="6E34121C"/>
    <w:rsid w:val="6E363E4D"/>
    <w:rsid w:val="6E366170"/>
    <w:rsid w:val="6E391F20"/>
    <w:rsid w:val="6E4362DB"/>
    <w:rsid w:val="6E447668"/>
    <w:rsid w:val="6E463322"/>
    <w:rsid w:val="6E475935"/>
    <w:rsid w:val="6E535B46"/>
    <w:rsid w:val="6E5A6ED5"/>
    <w:rsid w:val="6E5B01F7"/>
    <w:rsid w:val="6E5D4C17"/>
    <w:rsid w:val="6E6155D7"/>
    <w:rsid w:val="6E667013"/>
    <w:rsid w:val="6E6B54BC"/>
    <w:rsid w:val="6E70046B"/>
    <w:rsid w:val="6E7117DA"/>
    <w:rsid w:val="6E82642B"/>
    <w:rsid w:val="6E8E69EC"/>
    <w:rsid w:val="6E91666F"/>
    <w:rsid w:val="6E9B129F"/>
    <w:rsid w:val="6EBB1D37"/>
    <w:rsid w:val="6EBE032E"/>
    <w:rsid w:val="6EBE0FAE"/>
    <w:rsid w:val="6EBE1382"/>
    <w:rsid w:val="6EC7660D"/>
    <w:rsid w:val="6ECE1671"/>
    <w:rsid w:val="6ED50C51"/>
    <w:rsid w:val="6ED53956"/>
    <w:rsid w:val="6ED62ED9"/>
    <w:rsid w:val="6EE13152"/>
    <w:rsid w:val="6EE66F8A"/>
    <w:rsid w:val="6EE834ED"/>
    <w:rsid w:val="6EEE3AC1"/>
    <w:rsid w:val="6EF01055"/>
    <w:rsid w:val="6EF94940"/>
    <w:rsid w:val="6F0158EE"/>
    <w:rsid w:val="6F0311BD"/>
    <w:rsid w:val="6F060E0B"/>
    <w:rsid w:val="6F1C23DC"/>
    <w:rsid w:val="6F1C7596"/>
    <w:rsid w:val="6F1D6514"/>
    <w:rsid w:val="6F1E6154"/>
    <w:rsid w:val="6F2030BB"/>
    <w:rsid w:val="6F2D21F5"/>
    <w:rsid w:val="6F323685"/>
    <w:rsid w:val="6F34175B"/>
    <w:rsid w:val="6F410095"/>
    <w:rsid w:val="6F413BF1"/>
    <w:rsid w:val="6F6D0E8A"/>
    <w:rsid w:val="6F704DD5"/>
    <w:rsid w:val="6F7F4719"/>
    <w:rsid w:val="6F83245B"/>
    <w:rsid w:val="6F8561D3"/>
    <w:rsid w:val="6F881820"/>
    <w:rsid w:val="6F8F2BAE"/>
    <w:rsid w:val="6F983B5E"/>
    <w:rsid w:val="6F9D3BEC"/>
    <w:rsid w:val="6F9E1043"/>
    <w:rsid w:val="6FA50623"/>
    <w:rsid w:val="6FAA41EF"/>
    <w:rsid w:val="6FD40F09"/>
    <w:rsid w:val="6FD77B69"/>
    <w:rsid w:val="6FDA294C"/>
    <w:rsid w:val="6FEB1A68"/>
    <w:rsid w:val="6FEF189F"/>
    <w:rsid w:val="6FF356A3"/>
    <w:rsid w:val="6FFF3775"/>
    <w:rsid w:val="7007308C"/>
    <w:rsid w:val="701C781D"/>
    <w:rsid w:val="7028385F"/>
    <w:rsid w:val="702C48A1"/>
    <w:rsid w:val="702F613F"/>
    <w:rsid w:val="7044390C"/>
    <w:rsid w:val="70484A87"/>
    <w:rsid w:val="705209DB"/>
    <w:rsid w:val="705E48CC"/>
    <w:rsid w:val="70795447"/>
    <w:rsid w:val="707E585B"/>
    <w:rsid w:val="70805D84"/>
    <w:rsid w:val="709D754D"/>
    <w:rsid w:val="70AA16A4"/>
    <w:rsid w:val="70B663BF"/>
    <w:rsid w:val="70B76860"/>
    <w:rsid w:val="70B836C6"/>
    <w:rsid w:val="70BA3C5B"/>
    <w:rsid w:val="70BA41A4"/>
    <w:rsid w:val="70C10C1B"/>
    <w:rsid w:val="70D77694"/>
    <w:rsid w:val="70E1438C"/>
    <w:rsid w:val="70F03091"/>
    <w:rsid w:val="70F85065"/>
    <w:rsid w:val="70F97914"/>
    <w:rsid w:val="70FC2C1E"/>
    <w:rsid w:val="7104137A"/>
    <w:rsid w:val="711002EC"/>
    <w:rsid w:val="711A6178"/>
    <w:rsid w:val="711F6EC3"/>
    <w:rsid w:val="712F289B"/>
    <w:rsid w:val="71302058"/>
    <w:rsid w:val="71325434"/>
    <w:rsid w:val="713752AB"/>
    <w:rsid w:val="713F5FBC"/>
    <w:rsid w:val="71467BE4"/>
    <w:rsid w:val="71470D84"/>
    <w:rsid w:val="71566079"/>
    <w:rsid w:val="71584194"/>
    <w:rsid w:val="716167CC"/>
    <w:rsid w:val="716500E8"/>
    <w:rsid w:val="71775A02"/>
    <w:rsid w:val="717C0C66"/>
    <w:rsid w:val="71805B23"/>
    <w:rsid w:val="71826B1C"/>
    <w:rsid w:val="7186461F"/>
    <w:rsid w:val="718F158B"/>
    <w:rsid w:val="7190214B"/>
    <w:rsid w:val="7193132F"/>
    <w:rsid w:val="71991A8D"/>
    <w:rsid w:val="719D7D25"/>
    <w:rsid w:val="71A30B93"/>
    <w:rsid w:val="71AA75D9"/>
    <w:rsid w:val="71B45596"/>
    <w:rsid w:val="71B50A2A"/>
    <w:rsid w:val="71C24152"/>
    <w:rsid w:val="71D00A9E"/>
    <w:rsid w:val="71DB032D"/>
    <w:rsid w:val="71EC7119"/>
    <w:rsid w:val="71FB277D"/>
    <w:rsid w:val="71FD4747"/>
    <w:rsid w:val="72200435"/>
    <w:rsid w:val="722F6687"/>
    <w:rsid w:val="72587BCF"/>
    <w:rsid w:val="72606A84"/>
    <w:rsid w:val="726310A6"/>
    <w:rsid w:val="72671BC0"/>
    <w:rsid w:val="72717524"/>
    <w:rsid w:val="727B566C"/>
    <w:rsid w:val="727F515C"/>
    <w:rsid w:val="728D1203"/>
    <w:rsid w:val="72916C3D"/>
    <w:rsid w:val="72936E59"/>
    <w:rsid w:val="729C0B15"/>
    <w:rsid w:val="72A42E14"/>
    <w:rsid w:val="72A50E51"/>
    <w:rsid w:val="72AE439F"/>
    <w:rsid w:val="72B15531"/>
    <w:rsid w:val="72B51591"/>
    <w:rsid w:val="72BC18DB"/>
    <w:rsid w:val="72C01A51"/>
    <w:rsid w:val="72C43D93"/>
    <w:rsid w:val="72C81EB8"/>
    <w:rsid w:val="72C830E4"/>
    <w:rsid w:val="72C8476B"/>
    <w:rsid w:val="72CA436E"/>
    <w:rsid w:val="72CC4119"/>
    <w:rsid w:val="72D74F98"/>
    <w:rsid w:val="72D76034"/>
    <w:rsid w:val="72DF5BFA"/>
    <w:rsid w:val="72FA0103"/>
    <w:rsid w:val="730166C4"/>
    <w:rsid w:val="730860CE"/>
    <w:rsid w:val="731A76E0"/>
    <w:rsid w:val="7324340A"/>
    <w:rsid w:val="73243F55"/>
    <w:rsid w:val="732857F3"/>
    <w:rsid w:val="73383970"/>
    <w:rsid w:val="733F6699"/>
    <w:rsid w:val="734A3C51"/>
    <w:rsid w:val="734A60ED"/>
    <w:rsid w:val="735E1215"/>
    <w:rsid w:val="735F7E80"/>
    <w:rsid w:val="736856FA"/>
    <w:rsid w:val="736B6686"/>
    <w:rsid w:val="738F7621"/>
    <w:rsid w:val="739862FF"/>
    <w:rsid w:val="73A32B9F"/>
    <w:rsid w:val="73B47087"/>
    <w:rsid w:val="73B93EE5"/>
    <w:rsid w:val="73C848E1"/>
    <w:rsid w:val="73CA47F0"/>
    <w:rsid w:val="73D04950"/>
    <w:rsid w:val="73E07E7C"/>
    <w:rsid w:val="73EC1C67"/>
    <w:rsid w:val="73F01B2B"/>
    <w:rsid w:val="74006D99"/>
    <w:rsid w:val="7400729B"/>
    <w:rsid w:val="74046EC7"/>
    <w:rsid w:val="740A0E8A"/>
    <w:rsid w:val="74127B2E"/>
    <w:rsid w:val="74143FCA"/>
    <w:rsid w:val="7419411D"/>
    <w:rsid w:val="741C2333"/>
    <w:rsid w:val="74294E24"/>
    <w:rsid w:val="743A1F17"/>
    <w:rsid w:val="744620EA"/>
    <w:rsid w:val="7447142D"/>
    <w:rsid w:val="744A0A36"/>
    <w:rsid w:val="744D4DE6"/>
    <w:rsid w:val="744E0060"/>
    <w:rsid w:val="745D327B"/>
    <w:rsid w:val="745F446B"/>
    <w:rsid w:val="74630CA8"/>
    <w:rsid w:val="746565D3"/>
    <w:rsid w:val="74685100"/>
    <w:rsid w:val="746C5BB4"/>
    <w:rsid w:val="7477209D"/>
    <w:rsid w:val="74880A8D"/>
    <w:rsid w:val="74890514"/>
    <w:rsid w:val="748C1DB2"/>
    <w:rsid w:val="74911B2D"/>
    <w:rsid w:val="749249A3"/>
    <w:rsid w:val="749621C3"/>
    <w:rsid w:val="74B14E2F"/>
    <w:rsid w:val="74B17A6A"/>
    <w:rsid w:val="74D26581"/>
    <w:rsid w:val="74E03EAC"/>
    <w:rsid w:val="750E1A2C"/>
    <w:rsid w:val="75143B34"/>
    <w:rsid w:val="751C3813"/>
    <w:rsid w:val="75241EE8"/>
    <w:rsid w:val="752913AF"/>
    <w:rsid w:val="752A6815"/>
    <w:rsid w:val="75385D85"/>
    <w:rsid w:val="753E53F8"/>
    <w:rsid w:val="75410B55"/>
    <w:rsid w:val="7544443B"/>
    <w:rsid w:val="754449AA"/>
    <w:rsid w:val="75493FA0"/>
    <w:rsid w:val="754B774E"/>
    <w:rsid w:val="755631FD"/>
    <w:rsid w:val="7563404D"/>
    <w:rsid w:val="756B17C2"/>
    <w:rsid w:val="75752CBC"/>
    <w:rsid w:val="757840E4"/>
    <w:rsid w:val="758C505A"/>
    <w:rsid w:val="758E1150"/>
    <w:rsid w:val="759C4277"/>
    <w:rsid w:val="75A35605"/>
    <w:rsid w:val="75BF12C2"/>
    <w:rsid w:val="75C92068"/>
    <w:rsid w:val="75E2374B"/>
    <w:rsid w:val="75EA76E6"/>
    <w:rsid w:val="760B5BA4"/>
    <w:rsid w:val="76125DC8"/>
    <w:rsid w:val="761A68BF"/>
    <w:rsid w:val="761C31CE"/>
    <w:rsid w:val="761E678D"/>
    <w:rsid w:val="761F17AF"/>
    <w:rsid w:val="7625601A"/>
    <w:rsid w:val="762A59BC"/>
    <w:rsid w:val="762E0629"/>
    <w:rsid w:val="76365202"/>
    <w:rsid w:val="76377EBF"/>
    <w:rsid w:val="7641097A"/>
    <w:rsid w:val="76465A9E"/>
    <w:rsid w:val="764A782F"/>
    <w:rsid w:val="766F7295"/>
    <w:rsid w:val="76740B28"/>
    <w:rsid w:val="767C0520"/>
    <w:rsid w:val="767D591C"/>
    <w:rsid w:val="768A0D13"/>
    <w:rsid w:val="768A0F6F"/>
    <w:rsid w:val="769008A6"/>
    <w:rsid w:val="76960CC6"/>
    <w:rsid w:val="76A048AC"/>
    <w:rsid w:val="76A96C4B"/>
    <w:rsid w:val="76B25166"/>
    <w:rsid w:val="76B63E95"/>
    <w:rsid w:val="76BA0E58"/>
    <w:rsid w:val="76BD6253"/>
    <w:rsid w:val="76BF646F"/>
    <w:rsid w:val="76D04465"/>
    <w:rsid w:val="76D17F50"/>
    <w:rsid w:val="76DE7CF4"/>
    <w:rsid w:val="76E53691"/>
    <w:rsid w:val="76E94580"/>
    <w:rsid w:val="76F667DF"/>
    <w:rsid w:val="770E7A76"/>
    <w:rsid w:val="770F2826"/>
    <w:rsid w:val="771B741D"/>
    <w:rsid w:val="772C33D8"/>
    <w:rsid w:val="77334767"/>
    <w:rsid w:val="7739014D"/>
    <w:rsid w:val="773C53F2"/>
    <w:rsid w:val="774145B5"/>
    <w:rsid w:val="774207F9"/>
    <w:rsid w:val="77572FE5"/>
    <w:rsid w:val="775D7A36"/>
    <w:rsid w:val="77635FFB"/>
    <w:rsid w:val="776502A1"/>
    <w:rsid w:val="7765243C"/>
    <w:rsid w:val="776E39F1"/>
    <w:rsid w:val="77770AF7"/>
    <w:rsid w:val="777750FD"/>
    <w:rsid w:val="777976C6"/>
    <w:rsid w:val="777F40F1"/>
    <w:rsid w:val="77895BD7"/>
    <w:rsid w:val="778C10EB"/>
    <w:rsid w:val="778D0A0C"/>
    <w:rsid w:val="779109C2"/>
    <w:rsid w:val="7795357A"/>
    <w:rsid w:val="77976AA4"/>
    <w:rsid w:val="77A317DE"/>
    <w:rsid w:val="77C32DB7"/>
    <w:rsid w:val="77D47CF8"/>
    <w:rsid w:val="77E50B56"/>
    <w:rsid w:val="77EB7AA5"/>
    <w:rsid w:val="77F71C38"/>
    <w:rsid w:val="77FE4A83"/>
    <w:rsid w:val="78116641"/>
    <w:rsid w:val="781520BE"/>
    <w:rsid w:val="78202F3D"/>
    <w:rsid w:val="78306EF8"/>
    <w:rsid w:val="7834401B"/>
    <w:rsid w:val="783B1B25"/>
    <w:rsid w:val="78443BB5"/>
    <w:rsid w:val="7850693E"/>
    <w:rsid w:val="786C7F30"/>
    <w:rsid w:val="786D3CA8"/>
    <w:rsid w:val="788447F1"/>
    <w:rsid w:val="78845529"/>
    <w:rsid w:val="78864F46"/>
    <w:rsid w:val="78931D82"/>
    <w:rsid w:val="78964BF4"/>
    <w:rsid w:val="7899575F"/>
    <w:rsid w:val="789D523F"/>
    <w:rsid w:val="78A024F9"/>
    <w:rsid w:val="78A15FD9"/>
    <w:rsid w:val="78A53466"/>
    <w:rsid w:val="78AA2E61"/>
    <w:rsid w:val="78AD0B69"/>
    <w:rsid w:val="78AE5333"/>
    <w:rsid w:val="78B96EEE"/>
    <w:rsid w:val="78C55DFD"/>
    <w:rsid w:val="78C567A6"/>
    <w:rsid w:val="78C60314"/>
    <w:rsid w:val="78CB776D"/>
    <w:rsid w:val="78D45AD6"/>
    <w:rsid w:val="78DB6E64"/>
    <w:rsid w:val="78E7643C"/>
    <w:rsid w:val="78EA0EF4"/>
    <w:rsid w:val="78EE2F7E"/>
    <w:rsid w:val="78F87F4B"/>
    <w:rsid w:val="79012A35"/>
    <w:rsid w:val="790E548B"/>
    <w:rsid w:val="79154BF7"/>
    <w:rsid w:val="791800B8"/>
    <w:rsid w:val="79227CA0"/>
    <w:rsid w:val="79281F0D"/>
    <w:rsid w:val="792D2865"/>
    <w:rsid w:val="79305A4F"/>
    <w:rsid w:val="79390991"/>
    <w:rsid w:val="79392125"/>
    <w:rsid w:val="793A26E6"/>
    <w:rsid w:val="793D0209"/>
    <w:rsid w:val="793F5645"/>
    <w:rsid w:val="79440201"/>
    <w:rsid w:val="794762A8"/>
    <w:rsid w:val="794A1AFD"/>
    <w:rsid w:val="79690928"/>
    <w:rsid w:val="79742119"/>
    <w:rsid w:val="79865565"/>
    <w:rsid w:val="79982FA7"/>
    <w:rsid w:val="79A11E5C"/>
    <w:rsid w:val="79A603DD"/>
    <w:rsid w:val="79A8143C"/>
    <w:rsid w:val="79BA2F1D"/>
    <w:rsid w:val="79C8157F"/>
    <w:rsid w:val="79D51E89"/>
    <w:rsid w:val="79E20E75"/>
    <w:rsid w:val="79F049B2"/>
    <w:rsid w:val="79F3459F"/>
    <w:rsid w:val="79FF6B82"/>
    <w:rsid w:val="7A0A3F6B"/>
    <w:rsid w:val="7A0A5C53"/>
    <w:rsid w:val="7A0D7620"/>
    <w:rsid w:val="7A0F14BB"/>
    <w:rsid w:val="7A2471F6"/>
    <w:rsid w:val="7A2A1C30"/>
    <w:rsid w:val="7A3740A0"/>
    <w:rsid w:val="7A434FE1"/>
    <w:rsid w:val="7A513882"/>
    <w:rsid w:val="7A553A21"/>
    <w:rsid w:val="7A567942"/>
    <w:rsid w:val="7A6102D5"/>
    <w:rsid w:val="7A660A22"/>
    <w:rsid w:val="7A6E36DB"/>
    <w:rsid w:val="7A7E03EF"/>
    <w:rsid w:val="7A80384C"/>
    <w:rsid w:val="7A85352B"/>
    <w:rsid w:val="7A8E7006"/>
    <w:rsid w:val="7AAC4F5C"/>
    <w:rsid w:val="7ADA6977"/>
    <w:rsid w:val="7AF3424C"/>
    <w:rsid w:val="7AF64429"/>
    <w:rsid w:val="7AFB1D90"/>
    <w:rsid w:val="7B067D98"/>
    <w:rsid w:val="7B194A7F"/>
    <w:rsid w:val="7B1A7A66"/>
    <w:rsid w:val="7B1D5512"/>
    <w:rsid w:val="7B22521E"/>
    <w:rsid w:val="7B23416A"/>
    <w:rsid w:val="7B244CA7"/>
    <w:rsid w:val="7B336314"/>
    <w:rsid w:val="7B362A78"/>
    <w:rsid w:val="7B3867F0"/>
    <w:rsid w:val="7B3A6C7C"/>
    <w:rsid w:val="7B3D3B4B"/>
    <w:rsid w:val="7B4A02D1"/>
    <w:rsid w:val="7B5F5AFA"/>
    <w:rsid w:val="7B6C1FF5"/>
    <w:rsid w:val="7B7B492E"/>
    <w:rsid w:val="7B7B54C6"/>
    <w:rsid w:val="7B7D1600"/>
    <w:rsid w:val="7B827A6B"/>
    <w:rsid w:val="7B964991"/>
    <w:rsid w:val="7BA70B4C"/>
    <w:rsid w:val="7BB17294"/>
    <w:rsid w:val="7BB20A57"/>
    <w:rsid w:val="7BB340C8"/>
    <w:rsid w:val="7BB51BEE"/>
    <w:rsid w:val="7BB5765B"/>
    <w:rsid w:val="7BBE695A"/>
    <w:rsid w:val="7BC40C79"/>
    <w:rsid w:val="7BC44A1E"/>
    <w:rsid w:val="7BCA404B"/>
    <w:rsid w:val="7BDA3403"/>
    <w:rsid w:val="7C0102E1"/>
    <w:rsid w:val="7C042B76"/>
    <w:rsid w:val="7C05459C"/>
    <w:rsid w:val="7C0861C2"/>
    <w:rsid w:val="7C1F46EF"/>
    <w:rsid w:val="7C220EB8"/>
    <w:rsid w:val="7C240B22"/>
    <w:rsid w:val="7C324FED"/>
    <w:rsid w:val="7C441495"/>
    <w:rsid w:val="7C4B31AD"/>
    <w:rsid w:val="7C526DF8"/>
    <w:rsid w:val="7C5347E4"/>
    <w:rsid w:val="7C536D83"/>
    <w:rsid w:val="7C570EF7"/>
    <w:rsid w:val="7C574A54"/>
    <w:rsid w:val="7C596715"/>
    <w:rsid w:val="7C5A4544"/>
    <w:rsid w:val="7C6929D9"/>
    <w:rsid w:val="7C7E237D"/>
    <w:rsid w:val="7C845556"/>
    <w:rsid w:val="7C9F71A0"/>
    <w:rsid w:val="7CA57EB5"/>
    <w:rsid w:val="7CB969F6"/>
    <w:rsid w:val="7CC131A3"/>
    <w:rsid w:val="7CC52305"/>
    <w:rsid w:val="7CCD3A4B"/>
    <w:rsid w:val="7CD010E3"/>
    <w:rsid w:val="7CE17DF9"/>
    <w:rsid w:val="7CF24F98"/>
    <w:rsid w:val="7CF927D8"/>
    <w:rsid w:val="7CF9504E"/>
    <w:rsid w:val="7D020E63"/>
    <w:rsid w:val="7D050953"/>
    <w:rsid w:val="7D0C7F34"/>
    <w:rsid w:val="7D0F3580"/>
    <w:rsid w:val="7D1961AD"/>
    <w:rsid w:val="7D2012E9"/>
    <w:rsid w:val="7D25327D"/>
    <w:rsid w:val="7D306322"/>
    <w:rsid w:val="7D3357F3"/>
    <w:rsid w:val="7D3B25C7"/>
    <w:rsid w:val="7D4044DD"/>
    <w:rsid w:val="7D4633F9"/>
    <w:rsid w:val="7D485E49"/>
    <w:rsid w:val="7D4A2001"/>
    <w:rsid w:val="7D567401"/>
    <w:rsid w:val="7D67516A"/>
    <w:rsid w:val="7D7659DE"/>
    <w:rsid w:val="7D79258E"/>
    <w:rsid w:val="7D7B0E69"/>
    <w:rsid w:val="7D800A3A"/>
    <w:rsid w:val="7D8C4BD1"/>
    <w:rsid w:val="7D9161BE"/>
    <w:rsid w:val="7D9E49CC"/>
    <w:rsid w:val="7D9F66B2"/>
    <w:rsid w:val="7DAE1F77"/>
    <w:rsid w:val="7DB6355C"/>
    <w:rsid w:val="7DBA5527"/>
    <w:rsid w:val="7DC5620E"/>
    <w:rsid w:val="7DE54F37"/>
    <w:rsid w:val="7DFA62FA"/>
    <w:rsid w:val="7E0B2A1D"/>
    <w:rsid w:val="7E0F3718"/>
    <w:rsid w:val="7E1A042F"/>
    <w:rsid w:val="7E3137AA"/>
    <w:rsid w:val="7E3D5ECB"/>
    <w:rsid w:val="7E444DD6"/>
    <w:rsid w:val="7E5E656D"/>
    <w:rsid w:val="7E6848F8"/>
    <w:rsid w:val="7E740ADF"/>
    <w:rsid w:val="7E7E1F30"/>
    <w:rsid w:val="7E7F4735"/>
    <w:rsid w:val="7E7F4DF5"/>
    <w:rsid w:val="7E926F2F"/>
    <w:rsid w:val="7E952C57"/>
    <w:rsid w:val="7EA47CF8"/>
    <w:rsid w:val="7EA6480B"/>
    <w:rsid w:val="7EAA3560"/>
    <w:rsid w:val="7EAE5EA1"/>
    <w:rsid w:val="7EAE6F8A"/>
    <w:rsid w:val="7EB3786D"/>
    <w:rsid w:val="7ECA59B1"/>
    <w:rsid w:val="7ED25268"/>
    <w:rsid w:val="7ED54355"/>
    <w:rsid w:val="7EDB5E10"/>
    <w:rsid w:val="7EEF3669"/>
    <w:rsid w:val="7EF40C80"/>
    <w:rsid w:val="7EF46ED2"/>
    <w:rsid w:val="7EF8591E"/>
    <w:rsid w:val="7EFE38AC"/>
    <w:rsid w:val="7F007624"/>
    <w:rsid w:val="7F043127"/>
    <w:rsid w:val="7F0F5F09"/>
    <w:rsid w:val="7F3B23CC"/>
    <w:rsid w:val="7F4A08A0"/>
    <w:rsid w:val="7F6E0A32"/>
    <w:rsid w:val="7F7017E1"/>
    <w:rsid w:val="7F7F4F19"/>
    <w:rsid w:val="7F9955E2"/>
    <w:rsid w:val="7FAA57E2"/>
    <w:rsid w:val="7FB37DE5"/>
    <w:rsid w:val="7FBA0541"/>
    <w:rsid w:val="7FBC4F26"/>
    <w:rsid w:val="7FBD5515"/>
    <w:rsid w:val="7FC22B2C"/>
    <w:rsid w:val="7FC93EBA"/>
    <w:rsid w:val="7FCC39AA"/>
    <w:rsid w:val="7FD27FC2"/>
    <w:rsid w:val="7FD53BF4"/>
    <w:rsid w:val="7FDA7E75"/>
    <w:rsid w:val="7FE5733F"/>
    <w:rsid w:val="7FF97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宋体" w:hAnsi="宋体" w:eastAsia="宋体" w:cs="宋体"/>
      <w:kern w:val="2"/>
      <w:sz w:val="21"/>
      <w:szCs w:val="24"/>
      <w:lang w:val="en-US" w:eastAsia="zh-CN" w:bidi="ar-SA"/>
    </w:rPr>
  </w:style>
  <w:style w:type="paragraph" w:styleId="2">
    <w:name w:val="heading 1"/>
    <w:basedOn w:val="1"/>
    <w:next w:val="1"/>
    <w:link w:val="128"/>
    <w:qFormat/>
    <w:uiPriority w:val="0"/>
    <w:pPr>
      <w:keepNext/>
      <w:jc w:val="center"/>
      <w:outlineLvl w:val="0"/>
    </w:pPr>
    <w:rPr>
      <w:b/>
      <w:bCs/>
      <w:sz w:val="24"/>
      <w:szCs w:val="20"/>
    </w:rPr>
  </w:style>
  <w:style w:type="paragraph" w:styleId="3">
    <w:name w:val="heading 2"/>
    <w:basedOn w:val="1"/>
    <w:next w:val="4"/>
    <w:link w:val="87"/>
    <w:qFormat/>
    <w:uiPriority w:val="0"/>
    <w:pPr>
      <w:keepNext/>
      <w:keepLines/>
      <w:outlineLvl w:val="1"/>
    </w:pPr>
    <w:rPr>
      <w:rFonts w:ascii="Arial" w:hAnsi="Arial"/>
      <w:b/>
      <w:bCs/>
      <w:sz w:val="24"/>
      <w:szCs w:val="32"/>
    </w:rPr>
  </w:style>
  <w:style w:type="paragraph" w:styleId="5">
    <w:name w:val="heading 3"/>
    <w:basedOn w:val="1"/>
    <w:next w:val="1"/>
    <w:link w:val="108"/>
    <w:qFormat/>
    <w:uiPriority w:val="0"/>
    <w:pPr>
      <w:keepNext/>
      <w:keepLines/>
      <w:spacing w:before="260" w:after="260" w:line="416" w:lineRule="auto"/>
      <w:outlineLvl w:val="2"/>
    </w:pPr>
    <w:rPr>
      <w:b/>
      <w:bCs/>
      <w:sz w:val="32"/>
      <w:szCs w:val="32"/>
    </w:rPr>
  </w:style>
  <w:style w:type="paragraph" w:styleId="6">
    <w:name w:val="heading 4"/>
    <w:basedOn w:val="1"/>
    <w:next w:val="1"/>
    <w:link w:val="15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4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8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8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9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96"/>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jc w:val="left"/>
    </w:pPr>
    <w:rPr>
      <w:kern w:val="0"/>
      <w:sz w:val="20"/>
      <w:szCs w:val="20"/>
    </w:rPr>
  </w:style>
  <w:style w:type="paragraph" w:styleId="12">
    <w:name w:val="toc 7"/>
    <w:basedOn w:val="1"/>
    <w:next w:val="1"/>
    <w:qFormat/>
    <w:uiPriority w:val="0"/>
    <w:pPr>
      <w:ind w:left="2520" w:leftChars="1200"/>
    </w:pPr>
    <w:rPr>
      <w:rFonts w:ascii="Calibri" w:hAnsi="Calibri"/>
      <w:szCs w:val="22"/>
    </w:rPr>
  </w:style>
  <w:style w:type="paragraph" w:styleId="13">
    <w:name w:val="Document Map"/>
    <w:basedOn w:val="1"/>
    <w:semiHidden/>
    <w:qFormat/>
    <w:uiPriority w:val="0"/>
    <w:pPr>
      <w:shd w:val="clear" w:color="auto" w:fill="000080"/>
    </w:pPr>
  </w:style>
  <w:style w:type="paragraph" w:styleId="14">
    <w:name w:val="annotation text"/>
    <w:basedOn w:val="1"/>
    <w:link w:val="129"/>
    <w:semiHidden/>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qFormat/>
    <w:uiPriority w:val="0"/>
    <w:pPr>
      <w:autoSpaceDE w:val="0"/>
      <w:autoSpaceDN w:val="0"/>
      <w:adjustRightInd w:val="0"/>
      <w:spacing w:line="410" w:lineRule="atLeast"/>
      <w:jc w:val="left"/>
    </w:pPr>
    <w:rPr>
      <w:color w:val="000000"/>
      <w:kern w:val="0"/>
      <w:sz w:val="24"/>
      <w:szCs w:val="20"/>
    </w:rPr>
  </w:style>
  <w:style w:type="paragraph" w:styleId="17">
    <w:name w:val="Body Text"/>
    <w:basedOn w:val="1"/>
    <w:qFormat/>
    <w:uiPriority w:val="0"/>
    <w:pPr>
      <w:spacing w:after="120"/>
    </w:pPr>
  </w:style>
  <w:style w:type="paragraph" w:styleId="18">
    <w:name w:val="Body Text Indent"/>
    <w:basedOn w:val="1"/>
    <w:link w:val="98"/>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qFormat/>
    <w:uiPriority w:val="0"/>
    <w:pPr>
      <w:ind w:left="1680" w:leftChars="800"/>
    </w:pPr>
    <w:rPr>
      <w:rFonts w:ascii="Calibri" w:hAnsi="Calibri"/>
      <w:szCs w:val="22"/>
    </w:rPr>
  </w:style>
  <w:style w:type="paragraph" w:styleId="21">
    <w:name w:val="toc 3"/>
    <w:basedOn w:val="1"/>
    <w:next w:val="1"/>
    <w:qFormat/>
    <w:uiPriority w:val="0"/>
    <w:pPr>
      <w:ind w:left="840" w:leftChars="400"/>
    </w:pPr>
  </w:style>
  <w:style w:type="paragraph" w:styleId="22">
    <w:name w:val="Plain Text"/>
    <w:basedOn w:val="1"/>
    <w:link w:val="153"/>
    <w:qFormat/>
    <w:uiPriority w:val="0"/>
    <w:rPr>
      <w:rFonts w:hAnsi="Courier New" w:cs="Courier New"/>
      <w:szCs w:val="21"/>
    </w:rPr>
  </w:style>
  <w:style w:type="paragraph" w:styleId="23">
    <w:name w:val="toc 8"/>
    <w:basedOn w:val="1"/>
    <w:next w:val="1"/>
    <w:qFormat/>
    <w:uiPriority w:val="0"/>
    <w:pPr>
      <w:ind w:left="2940" w:leftChars="1400"/>
    </w:pPr>
    <w:rPr>
      <w:rFonts w:ascii="Calibri" w:hAnsi="Calibri"/>
      <w:szCs w:val="22"/>
    </w:rPr>
  </w:style>
  <w:style w:type="paragraph" w:styleId="24">
    <w:name w:val="Date"/>
    <w:basedOn w:val="1"/>
    <w:next w:val="1"/>
    <w:link w:val="85"/>
    <w:qFormat/>
    <w:uiPriority w:val="0"/>
    <w:rPr>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135"/>
    <w:qFormat/>
    <w:uiPriority w:val="0"/>
    <w:rPr>
      <w:rFonts w:ascii="Calibri" w:hAnsi="Calibri"/>
      <w:sz w:val="18"/>
      <w:szCs w:val="18"/>
    </w:rPr>
  </w:style>
  <w:style w:type="paragraph" w:styleId="27">
    <w:name w:val="footer"/>
    <w:basedOn w:val="1"/>
    <w:link w:val="161"/>
    <w:qFormat/>
    <w:uiPriority w:val="0"/>
    <w:pPr>
      <w:tabs>
        <w:tab w:val="center" w:pos="4153"/>
        <w:tab w:val="right" w:pos="8306"/>
      </w:tabs>
      <w:snapToGrid w:val="0"/>
      <w:jc w:val="left"/>
    </w:pPr>
    <w:rPr>
      <w:sz w:val="18"/>
      <w:szCs w:val="18"/>
    </w:rPr>
  </w:style>
  <w:style w:type="paragraph" w:styleId="28">
    <w:name w:val="header"/>
    <w:basedOn w:val="1"/>
    <w:link w:val="11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rPr>
      <w:rFonts w:ascii="华文中宋" w:eastAsia="华文中宋"/>
      <w:b/>
      <w:sz w:val="28"/>
      <w:szCs w:val="28"/>
    </w:rPr>
  </w:style>
  <w:style w:type="paragraph" w:styleId="30">
    <w:name w:val="toc 4"/>
    <w:basedOn w:val="1"/>
    <w:next w:val="1"/>
    <w:qFormat/>
    <w:uiPriority w:val="0"/>
    <w:pPr>
      <w:ind w:left="1260" w:leftChars="600"/>
    </w:pPr>
  </w:style>
  <w:style w:type="paragraph" w:styleId="31">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2">
    <w:name w:val="footnote text"/>
    <w:basedOn w:val="1"/>
    <w:semiHidden/>
    <w:qFormat/>
    <w:uiPriority w:val="0"/>
    <w:pPr>
      <w:snapToGrid w:val="0"/>
      <w:ind w:firstLine="200"/>
      <w:jc w:val="left"/>
    </w:pPr>
    <w:rPr>
      <w:sz w:val="18"/>
      <w:szCs w:val="18"/>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120"/>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next w:val="1"/>
    <w:qFormat/>
    <w:uiPriority w:val="0"/>
    <w:pPr>
      <w:spacing w:after="120" w:line="480" w:lineRule="auto"/>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qFormat/>
    <w:uiPriority w:val="0"/>
    <w:pPr>
      <w:spacing w:before="240" w:after="60"/>
      <w:jc w:val="center"/>
      <w:outlineLvl w:val="0"/>
    </w:pPr>
    <w:rPr>
      <w:rFonts w:ascii="Cambria" w:hAnsi="Cambria"/>
      <w:b/>
      <w:sz w:val="32"/>
    </w:rPr>
  </w:style>
  <w:style w:type="paragraph" w:styleId="42">
    <w:name w:val="annotation subject"/>
    <w:basedOn w:val="14"/>
    <w:next w:val="1"/>
    <w:link w:val="88"/>
    <w:qFormat/>
    <w:uiPriority w:val="0"/>
    <w:rPr>
      <w:b/>
      <w:bCs/>
    </w:rPr>
  </w:style>
  <w:style w:type="paragraph" w:styleId="43">
    <w:name w:val="Body Text First Indent"/>
    <w:basedOn w:val="17"/>
    <w:next w:val="1"/>
    <w:qFormat/>
    <w:uiPriority w:val="0"/>
    <w:pPr>
      <w:ind w:firstLine="100" w:firstLineChars="100"/>
    </w:pPr>
  </w:style>
  <w:style w:type="paragraph" w:styleId="44">
    <w:name w:val="Body Text First Indent 2"/>
    <w:basedOn w:val="18"/>
    <w:qFormat/>
    <w:uiPriority w:val="0"/>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color w:val="5C5C5C"/>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Acronym"/>
    <w:basedOn w:val="47"/>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一级条标题"/>
    <w:basedOn w:val="62"/>
    <w:next w:val="63"/>
    <w:qFormat/>
    <w:uiPriority w:val="0"/>
    <w:pPr>
      <w:spacing w:line="240" w:lineRule="auto"/>
      <w:ind w:left="420"/>
      <w:outlineLvl w:val="2"/>
    </w:pPr>
  </w:style>
  <w:style w:type="paragraph" w:customStyle="1" w:styleId="62">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3">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64">
    <w:name w:val="正文1"/>
    <w:basedOn w:val="1"/>
    <w:qFormat/>
    <w:uiPriority w:val="0"/>
    <w:pPr>
      <w:ind w:firstLine="480"/>
    </w:pPr>
    <w:rPr>
      <w:sz w:val="24"/>
    </w:rPr>
  </w:style>
  <w:style w:type="paragraph" w:customStyle="1" w:styleId="6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6">
    <w:name w:val="列出段落1"/>
    <w:basedOn w:val="67"/>
    <w:qFormat/>
    <w:uiPriority w:val="34"/>
    <w:pPr>
      <w:ind w:firstLine="420" w:firstLineChars="200"/>
    </w:pPr>
  </w:style>
  <w:style w:type="paragraph" w:customStyle="1" w:styleId="67">
    <w:name w:val="正文_11_0"/>
    <w:next w:val="66"/>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68">
    <w:name w:val="目录 81"/>
    <w:basedOn w:val="1"/>
    <w:next w:val="1"/>
    <w:qFormat/>
    <w:uiPriority w:val="0"/>
    <w:pPr>
      <w:ind w:left="2940"/>
    </w:pPr>
    <w:rPr>
      <w:rFonts w:ascii="Calibri"/>
    </w:rPr>
  </w:style>
  <w:style w:type="paragraph" w:customStyle="1" w:styleId="69">
    <w:name w:val="表格文字"/>
    <w:basedOn w:val="1"/>
    <w:next w:val="17"/>
    <w:qFormat/>
    <w:uiPriority w:val="0"/>
    <w:pPr>
      <w:adjustRightInd w:val="0"/>
      <w:spacing w:line="420" w:lineRule="atLeast"/>
      <w:jc w:val="left"/>
      <w:textAlignment w:val="baseline"/>
    </w:pPr>
    <w:rPr>
      <w:kern w:val="0"/>
    </w:rPr>
  </w:style>
  <w:style w:type="paragraph" w:customStyle="1" w:styleId="70">
    <w:name w:val="正文格式"/>
    <w:basedOn w:val="17"/>
    <w:next w:val="17"/>
    <w:qFormat/>
    <w:uiPriority w:val="0"/>
    <w:pPr>
      <w:widowControl/>
      <w:adjustRightInd w:val="0"/>
      <w:snapToGrid w:val="0"/>
      <w:spacing w:line="400" w:lineRule="atLeast"/>
      <w:ind w:firstLine="482"/>
      <w:textAlignment w:val="baseline"/>
    </w:pPr>
    <w:rPr>
      <w:kern w:val="0"/>
      <w:sz w:val="24"/>
    </w:rPr>
  </w:style>
  <w:style w:type="paragraph" w:customStyle="1" w:styleId="71">
    <w:name w:val="UserStyle_0"/>
    <w:basedOn w:val="1"/>
    <w:qFormat/>
    <w:uiPriority w:val="0"/>
    <w:pPr>
      <w:jc w:val="left"/>
    </w:pPr>
    <w:rPr>
      <w:color w:val="000000"/>
      <w:sz w:val="24"/>
    </w:rPr>
  </w:style>
  <w:style w:type="paragraph" w:customStyle="1" w:styleId="72">
    <w:name w:val="首行缩进"/>
    <w:basedOn w:val="1"/>
    <w:qFormat/>
    <w:uiPriority w:val="0"/>
    <w:pPr>
      <w:ind w:firstLine="480"/>
    </w:pPr>
    <w:rPr>
      <w:kern w:val="0"/>
      <w:szCs w:val="20"/>
      <w:lang w:val="zh-CN"/>
    </w:rPr>
  </w:style>
  <w:style w:type="paragraph" w:customStyle="1" w:styleId="73">
    <w:name w:val="正文首行缩进1"/>
    <w:basedOn w:val="1"/>
    <w:qFormat/>
    <w:uiPriority w:val="99"/>
    <w:pPr>
      <w:spacing w:after="120"/>
      <w:ind w:firstLine="100" w:firstLineChars="100"/>
    </w:pPr>
  </w:style>
  <w:style w:type="character" w:customStyle="1" w:styleId="74">
    <w:name w:val="页眉 Char"/>
    <w:qFormat/>
    <w:uiPriority w:val="0"/>
    <w:rPr>
      <w:kern w:val="2"/>
      <w:sz w:val="18"/>
      <w:szCs w:val="18"/>
    </w:rPr>
  </w:style>
  <w:style w:type="character" w:customStyle="1" w:styleId="75">
    <w:name w:val="页脚 Char"/>
    <w:qFormat/>
    <w:uiPriority w:val="99"/>
    <w:rPr>
      <w:kern w:val="2"/>
      <w:sz w:val="18"/>
      <w:szCs w:val="18"/>
    </w:rPr>
  </w:style>
  <w:style w:type="character" w:customStyle="1" w:styleId="76">
    <w:name w:val="bds_nopic1"/>
    <w:qFormat/>
    <w:uiPriority w:val="0"/>
    <w:rPr>
      <w:rFonts w:ascii="Times New Roman" w:hAnsi="Times New Roman" w:eastAsia="宋体"/>
    </w:rPr>
  </w:style>
  <w:style w:type="character" w:customStyle="1" w:styleId="77">
    <w:name w:val="Font Style86"/>
    <w:unhideWhenUsed/>
    <w:qFormat/>
    <w:uiPriority w:val="0"/>
    <w:rPr>
      <w:rFonts w:hint="eastAsia" w:ascii="黑体" w:hAnsi="黑体" w:eastAsia="黑体"/>
      <w:spacing w:val="10"/>
      <w:sz w:val="30"/>
    </w:rPr>
  </w:style>
  <w:style w:type="character" w:customStyle="1" w:styleId="78">
    <w:name w:val="Char Char15"/>
    <w:qFormat/>
    <w:uiPriority w:val="0"/>
    <w:rPr>
      <w:b/>
      <w:bCs/>
      <w:sz w:val="24"/>
      <w:szCs w:val="24"/>
    </w:rPr>
  </w:style>
  <w:style w:type="character" w:customStyle="1" w:styleId="79">
    <w:name w:val="Font Style125"/>
    <w:unhideWhenUsed/>
    <w:qFormat/>
    <w:uiPriority w:val="0"/>
    <w:rPr>
      <w:rFonts w:hint="eastAsia" w:ascii="宋体" w:hAnsi="宋体" w:eastAsia="宋体"/>
      <w:b/>
      <w:sz w:val="26"/>
    </w:rPr>
  </w:style>
  <w:style w:type="character" w:customStyle="1" w:styleId="80">
    <w:name w:val="标题 6 Char1"/>
    <w:link w:val="8"/>
    <w:qFormat/>
    <w:uiPriority w:val="0"/>
    <w:rPr>
      <w:rFonts w:ascii="Arial" w:hAnsi="Arial" w:eastAsia="黑体"/>
      <w:b/>
      <w:bCs/>
      <w:sz w:val="24"/>
      <w:szCs w:val="24"/>
      <w:lang w:val="en-US" w:eastAsia="zh-CN" w:bidi="ar-SA"/>
    </w:rPr>
  </w:style>
  <w:style w:type="character" w:customStyle="1" w:styleId="81">
    <w:name w:val="标题 5 Char"/>
    <w:qFormat/>
    <w:uiPriority w:val="0"/>
    <w:rPr>
      <w:b/>
      <w:bCs/>
      <w:kern w:val="2"/>
      <w:sz w:val="28"/>
      <w:szCs w:val="28"/>
    </w:rPr>
  </w:style>
  <w:style w:type="character" w:customStyle="1" w:styleId="82">
    <w:name w:val="Font Style126"/>
    <w:unhideWhenUsed/>
    <w:qFormat/>
    <w:uiPriority w:val="0"/>
    <w:rPr>
      <w:rFonts w:hint="eastAsia" w:ascii="宋体" w:hAnsi="宋体" w:eastAsia="宋体"/>
      <w:b/>
      <w:spacing w:val="-30"/>
      <w:sz w:val="28"/>
    </w:rPr>
  </w:style>
  <w:style w:type="character" w:customStyle="1" w:styleId="83">
    <w:name w:val="Font Style116"/>
    <w:unhideWhenUsed/>
    <w:qFormat/>
    <w:uiPriority w:val="0"/>
    <w:rPr>
      <w:rFonts w:hint="eastAsia" w:ascii="宋体" w:hAnsi="宋体" w:eastAsia="宋体"/>
      <w:spacing w:val="-20"/>
      <w:sz w:val="24"/>
    </w:rPr>
  </w:style>
  <w:style w:type="character" w:customStyle="1" w:styleId="84">
    <w:name w:val="标题 7 Char1"/>
    <w:link w:val="9"/>
    <w:qFormat/>
    <w:uiPriority w:val="0"/>
    <w:rPr>
      <w:rFonts w:eastAsia="宋体"/>
      <w:b/>
      <w:bCs/>
      <w:sz w:val="24"/>
      <w:szCs w:val="24"/>
      <w:lang w:val="en-US" w:eastAsia="zh-CN" w:bidi="ar-SA"/>
    </w:rPr>
  </w:style>
  <w:style w:type="character" w:customStyle="1" w:styleId="85">
    <w:name w:val="日期 Char1"/>
    <w:link w:val="24"/>
    <w:qFormat/>
    <w:uiPriority w:val="0"/>
    <w:rPr>
      <w:rFonts w:eastAsia="宋体"/>
      <w:kern w:val="2"/>
      <w:sz w:val="24"/>
      <w:lang w:val="en-US" w:eastAsia="zh-CN" w:bidi="ar-SA"/>
    </w:rPr>
  </w:style>
  <w:style w:type="character" w:customStyle="1" w:styleId="86">
    <w:name w:val="标题 8 Char"/>
    <w:qFormat/>
    <w:uiPriority w:val="0"/>
    <w:rPr>
      <w:rFonts w:ascii="Arial" w:hAnsi="Arial" w:eastAsia="黑体"/>
      <w:sz w:val="24"/>
      <w:szCs w:val="24"/>
    </w:rPr>
  </w:style>
  <w:style w:type="character" w:customStyle="1" w:styleId="87">
    <w:name w:val="标题 2 Char1"/>
    <w:link w:val="3"/>
    <w:qFormat/>
    <w:uiPriority w:val="0"/>
    <w:rPr>
      <w:rFonts w:ascii="Arial" w:hAnsi="Arial" w:eastAsia="宋体"/>
      <w:b/>
      <w:bCs/>
      <w:kern w:val="2"/>
      <w:sz w:val="24"/>
      <w:szCs w:val="32"/>
      <w:lang w:val="en-US" w:eastAsia="zh-CN" w:bidi="ar-SA"/>
    </w:rPr>
  </w:style>
  <w:style w:type="character" w:customStyle="1" w:styleId="88">
    <w:name w:val="批注主题 Char1"/>
    <w:link w:val="42"/>
    <w:qFormat/>
    <w:uiPriority w:val="0"/>
    <w:rPr>
      <w:rFonts w:eastAsia="宋体"/>
      <w:b/>
      <w:bCs/>
      <w:kern w:val="2"/>
      <w:sz w:val="21"/>
      <w:szCs w:val="24"/>
      <w:lang w:val="en-US" w:eastAsia="zh-CN" w:bidi="ar-SA"/>
    </w:rPr>
  </w:style>
  <w:style w:type="character" w:customStyle="1" w:styleId="89">
    <w:name w:val="标题 3 Char"/>
    <w:qFormat/>
    <w:uiPriority w:val="0"/>
    <w:rPr>
      <w:b/>
      <w:bCs/>
      <w:sz w:val="24"/>
      <w:szCs w:val="24"/>
    </w:rPr>
  </w:style>
  <w:style w:type="character" w:customStyle="1" w:styleId="90">
    <w:name w:val="标题 1 Char"/>
    <w:qFormat/>
    <w:uiPriority w:val="0"/>
    <w:rPr>
      <w:rFonts w:ascii="Cambria" w:hAnsi="Cambria"/>
      <w:b/>
      <w:bCs/>
      <w:kern w:val="32"/>
      <w:sz w:val="32"/>
      <w:szCs w:val="32"/>
    </w:rPr>
  </w:style>
  <w:style w:type="character" w:customStyle="1" w:styleId="91">
    <w:name w:val="Font Style119"/>
    <w:unhideWhenUsed/>
    <w:qFormat/>
    <w:uiPriority w:val="0"/>
    <w:rPr>
      <w:rFonts w:hint="eastAsia" w:ascii="宋体" w:hAnsi="宋体" w:eastAsia="宋体"/>
      <w:sz w:val="24"/>
    </w:rPr>
  </w:style>
  <w:style w:type="character" w:customStyle="1" w:styleId="92">
    <w:name w:val="标题 8 Char1"/>
    <w:link w:val="10"/>
    <w:qFormat/>
    <w:uiPriority w:val="0"/>
    <w:rPr>
      <w:rFonts w:ascii="Arial" w:hAnsi="Arial" w:eastAsia="黑体"/>
      <w:sz w:val="24"/>
      <w:szCs w:val="24"/>
      <w:lang w:val="en-US" w:eastAsia="zh-CN" w:bidi="ar-SA"/>
    </w:rPr>
  </w:style>
  <w:style w:type="character" w:customStyle="1" w:styleId="93">
    <w:name w:val="Font Style127"/>
    <w:unhideWhenUsed/>
    <w:qFormat/>
    <w:uiPriority w:val="0"/>
    <w:rPr>
      <w:rFonts w:hint="eastAsia" w:ascii="Times New Roman" w:hAnsi="Times New Roman" w:eastAsia="Times New Roman"/>
      <w:sz w:val="20"/>
    </w:rPr>
  </w:style>
  <w:style w:type="character" w:customStyle="1" w:styleId="94">
    <w:name w:val="标题 2 Char"/>
    <w:qFormat/>
    <w:uiPriority w:val="0"/>
    <w:rPr>
      <w:rFonts w:ascii="Cambria" w:hAnsi="Cambria" w:eastAsia="宋体" w:cs="Times New Roman"/>
      <w:b/>
      <w:bCs/>
      <w:kern w:val="2"/>
      <w:sz w:val="32"/>
      <w:szCs w:val="32"/>
    </w:rPr>
  </w:style>
  <w:style w:type="character" w:customStyle="1" w:styleId="95">
    <w:name w:val="polysemyred"/>
    <w:qFormat/>
    <w:uiPriority w:val="0"/>
    <w:rPr>
      <w:rFonts w:ascii="Times New Roman" w:hAnsi="Times New Roman" w:eastAsia="宋体"/>
      <w:color w:val="FF6666"/>
      <w:sz w:val="18"/>
      <w:szCs w:val="18"/>
    </w:rPr>
  </w:style>
  <w:style w:type="character" w:customStyle="1" w:styleId="96">
    <w:name w:val="标题 9 Char1"/>
    <w:link w:val="11"/>
    <w:qFormat/>
    <w:uiPriority w:val="0"/>
    <w:rPr>
      <w:rFonts w:ascii="Arial" w:hAnsi="Arial" w:eastAsia="黑体"/>
      <w:sz w:val="21"/>
      <w:szCs w:val="21"/>
      <w:lang w:val="en-US" w:eastAsia="zh-CN" w:bidi="ar-SA"/>
    </w:rPr>
  </w:style>
  <w:style w:type="character" w:customStyle="1" w:styleId="97">
    <w:name w:val="sidecatalog-index2"/>
    <w:qFormat/>
    <w:uiPriority w:val="0"/>
    <w:rPr>
      <w:rFonts w:ascii="Arail" w:hAnsi="Arail" w:eastAsia="Arail" w:cs="Arail"/>
      <w:color w:val="999999"/>
      <w:sz w:val="21"/>
      <w:szCs w:val="21"/>
    </w:rPr>
  </w:style>
  <w:style w:type="character" w:customStyle="1" w:styleId="98">
    <w:name w:val="正文文本缩进 Char"/>
    <w:link w:val="18"/>
    <w:qFormat/>
    <w:uiPriority w:val="0"/>
    <w:rPr>
      <w:rFonts w:eastAsia="宋体"/>
      <w:kern w:val="2"/>
      <w:sz w:val="21"/>
      <w:szCs w:val="24"/>
      <w:lang w:val="en-US" w:eastAsia="zh-CN" w:bidi="ar-SA"/>
    </w:rPr>
  </w:style>
  <w:style w:type="character" w:customStyle="1" w:styleId="99">
    <w:name w:val="Char Char14"/>
    <w:qFormat/>
    <w:uiPriority w:val="0"/>
    <w:rPr>
      <w:rFonts w:ascii="Arial" w:hAnsi="Arial" w:eastAsia="黑体"/>
      <w:b/>
      <w:bCs/>
      <w:sz w:val="28"/>
      <w:szCs w:val="28"/>
      <w:lang w:val="en-US" w:eastAsia="zh-CN" w:bidi="ar-SA"/>
    </w:rPr>
  </w:style>
  <w:style w:type="character" w:customStyle="1" w:styleId="100">
    <w:name w:val="lemmatitleh12"/>
    <w:qFormat/>
    <w:uiPriority w:val="0"/>
    <w:rPr>
      <w:rFonts w:ascii="Times New Roman" w:hAnsi="Times New Roman" w:eastAsia="宋体"/>
    </w:rPr>
  </w:style>
  <w:style w:type="character" w:customStyle="1" w:styleId="101">
    <w:name w:val="标题 4 Char Char"/>
    <w:qFormat/>
    <w:uiPriority w:val="0"/>
    <w:rPr>
      <w:rFonts w:ascii="Arial" w:hAnsi="Arial" w:eastAsia="宋体"/>
      <w:b/>
      <w:bCs/>
      <w:kern w:val="2"/>
      <w:sz w:val="21"/>
      <w:szCs w:val="28"/>
      <w:lang w:val="en-US" w:eastAsia="zh-CN" w:bidi="ar-SA"/>
    </w:rPr>
  </w:style>
  <w:style w:type="character" w:customStyle="1" w:styleId="102">
    <w:name w:val="sidecatalog-dot"/>
    <w:qFormat/>
    <w:uiPriority w:val="0"/>
    <w:rPr>
      <w:rFonts w:ascii="Times New Roman" w:hAnsi="Times New Roman" w:eastAsia="宋体"/>
    </w:rPr>
  </w:style>
  <w:style w:type="character" w:customStyle="1" w:styleId="103">
    <w:name w:val="Font Style122"/>
    <w:unhideWhenUsed/>
    <w:qFormat/>
    <w:uiPriority w:val="0"/>
    <w:rPr>
      <w:rFonts w:hint="eastAsia" w:ascii="宋体" w:hAnsi="宋体" w:eastAsia="宋体"/>
      <w:spacing w:val="20"/>
      <w:sz w:val="24"/>
    </w:rPr>
  </w:style>
  <w:style w:type="character" w:customStyle="1" w:styleId="104">
    <w:name w:val="plus"/>
    <w:qFormat/>
    <w:uiPriority w:val="0"/>
    <w:rPr>
      <w:rFonts w:ascii="Times New Roman" w:hAnsi="Times New Roman" w:eastAsia="宋体"/>
      <w:b/>
      <w:vanish/>
      <w:color w:val="1F8DEF"/>
      <w:sz w:val="24"/>
      <w:szCs w:val="24"/>
    </w:rPr>
  </w:style>
  <w:style w:type="character" w:customStyle="1" w:styleId="105">
    <w:name w:val="Font Style121"/>
    <w:unhideWhenUsed/>
    <w:qFormat/>
    <w:uiPriority w:val="0"/>
    <w:rPr>
      <w:rFonts w:hint="eastAsia" w:ascii="宋体" w:hAnsi="宋体" w:eastAsia="宋体"/>
      <w:spacing w:val="-10"/>
      <w:sz w:val="30"/>
    </w:rPr>
  </w:style>
  <w:style w:type="character" w:customStyle="1" w:styleId="106">
    <w:name w:val="标题 6 Char"/>
    <w:qFormat/>
    <w:uiPriority w:val="0"/>
    <w:rPr>
      <w:rFonts w:ascii="Arial" w:hAnsi="Arial" w:eastAsia="黑体"/>
      <w:b/>
      <w:bCs/>
      <w:sz w:val="24"/>
      <w:szCs w:val="24"/>
    </w:rPr>
  </w:style>
  <w:style w:type="character" w:customStyle="1" w:styleId="107">
    <w:name w:val="纯文本 Char2"/>
    <w:qFormat/>
    <w:uiPriority w:val="0"/>
    <w:rPr>
      <w:rFonts w:ascii="宋体" w:hAnsi="Courier New" w:eastAsia="宋体"/>
      <w:kern w:val="2"/>
      <w:sz w:val="21"/>
      <w:szCs w:val="21"/>
      <w:lang w:val="en-US" w:eastAsia="zh-CN" w:bidi="ar-SA"/>
    </w:rPr>
  </w:style>
  <w:style w:type="character" w:customStyle="1" w:styleId="108">
    <w:name w:val="标题 3 Char1"/>
    <w:link w:val="5"/>
    <w:qFormat/>
    <w:uiPriority w:val="0"/>
    <w:rPr>
      <w:rFonts w:eastAsia="宋体"/>
      <w:b/>
      <w:bCs/>
      <w:kern w:val="2"/>
      <w:sz w:val="32"/>
      <w:szCs w:val="32"/>
      <w:lang w:val="en-US" w:eastAsia="zh-CN" w:bidi="ar-SA"/>
    </w:rPr>
  </w:style>
  <w:style w:type="character" w:customStyle="1" w:styleId="109">
    <w:name w:val="正文文本缩进 3 Char"/>
    <w:qFormat/>
    <w:uiPriority w:val="0"/>
    <w:rPr>
      <w:rFonts w:ascii="宋体" w:hAnsi="MS Sans Serif"/>
      <w:color w:val="000000"/>
      <w:sz w:val="24"/>
    </w:rPr>
  </w:style>
  <w:style w:type="character" w:customStyle="1" w:styleId="110">
    <w:name w:val="Char Char16"/>
    <w:qFormat/>
    <w:uiPriority w:val="0"/>
    <w:rPr>
      <w:rFonts w:ascii="宋体" w:hAnsi="Times New Roman" w:eastAsia="宋体"/>
      <w:b/>
      <w:sz w:val="24"/>
      <w:lang w:val="en-US" w:eastAsia="zh-CN" w:bidi="ar-SA"/>
    </w:rPr>
  </w:style>
  <w:style w:type="character" w:customStyle="1" w:styleId="111">
    <w:name w:val="页眉 Char1"/>
    <w:link w:val="28"/>
    <w:qFormat/>
    <w:uiPriority w:val="0"/>
    <w:rPr>
      <w:rFonts w:eastAsia="宋体"/>
      <w:kern w:val="2"/>
      <w:sz w:val="18"/>
      <w:szCs w:val="18"/>
      <w:lang w:val="en-US" w:eastAsia="zh-CN" w:bidi="ar-SA"/>
    </w:rPr>
  </w:style>
  <w:style w:type="character" w:customStyle="1" w:styleId="112">
    <w:name w:val="polysemyexp"/>
    <w:qFormat/>
    <w:uiPriority w:val="0"/>
    <w:rPr>
      <w:rFonts w:ascii="Times New Roman" w:hAnsi="Times New Roman" w:eastAsia="宋体"/>
      <w:color w:val="AAAAAA"/>
      <w:sz w:val="18"/>
      <w:szCs w:val="18"/>
    </w:rPr>
  </w:style>
  <w:style w:type="character" w:customStyle="1" w:styleId="113">
    <w:name w:val="Font Style124"/>
    <w:unhideWhenUsed/>
    <w:qFormat/>
    <w:uiPriority w:val="0"/>
    <w:rPr>
      <w:rFonts w:hint="eastAsia" w:ascii="宋体" w:hAnsi="宋体" w:eastAsia="宋体"/>
      <w:spacing w:val="30"/>
      <w:sz w:val="24"/>
    </w:rPr>
  </w:style>
  <w:style w:type="character" w:customStyle="1" w:styleId="114">
    <w:name w:val="p0 Char Char"/>
    <w:qFormat/>
    <w:uiPriority w:val="0"/>
    <w:rPr>
      <w:rFonts w:eastAsia="宋体"/>
      <w:kern w:val="2"/>
      <w:sz w:val="21"/>
      <w:szCs w:val="21"/>
      <w:lang w:val="en-US" w:eastAsia="zh-CN" w:bidi="ar-SA"/>
    </w:rPr>
  </w:style>
  <w:style w:type="character" w:customStyle="1" w:styleId="115">
    <w:name w:val="标题 Char"/>
    <w:qFormat/>
    <w:uiPriority w:val="0"/>
    <w:rPr>
      <w:rFonts w:ascii="Cambria" w:hAnsi="Cambria"/>
      <w:b/>
      <w:kern w:val="2"/>
      <w:sz w:val="32"/>
      <w:szCs w:val="24"/>
    </w:rPr>
  </w:style>
  <w:style w:type="character" w:customStyle="1" w:styleId="116">
    <w:name w:val="sidecatalog-dot1"/>
    <w:qFormat/>
    <w:uiPriority w:val="0"/>
    <w:rPr>
      <w:rFonts w:ascii="Times New Roman" w:hAnsi="Times New Roman" w:eastAsia="宋体"/>
    </w:rPr>
  </w:style>
  <w:style w:type="character" w:customStyle="1" w:styleId="117">
    <w:name w:val="标题 9 Char"/>
    <w:qFormat/>
    <w:uiPriority w:val="0"/>
    <w:rPr>
      <w:rFonts w:ascii="Arial" w:hAnsi="Arial" w:eastAsia="黑体"/>
      <w:sz w:val="21"/>
      <w:szCs w:val="21"/>
    </w:rPr>
  </w:style>
  <w:style w:type="character" w:customStyle="1" w:styleId="118">
    <w:name w:val="日期 Char"/>
    <w:qFormat/>
    <w:uiPriority w:val="0"/>
    <w:rPr>
      <w:kern w:val="2"/>
      <w:sz w:val="21"/>
      <w:szCs w:val="24"/>
    </w:rPr>
  </w:style>
  <w:style w:type="character" w:customStyle="1" w:styleId="119">
    <w:name w:val="bds_more7"/>
    <w:qFormat/>
    <w:uiPriority w:val="0"/>
    <w:rPr>
      <w:rFonts w:ascii="Times New Roman" w:hAnsi="Times New Roman" w:eastAsia="宋体"/>
    </w:rPr>
  </w:style>
  <w:style w:type="character" w:customStyle="1" w:styleId="120">
    <w:name w:val="正文文本缩进 3 Char1"/>
    <w:link w:val="34"/>
    <w:qFormat/>
    <w:uiPriority w:val="0"/>
    <w:rPr>
      <w:rFonts w:eastAsia="宋体"/>
      <w:kern w:val="2"/>
      <w:sz w:val="16"/>
      <w:szCs w:val="16"/>
      <w:lang w:val="en-US" w:eastAsia="zh-CN" w:bidi="ar-SA"/>
    </w:rPr>
  </w:style>
  <w:style w:type="character" w:customStyle="1" w:styleId="121">
    <w:name w:val="sort"/>
    <w:qFormat/>
    <w:uiPriority w:val="0"/>
    <w:rPr>
      <w:rFonts w:ascii="Times New Roman" w:hAnsi="Times New Roman" w:eastAsia="宋体"/>
      <w:color w:val="FFFFFF"/>
      <w:bdr w:val="single" w:color="auto" w:sz="24" w:space="0"/>
    </w:rPr>
  </w:style>
  <w:style w:type="character" w:customStyle="1" w:styleId="122">
    <w:name w:val="Font Style123"/>
    <w:unhideWhenUsed/>
    <w:qFormat/>
    <w:uiPriority w:val="0"/>
    <w:rPr>
      <w:rFonts w:hint="eastAsia" w:ascii="宋体" w:hAnsi="宋体" w:eastAsia="宋体"/>
      <w:b/>
      <w:sz w:val="32"/>
    </w:rPr>
  </w:style>
  <w:style w:type="character" w:customStyle="1" w:styleId="123">
    <w:name w:val="标题 7 Char"/>
    <w:qFormat/>
    <w:uiPriority w:val="0"/>
    <w:rPr>
      <w:b/>
      <w:bCs/>
      <w:sz w:val="24"/>
      <w:szCs w:val="24"/>
    </w:rPr>
  </w:style>
  <w:style w:type="character" w:customStyle="1" w:styleId="124">
    <w:name w:val="Font Style94"/>
    <w:unhideWhenUsed/>
    <w:qFormat/>
    <w:uiPriority w:val="0"/>
    <w:rPr>
      <w:rFonts w:hint="eastAsia" w:ascii="Times New Roman" w:hAnsi="Times New Roman" w:eastAsia="Times New Roman"/>
      <w:sz w:val="28"/>
    </w:rPr>
  </w:style>
  <w:style w:type="character" w:customStyle="1" w:styleId="125">
    <w:name w:val="标题 4 Char"/>
    <w:qFormat/>
    <w:uiPriority w:val="0"/>
    <w:rPr>
      <w:rFonts w:ascii="Arial" w:hAnsi="Arial" w:eastAsia="宋体" w:cs="Times New Roman"/>
      <w:b/>
      <w:bCs/>
      <w:szCs w:val="28"/>
    </w:rPr>
  </w:style>
  <w:style w:type="character" w:customStyle="1" w:styleId="126">
    <w:name w:val="Font Style133"/>
    <w:unhideWhenUsed/>
    <w:qFormat/>
    <w:uiPriority w:val="0"/>
    <w:rPr>
      <w:rFonts w:hint="eastAsia" w:ascii="宋体" w:hAnsi="宋体" w:eastAsia="宋体"/>
      <w:spacing w:val="30"/>
      <w:sz w:val="24"/>
    </w:rPr>
  </w:style>
  <w:style w:type="character" w:customStyle="1" w:styleId="127">
    <w:name w:val="bds_more9"/>
    <w:qFormat/>
    <w:uiPriority w:val="0"/>
    <w:rPr>
      <w:rFonts w:ascii="Times New Roman" w:hAnsi="Times New Roman" w:eastAsia="宋体"/>
    </w:rPr>
  </w:style>
  <w:style w:type="character" w:customStyle="1" w:styleId="128">
    <w:name w:val="标题 1 Char1"/>
    <w:link w:val="2"/>
    <w:qFormat/>
    <w:uiPriority w:val="0"/>
    <w:rPr>
      <w:rFonts w:eastAsia="宋体"/>
      <w:b/>
      <w:bCs/>
      <w:kern w:val="2"/>
      <w:sz w:val="24"/>
      <w:lang w:val="en-US" w:eastAsia="zh-CN" w:bidi="ar-SA"/>
    </w:rPr>
  </w:style>
  <w:style w:type="character" w:customStyle="1" w:styleId="129">
    <w:name w:val="批注文字 Char1"/>
    <w:link w:val="14"/>
    <w:qFormat/>
    <w:uiPriority w:val="0"/>
    <w:rPr>
      <w:rFonts w:eastAsia="宋体"/>
      <w:kern w:val="2"/>
      <w:sz w:val="21"/>
      <w:szCs w:val="24"/>
      <w:lang w:val="en-US" w:eastAsia="zh-CN" w:bidi="ar-SA"/>
    </w:rPr>
  </w:style>
  <w:style w:type="character" w:customStyle="1" w:styleId="130">
    <w:name w:val="Char Char17"/>
    <w:qFormat/>
    <w:uiPriority w:val="0"/>
    <w:rPr>
      <w:rFonts w:ascii="宋体" w:hAnsi="Times New Roman" w:eastAsia="宋体"/>
      <w:b/>
      <w:sz w:val="28"/>
      <w:lang w:val="en-US" w:eastAsia="zh-CN" w:bidi="ar-SA"/>
    </w:rPr>
  </w:style>
  <w:style w:type="character" w:customStyle="1" w:styleId="131">
    <w:name w:val="morelink-item"/>
    <w:qFormat/>
    <w:uiPriority w:val="0"/>
    <w:rPr>
      <w:rFonts w:ascii="Times New Roman" w:hAnsi="Times New Roman" w:eastAsia="宋体"/>
    </w:rPr>
  </w:style>
  <w:style w:type="character" w:customStyle="1" w:styleId="132">
    <w:name w:val="Font Style128"/>
    <w:unhideWhenUsed/>
    <w:qFormat/>
    <w:uiPriority w:val="0"/>
    <w:rPr>
      <w:rFonts w:hint="eastAsia" w:ascii="Times New Roman" w:hAnsi="Times New Roman" w:eastAsia="Times New Roman"/>
      <w:sz w:val="16"/>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批注框文本 Char"/>
    <w:qFormat/>
    <w:uiPriority w:val="0"/>
    <w:rPr>
      <w:kern w:val="2"/>
      <w:sz w:val="18"/>
      <w:szCs w:val="18"/>
    </w:rPr>
  </w:style>
  <w:style w:type="character" w:customStyle="1" w:styleId="135">
    <w:name w:val="批注框文本 Char1"/>
    <w:link w:val="26"/>
    <w:semiHidden/>
    <w:qFormat/>
    <w:locked/>
    <w:uiPriority w:val="0"/>
    <w:rPr>
      <w:rFonts w:ascii="Calibri" w:hAnsi="Calibri" w:eastAsia="宋体"/>
      <w:kern w:val="2"/>
      <w:sz w:val="18"/>
      <w:szCs w:val="18"/>
      <w:lang w:val="en-US" w:eastAsia="zh-CN" w:bidi="ar-SA"/>
    </w:rPr>
  </w:style>
  <w:style w:type="character" w:customStyle="1" w:styleId="136">
    <w:name w:val="sort1"/>
    <w:qFormat/>
    <w:uiPriority w:val="0"/>
    <w:rPr>
      <w:rFonts w:ascii="Times New Roman" w:hAnsi="Times New Roman" w:eastAsia="宋体"/>
    </w:rPr>
  </w:style>
  <w:style w:type="character" w:customStyle="1" w:styleId="137">
    <w:name w:val="bds_more6"/>
    <w:qFormat/>
    <w:uiPriority w:val="0"/>
    <w:rPr>
      <w:rFonts w:hint="eastAsia" w:ascii="宋体" w:hAnsi="宋体" w:eastAsia="宋体" w:cs="宋体"/>
    </w:rPr>
  </w:style>
  <w:style w:type="character" w:customStyle="1" w:styleId="138">
    <w:name w:val="sidecatalog-index1"/>
    <w:qFormat/>
    <w:uiPriority w:val="0"/>
    <w:rPr>
      <w:rFonts w:ascii="Arial" w:hAnsi="Arial" w:eastAsia="宋体" w:cs="Arial"/>
      <w:b/>
      <w:color w:val="999999"/>
      <w:sz w:val="21"/>
      <w:szCs w:val="21"/>
    </w:rPr>
  </w:style>
  <w:style w:type="character" w:customStyle="1" w:styleId="139">
    <w:name w:val="p0 Char"/>
    <w:link w:val="140"/>
    <w:qFormat/>
    <w:uiPriority w:val="0"/>
    <w:rPr>
      <w:rFonts w:eastAsia="宋体"/>
      <w:sz w:val="21"/>
      <w:szCs w:val="21"/>
      <w:lang w:val="en-US" w:eastAsia="zh-CN" w:bidi="ar-SA"/>
    </w:rPr>
  </w:style>
  <w:style w:type="paragraph" w:customStyle="1" w:styleId="140">
    <w:name w:val="p0"/>
    <w:basedOn w:val="1"/>
    <w:link w:val="139"/>
    <w:qFormat/>
    <w:uiPriority w:val="0"/>
    <w:pPr>
      <w:widowControl/>
    </w:pPr>
    <w:rPr>
      <w:kern w:val="0"/>
      <w:szCs w:val="21"/>
    </w:rPr>
  </w:style>
  <w:style w:type="character" w:customStyle="1" w:styleId="141">
    <w:name w:val="Font Style104"/>
    <w:unhideWhenUsed/>
    <w:qFormat/>
    <w:uiPriority w:val="0"/>
    <w:rPr>
      <w:rFonts w:hint="eastAsia" w:ascii="宋体" w:hAnsi="宋体" w:eastAsia="宋体"/>
      <w:spacing w:val="30"/>
      <w:sz w:val="18"/>
    </w:rPr>
  </w:style>
  <w:style w:type="character" w:customStyle="1" w:styleId="142">
    <w:name w:val="desc"/>
    <w:qFormat/>
    <w:uiPriority w:val="0"/>
    <w:rPr>
      <w:rFonts w:ascii="Times New Roman" w:hAnsi="Times New Roman" w:eastAsia="宋体"/>
      <w:color w:val="000000"/>
      <w:sz w:val="18"/>
      <w:szCs w:val="18"/>
    </w:rPr>
  </w:style>
  <w:style w:type="character" w:customStyle="1" w:styleId="143">
    <w:name w:val="标题 5 Char1"/>
    <w:link w:val="7"/>
    <w:qFormat/>
    <w:uiPriority w:val="0"/>
    <w:rPr>
      <w:rFonts w:eastAsia="宋体"/>
      <w:b/>
      <w:bCs/>
      <w:sz w:val="28"/>
      <w:szCs w:val="28"/>
      <w:lang w:val="en-US" w:eastAsia="zh-CN" w:bidi="ar-SA"/>
    </w:rPr>
  </w:style>
  <w:style w:type="character" w:customStyle="1" w:styleId="144">
    <w:name w:val="bds_more10"/>
    <w:qFormat/>
    <w:uiPriority w:val="0"/>
    <w:rPr>
      <w:rFonts w:ascii="Times New Roman" w:hAnsi="Times New Roman" w:eastAsia="宋体"/>
    </w:rPr>
  </w:style>
  <w:style w:type="character" w:customStyle="1" w:styleId="145">
    <w:name w:val="Font Style131"/>
    <w:unhideWhenUsed/>
    <w:qFormat/>
    <w:uiPriority w:val="0"/>
    <w:rPr>
      <w:rFonts w:hint="eastAsia" w:ascii="Times New Roman" w:hAnsi="Times New Roman" w:eastAsia="Times New Roman"/>
      <w:sz w:val="18"/>
    </w:rPr>
  </w:style>
  <w:style w:type="character" w:customStyle="1" w:styleId="146">
    <w:name w:val="批注文字 Char"/>
    <w:qFormat/>
    <w:uiPriority w:val="0"/>
    <w:rPr>
      <w:kern w:val="2"/>
      <w:sz w:val="21"/>
      <w:szCs w:val="24"/>
    </w:rPr>
  </w:style>
  <w:style w:type="character" w:customStyle="1" w:styleId="147">
    <w:name w:val="bds_more8"/>
    <w:qFormat/>
    <w:uiPriority w:val="0"/>
    <w:rPr>
      <w:rFonts w:ascii="Times New Roman" w:hAnsi="Times New Roman" w:eastAsia="宋体"/>
    </w:rPr>
  </w:style>
  <w:style w:type="character" w:customStyle="1" w:styleId="148">
    <w:name w:val="批注文字 Char Char"/>
    <w:qFormat/>
    <w:uiPriority w:val="0"/>
    <w:rPr>
      <w:kern w:val="2"/>
      <w:sz w:val="21"/>
      <w:szCs w:val="24"/>
      <w:lang w:bidi="ar-SA"/>
    </w:rPr>
  </w:style>
  <w:style w:type="character" w:customStyle="1" w:styleId="149">
    <w:name w:val="Font Style115"/>
    <w:unhideWhenUsed/>
    <w:qFormat/>
    <w:uiPriority w:val="0"/>
    <w:rPr>
      <w:rFonts w:hint="eastAsia" w:ascii="Times New Roman" w:hAnsi="Times New Roman" w:eastAsia="Times New Roman"/>
      <w:sz w:val="16"/>
    </w:rPr>
  </w:style>
  <w:style w:type="character" w:customStyle="1" w:styleId="150">
    <w:name w:val="bds_nopic"/>
    <w:qFormat/>
    <w:uiPriority w:val="0"/>
    <w:rPr>
      <w:rFonts w:ascii="Times New Roman" w:hAnsi="Times New Roman" w:eastAsia="宋体"/>
    </w:rPr>
  </w:style>
  <w:style w:type="character" w:customStyle="1" w:styleId="151">
    <w:name w:val="Font Style105"/>
    <w:unhideWhenUsed/>
    <w:qFormat/>
    <w:uiPriority w:val="0"/>
    <w:rPr>
      <w:rFonts w:hint="eastAsia" w:ascii="Times New Roman" w:hAnsi="Times New Roman" w:eastAsia="Times New Roman"/>
      <w:w w:val="60"/>
      <w:sz w:val="26"/>
    </w:rPr>
  </w:style>
  <w:style w:type="character" w:customStyle="1" w:styleId="152">
    <w:name w:val="标题 Char1"/>
    <w:qFormat/>
    <w:uiPriority w:val="0"/>
    <w:rPr>
      <w:rFonts w:ascii="Cambria" w:hAnsi="Cambria" w:eastAsia="宋体" w:cs="Times New Roman"/>
      <w:b/>
      <w:bCs/>
      <w:sz w:val="32"/>
      <w:szCs w:val="32"/>
    </w:rPr>
  </w:style>
  <w:style w:type="character" w:customStyle="1" w:styleId="153">
    <w:name w:val="纯文本 Char"/>
    <w:link w:val="22"/>
    <w:qFormat/>
    <w:locked/>
    <w:uiPriority w:val="0"/>
    <w:rPr>
      <w:rFonts w:ascii="宋体" w:hAnsi="Courier New" w:eastAsia="宋体" w:cs="Courier New"/>
      <w:kern w:val="2"/>
      <w:sz w:val="21"/>
      <w:szCs w:val="21"/>
      <w:lang w:val="en-US" w:eastAsia="zh-CN" w:bidi="ar-SA"/>
    </w:rPr>
  </w:style>
  <w:style w:type="character" w:customStyle="1" w:styleId="154">
    <w:name w:val="Font Style90"/>
    <w:unhideWhenUsed/>
    <w:qFormat/>
    <w:uiPriority w:val="0"/>
    <w:rPr>
      <w:rFonts w:hint="eastAsia" w:ascii="宋体" w:hAnsi="宋体" w:eastAsia="宋体"/>
      <w:b/>
      <w:spacing w:val="-20"/>
      <w:sz w:val="40"/>
    </w:rPr>
  </w:style>
  <w:style w:type="character" w:customStyle="1" w:styleId="155">
    <w:name w:val="Font Style134"/>
    <w:unhideWhenUsed/>
    <w:qFormat/>
    <w:uiPriority w:val="0"/>
    <w:rPr>
      <w:rFonts w:hint="eastAsia" w:ascii="宋体" w:hAnsi="宋体" w:eastAsia="宋体"/>
      <w:spacing w:val="20"/>
      <w:sz w:val="22"/>
    </w:rPr>
  </w:style>
  <w:style w:type="character" w:customStyle="1" w:styleId="156">
    <w:name w:val="Char Char6"/>
    <w:qFormat/>
    <w:uiPriority w:val="0"/>
    <w:rPr>
      <w:rFonts w:ascii="Arial" w:hAnsi="Arial" w:eastAsia="黑体"/>
      <w:sz w:val="24"/>
      <w:szCs w:val="24"/>
      <w:lang w:val="en-US" w:eastAsia="zh-CN" w:bidi="ar-SA"/>
    </w:rPr>
  </w:style>
  <w:style w:type="character" w:customStyle="1" w:styleId="157">
    <w:name w:val="标题 4 Char1"/>
    <w:link w:val="6"/>
    <w:qFormat/>
    <w:uiPriority w:val="0"/>
    <w:rPr>
      <w:rFonts w:ascii="Arial" w:hAnsi="Arial" w:eastAsia="黑体"/>
      <w:b/>
      <w:bCs/>
      <w:kern w:val="2"/>
      <w:sz w:val="28"/>
      <w:szCs w:val="28"/>
      <w:lang w:val="en-US" w:eastAsia="zh-CN" w:bidi="ar-SA"/>
    </w:rPr>
  </w:style>
  <w:style w:type="character" w:customStyle="1" w:styleId="158">
    <w:name w:val="批注主题 Char"/>
    <w:qFormat/>
    <w:uiPriority w:val="0"/>
    <w:rPr>
      <w:b/>
      <w:bCs/>
      <w:kern w:val="2"/>
      <w:sz w:val="21"/>
      <w:szCs w:val="24"/>
    </w:rPr>
  </w:style>
  <w:style w:type="character" w:customStyle="1" w:styleId="159">
    <w:name w:val="样式2 Char Char"/>
    <w:qFormat/>
    <w:uiPriority w:val="0"/>
    <w:rPr>
      <w:rFonts w:eastAsia="宋体"/>
      <w:kern w:val="2"/>
      <w:sz w:val="18"/>
      <w:szCs w:val="18"/>
      <w:lang w:val="en-US" w:eastAsia="zh-CN" w:bidi="ar-SA"/>
    </w:rPr>
  </w:style>
  <w:style w:type="character" w:customStyle="1" w:styleId="160">
    <w:name w:val="bds_nopic2"/>
    <w:qFormat/>
    <w:uiPriority w:val="0"/>
    <w:rPr>
      <w:rFonts w:ascii="Times New Roman" w:hAnsi="Times New Roman" w:eastAsia="宋体"/>
    </w:rPr>
  </w:style>
  <w:style w:type="character" w:customStyle="1" w:styleId="161">
    <w:name w:val="页脚 Char1"/>
    <w:link w:val="27"/>
    <w:qFormat/>
    <w:uiPriority w:val="0"/>
    <w:rPr>
      <w:rFonts w:eastAsia="宋体"/>
      <w:kern w:val="2"/>
      <w:sz w:val="18"/>
      <w:szCs w:val="18"/>
      <w:lang w:val="en-US" w:eastAsia="zh-CN" w:bidi="ar-SA"/>
    </w:rPr>
  </w:style>
  <w:style w:type="paragraph" w:customStyle="1" w:styleId="162">
    <w:name w:val="标题 7_0"/>
    <w:basedOn w:val="163"/>
    <w:next w:val="163"/>
    <w:unhideWhenUsed/>
    <w:qFormat/>
    <w:uiPriority w:val="9"/>
    <w:pPr>
      <w:keepNext/>
      <w:keepLines/>
      <w:adjustRightInd w:val="0"/>
      <w:spacing w:before="240" w:after="64" w:line="320" w:lineRule="atLeast"/>
      <w:jc w:val="left"/>
      <w:textAlignment w:val="baseline"/>
      <w:outlineLvl w:val="6"/>
    </w:pPr>
    <w:rPr>
      <w:b/>
      <w:bCs/>
      <w:kern w:val="0"/>
      <w:sz w:val="24"/>
    </w:rPr>
  </w:style>
  <w:style w:type="paragraph" w:customStyle="1" w:styleId="163">
    <w:name w:val="正文_37"/>
    <w:next w:val="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标题 2_37"/>
    <w:basedOn w:val="163"/>
    <w:next w:val="163"/>
    <w:unhideWhenUsed/>
    <w:qFormat/>
    <w:uiPriority w:val="9"/>
    <w:pPr>
      <w:keepNext/>
      <w:keepLines/>
      <w:spacing w:line="360" w:lineRule="auto"/>
      <w:outlineLvl w:val="1"/>
    </w:pPr>
    <w:rPr>
      <w:rFonts w:ascii="Arial" w:hAnsi="Arial"/>
      <w:b/>
      <w:bCs/>
      <w:sz w:val="24"/>
      <w:szCs w:val="32"/>
    </w:rPr>
  </w:style>
  <w:style w:type="paragraph" w:customStyle="1" w:styleId="165">
    <w:name w:val="Style54"/>
    <w:basedOn w:val="1"/>
    <w:unhideWhenUsed/>
    <w:qFormat/>
    <w:uiPriority w:val="0"/>
  </w:style>
  <w:style w:type="paragraph" w:customStyle="1" w:styleId="16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67">
    <w:name w:val="Char Char Char Char Char Char Char"/>
    <w:basedOn w:val="1"/>
    <w:qFormat/>
    <w:uiPriority w:val="0"/>
    <w:pPr>
      <w:snapToGrid w:val="0"/>
      <w:ind w:firstLine="200"/>
    </w:pPr>
    <w:rPr>
      <w:rFonts w:eastAsia="仿宋_GB2312"/>
      <w:sz w:val="24"/>
    </w:rPr>
  </w:style>
  <w:style w:type="paragraph" w:customStyle="1" w:styleId="168">
    <w:name w:val="Style50"/>
    <w:basedOn w:val="1"/>
    <w:unhideWhenUsed/>
    <w:qFormat/>
    <w:uiPriority w:val="0"/>
  </w:style>
  <w:style w:type="paragraph" w:customStyle="1" w:styleId="169">
    <w:name w:val="Char Char1 Char Char Char Char Char1 Char Char Char Char"/>
    <w:basedOn w:val="13"/>
    <w:qFormat/>
    <w:uiPriority w:val="0"/>
    <w:rPr>
      <w:rFonts w:ascii="Tahoma" w:hAnsi="Tahoma"/>
    </w:rPr>
  </w:style>
  <w:style w:type="paragraph" w:customStyle="1" w:styleId="170">
    <w:name w:val="reader-word-layer reader-word-s1-1"/>
    <w:basedOn w:val="1"/>
    <w:qFormat/>
    <w:uiPriority w:val="0"/>
    <w:pPr>
      <w:widowControl/>
      <w:spacing w:before="100" w:beforeAutospacing="1" w:after="100" w:afterAutospacing="1"/>
      <w:jc w:val="left"/>
    </w:pPr>
    <w:rPr>
      <w:kern w:val="0"/>
      <w:sz w:val="24"/>
    </w:rPr>
  </w:style>
  <w:style w:type="paragraph" w:customStyle="1" w:styleId="171">
    <w:name w:val="Style21"/>
    <w:basedOn w:val="1"/>
    <w:unhideWhenUsed/>
    <w:qFormat/>
    <w:uiPriority w:val="0"/>
    <w:pPr>
      <w:spacing w:line="566" w:lineRule="exact"/>
      <w:ind w:firstLine="682"/>
    </w:pPr>
  </w:style>
  <w:style w:type="paragraph" w:customStyle="1" w:styleId="172">
    <w:name w:val="Style42"/>
    <w:basedOn w:val="1"/>
    <w:unhideWhenUsed/>
    <w:qFormat/>
    <w:uiPriority w:val="0"/>
    <w:pPr>
      <w:spacing w:line="542" w:lineRule="exact"/>
      <w:ind w:firstLine="547"/>
    </w:pPr>
  </w:style>
  <w:style w:type="paragraph" w:customStyle="1" w:styleId="173">
    <w:name w:val="Style34"/>
    <w:basedOn w:val="1"/>
    <w:unhideWhenUsed/>
    <w:qFormat/>
    <w:uiPriority w:val="0"/>
    <w:pPr>
      <w:spacing w:line="375" w:lineRule="exact"/>
    </w:pPr>
  </w:style>
  <w:style w:type="paragraph" w:customStyle="1" w:styleId="174">
    <w:name w:val="Style56"/>
    <w:basedOn w:val="1"/>
    <w:unhideWhenUsed/>
    <w:qFormat/>
    <w:uiPriority w:val="0"/>
  </w:style>
  <w:style w:type="paragraph" w:customStyle="1" w:styleId="175">
    <w:name w:val="Style9"/>
    <w:basedOn w:val="1"/>
    <w:unhideWhenUsed/>
    <w:qFormat/>
    <w:uiPriority w:val="0"/>
  </w:style>
  <w:style w:type="paragraph" w:customStyle="1" w:styleId="176">
    <w:name w:val="Char Char Char Char Char Char Char1"/>
    <w:basedOn w:val="1"/>
    <w:qFormat/>
    <w:uiPriority w:val="0"/>
    <w:pPr>
      <w:snapToGrid w:val="0"/>
      <w:ind w:firstLine="200"/>
    </w:pPr>
    <w:rPr>
      <w:rFonts w:eastAsia="仿宋_GB2312"/>
      <w:sz w:val="24"/>
    </w:rPr>
  </w:style>
  <w:style w:type="paragraph" w:customStyle="1" w:styleId="17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8">
    <w:name w:val="Style48"/>
    <w:basedOn w:val="1"/>
    <w:unhideWhenUsed/>
    <w:qFormat/>
    <w:uiPriority w:val="0"/>
    <w:pPr>
      <w:spacing w:line="542" w:lineRule="exact"/>
      <w:jc w:val="right"/>
    </w:pPr>
  </w:style>
  <w:style w:type="paragraph" w:customStyle="1" w:styleId="179">
    <w:name w:val="Char Char1 Char Char Char Char Char Char Char"/>
    <w:basedOn w:val="1"/>
    <w:qFormat/>
    <w:uiPriority w:val="0"/>
    <w:pPr>
      <w:widowControl/>
      <w:spacing w:after="160" w:line="240" w:lineRule="exact"/>
      <w:jc w:val="left"/>
    </w:pPr>
  </w:style>
  <w:style w:type="paragraph" w:customStyle="1" w:styleId="180">
    <w:name w:val="样式1"/>
    <w:basedOn w:val="1"/>
    <w:qFormat/>
    <w:uiPriority w:val="0"/>
    <w:pPr>
      <w:tabs>
        <w:tab w:val="left" w:pos="360"/>
      </w:tabs>
      <w:adjustRightInd w:val="0"/>
      <w:ind w:left="360" w:hanging="360"/>
      <w:textAlignment w:val="baseline"/>
    </w:pPr>
    <w:rPr>
      <w:kern w:val="0"/>
      <w:szCs w:val="21"/>
    </w:rPr>
  </w:style>
  <w:style w:type="paragraph" w:customStyle="1" w:styleId="181">
    <w:name w:val="Style26"/>
    <w:basedOn w:val="1"/>
    <w:unhideWhenUsed/>
    <w:qFormat/>
    <w:uiPriority w:val="0"/>
  </w:style>
  <w:style w:type="paragraph" w:customStyle="1" w:styleId="182">
    <w:name w:val="Style62"/>
    <w:basedOn w:val="1"/>
    <w:unhideWhenUsed/>
    <w:qFormat/>
    <w:uiPriority w:val="0"/>
  </w:style>
  <w:style w:type="paragraph" w:customStyle="1" w:styleId="183">
    <w:name w:val="Style76"/>
    <w:basedOn w:val="1"/>
    <w:unhideWhenUsed/>
    <w:qFormat/>
    <w:uiPriority w:val="0"/>
  </w:style>
  <w:style w:type="paragraph" w:customStyle="1" w:styleId="184">
    <w:name w:val="Style64"/>
    <w:basedOn w:val="1"/>
    <w:unhideWhenUsed/>
    <w:qFormat/>
    <w:uiPriority w:val="0"/>
  </w:style>
  <w:style w:type="paragraph" w:customStyle="1" w:styleId="185">
    <w:name w:val="Style16"/>
    <w:basedOn w:val="1"/>
    <w:unhideWhenUsed/>
    <w:qFormat/>
    <w:uiPriority w:val="0"/>
    <w:pPr>
      <w:jc w:val="right"/>
    </w:pPr>
  </w:style>
  <w:style w:type="paragraph" w:customStyle="1" w:styleId="186">
    <w:name w:val="1"/>
    <w:basedOn w:val="1"/>
    <w:qFormat/>
    <w:uiPriority w:val="0"/>
    <w:pPr>
      <w:spacing w:afterLines="50"/>
    </w:pPr>
    <w:rPr>
      <w:b/>
      <w:sz w:val="30"/>
      <w:szCs w:val="21"/>
    </w:rPr>
  </w:style>
  <w:style w:type="paragraph" w:customStyle="1" w:styleId="187">
    <w:name w:val="Style60"/>
    <w:basedOn w:val="1"/>
    <w:unhideWhenUsed/>
    <w:qFormat/>
    <w:uiPriority w:val="0"/>
    <w:pPr>
      <w:spacing w:line="566" w:lineRule="exact"/>
    </w:pPr>
  </w:style>
  <w:style w:type="paragraph" w:customStyle="1" w:styleId="188">
    <w:name w:val="Style71"/>
    <w:basedOn w:val="1"/>
    <w:unhideWhenUsed/>
    <w:qFormat/>
    <w:uiPriority w:val="0"/>
    <w:pPr>
      <w:spacing w:line="538" w:lineRule="exact"/>
      <w:ind w:firstLine="101"/>
    </w:pPr>
  </w:style>
  <w:style w:type="paragraph" w:customStyle="1" w:styleId="18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b/>
      <w:bCs/>
      <w:color w:val="000000"/>
      <w:kern w:val="0"/>
      <w:szCs w:val="20"/>
    </w:rPr>
  </w:style>
  <w:style w:type="paragraph" w:customStyle="1" w:styleId="190">
    <w:name w:val="正文文本缩进 3 New New"/>
    <w:basedOn w:val="1"/>
    <w:qFormat/>
    <w:uiPriority w:val="0"/>
    <w:pPr>
      <w:spacing w:line="400" w:lineRule="exact"/>
      <w:ind w:left="2" w:leftChars="1"/>
    </w:pPr>
  </w:style>
  <w:style w:type="paragraph" w:customStyle="1" w:styleId="19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Style11"/>
    <w:basedOn w:val="1"/>
    <w:unhideWhenUsed/>
    <w:qFormat/>
    <w:uiPriority w:val="0"/>
    <w:pPr>
      <w:spacing w:line="559" w:lineRule="exact"/>
      <w:ind w:firstLine="590"/>
    </w:pPr>
  </w:style>
  <w:style w:type="paragraph" w:customStyle="1" w:styleId="19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94">
    <w:name w:val="附录标识"/>
    <w:basedOn w:val="195"/>
    <w:qFormat/>
    <w:uiPriority w:val="0"/>
    <w:pPr>
      <w:tabs>
        <w:tab w:val="left" w:pos="360"/>
        <w:tab w:val="left" w:pos="720"/>
        <w:tab w:val="left" w:pos="6405"/>
      </w:tabs>
      <w:spacing w:after="200"/>
    </w:pPr>
    <w:rPr>
      <w:sz w:val="21"/>
    </w:rPr>
  </w:style>
  <w:style w:type="paragraph" w:customStyle="1" w:styleId="19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6">
    <w:name w:val="默认段落字体 Para Char Char Char Char Char Char Char Char Char Char Char Char Char Char Char Char Char Char Char"/>
    <w:basedOn w:val="1"/>
    <w:qFormat/>
    <w:uiPriority w:val="0"/>
  </w:style>
  <w:style w:type="paragraph" w:customStyle="1" w:styleId="19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Style15"/>
    <w:basedOn w:val="1"/>
    <w:unhideWhenUsed/>
    <w:qFormat/>
    <w:uiPriority w:val="0"/>
    <w:pPr>
      <w:spacing w:line="557" w:lineRule="exact"/>
      <w:ind w:firstLine="672"/>
    </w:pPr>
  </w:style>
  <w:style w:type="paragraph" w:customStyle="1" w:styleId="200">
    <w:name w:val="Style8"/>
    <w:basedOn w:val="1"/>
    <w:unhideWhenUsed/>
    <w:qFormat/>
    <w:uiPriority w:val="0"/>
    <w:pPr>
      <w:spacing w:line="566" w:lineRule="exact"/>
      <w:jc w:val="center"/>
    </w:pPr>
  </w:style>
  <w:style w:type="paragraph" w:customStyle="1" w:styleId="201">
    <w:name w:val="Style13"/>
    <w:basedOn w:val="1"/>
    <w:unhideWhenUsed/>
    <w:qFormat/>
    <w:uiPriority w:val="0"/>
  </w:style>
  <w:style w:type="paragraph" w:customStyle="1" w:styleId="202">
    <w:name w:val="Style52"/>
    <w:basedOn w:val="1"/>
    <w:unhideWhenUsed/>
    <w:qFormat/>
    <w:uiPriority w:val="0"/>
    <w:pPr>
      <w:spacing w:line="682" w:lineRule="exact"/>
      <w:ind w:firstLine="557"/>
    </w:pPr>
  </w:style>
  <w:style w:type="paragraph" w:customStyle="1" w:styleId="203">
    <w:name w:val="Style28"/>
    <w:basedOn w:val="1"/>
    <w:unhideWhenUsed/>
    <w:qFormat/>
    <w:uiPriority w:val="0"/>
    <w:pPr>
      <w:spacing w:line="552" w:lineRule="exact"/>
      <w:ind w:firstLine="547"/>
    </w:pPr>
  </w:style>
  <w:style w:type="paragraph" w:customStyle="1" w:styleId="204">
    <w:name w:val="Style27"/>
    <w:basedOn w:val="1"/>
    <w:unhideWhenUsed/>
    <w:qFormat/>
    <w:uiPriority w:val="0"/>
  </w:style>
  <w:style w:type="paragraph" w:customStyle="1" w:styleId="205">
    <w:name w:val="Style70"/>
    <w:basedOn w:val="1"/>
    <w:unhideWhenUsed/>
    <w:qFormat/>
    <w:uiPriority w:val="0"/>
    <w:pPr>
      <w:spacing w:line="549" w:lineRule="exact"/>
      <w:ind w:firstLine="686"/>
    </w:pPr>
  </w:style>
  <w:style w:type="paragraph" w:customStyle="1" w:styleId="206">
    <w:name w:val="表格内容"/>
    <w:basedOn w:val="17"/>
    <w:qFormat/>
    <w:uiPriority w:val="0"/>
    <w:pPr>
      <w:suppressLineNumbers/>
      <w:suppressAutoHyphens/>
      <w:jc w:val="left"/>
    </w:pPr>
    <w:rPr>
      <w:rFonts w:cs="Tahoma"/>
      <w:kern w:val="0"/>
      <w:sz w:val="24"/>
    </w:rPr>
  </w:style>
  <w:style w:type="paragraph" w:customStyle="1" w:styleId="207">
    <w:name w:val="Style23"/>
    <w:basedOn w:val="1"/>
    <w:unhideWhenUsed/>
    <w:qFormat/>
    <w:uiPriority w:val="0"/>
  </w:style>
  <w:style w:type="paragraph" w:customStyle="1" w:styleId="20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1 Char Char Char 字元 Char Char 字元 Char 字元 Char1 Char Char Char"/>
    <w:basedOn w:val="1"/>
    <w:qFormat/>
    <w:uiPriority w:val="0"/>
    <w:rPr>
      <w:szCs w:val="20"/>
    </w:rPr>
  </w:style>
  <w:style w:type="paragraph" w:customStyle="1" w:styleId="21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11">
    <w:name w:val="Style58"/>
    <w:basedOn w:val="1"/>
    <w:unhideWhenUsed/>
    <w:qFormat/>
    <w:uiPriority w:val="0"/>
    <w:pPr>
      <w:spacing w:line="413" w:lineRule="exact"/>
    </w:pPr>
  </w:style>
  <w:style w:type="paragraph" w:customStyle="1" w:styleId="212">
    <w:name w:val="Style36"/>
    <w:basedOn w:val="1"/>
    <w:unhideWhenUsed/>
    <w:qFormat/>
    <w:uiPriority w:val="0"/>
  </w:style>
  <w:style w:type="paragraph" w:customStyle="1" w:styleId="213">
    <w:name w:val="p15"/>
    <w:basedOn w:val="1"/>
    <w:qFormat/>
    <w:uiPriority w:val="0"/>
    <w:pPr>
      <w:widowControl/>
      <w:spacing w:line="220" w:lineRule="atLeast"/>
      <w:jc w:val="center"/>
    </w:pPr>
    <w:rPr>
      <w:rFonts w:ascii="仿宋_GB2312" w:eastAsia="仿宋_GB2312"/>
      <w:kern w:val="0"/>
      <w:szCs w:val="21"/>
    </w:rPr>
  </w:style>
  <w:style w:type="paragraph" w:customStyle="1" w:styleId="214">
    <w:name w:val="Style81"/>
    <w:basedOn w:val="1"/>
    <w:unhideWhenUsed/>
    <w:qFormat/>
    <w:uiPriority w:val="0"/>
    <w:pPr>
      <w:spacing w:line="547" w:lineRule="exact"/>
    </w:pPr>
  </w:style>
  <w:style w:type="paragraph" w:customStyle="1" w:styleId="215">
    <w:name w:val="Style72"/>
    <w:basedOn w:val="1"/>
    <w:unhideWhenUsed/>
    <w:qFormat/>
    <w:uiPriority w:val="0"/>
  </w:style>
  <w:style w:type="paragraph" w:customStyle="1" w:styleId="216">
    <w:name w:val="Style4"/>
    <w:basedOn w:val="1"/>
    <w:unhideWhenUsed/>
    <w:qFormat/>
    <w:uiPriority w:val="0"/>
  </w:style>
  <w:style w:type="paragraph" w:customStyle="1" w:styleId="217">
    <w:name w:val="Style74"/>
    <w:basedOn w:val="1"/>
    <w:unhideWhenUsed/>
    <w:qFormat/>
    <w:uiPriority w:val="0"/>
    <w:pPr>
      <w:spacing w:line="437" w:lineRule="exact"/>
    </w:pPr>
  </w:style>
  <w:style w:type="paragraph" w:customStyle="1" w:styleId="218">
    <w:name w:val="Style78"/>
    <w:basedOn w:val="1"/>
    <w:unhideWhenUsed/>
    <w:qFormat/>
    <w:uiPriority w:val="0"/>
  </w:style>
  <w:style w:type="paragraph" w:customStyle="1" w:styleId="219">
    <w:name w:val="Table Paragraph"/>
    <w:basedOn w:val="1"/>
    <w:qFormat/>
    <w:uiPriority w:val="1"/>
    <w:pPr>
      <w:autoSpaceDE w:val="0"/>
      <w:autoSpaceDN w:val="0"/>
      <w:jc w:val="left"/>
    </w:pPr>
    <w:rPr>
      <w:kern w:val="0"/>
      <w:sz w:val="22"/>
      <w:szCs w:val="22"/>
      <w:lang w:val="zh-CN" w:bidi="zh-CN"/>
    </w:rPr>
  </w:style>
  <w:style w:type="paragraph" w:customStyle="1" w:styleId="220">
    <w:name w:val="Style45"/>
    <w:basedOn w:val="1"/>
    <w:unhideWhenUsed/>
    <w:qFormat/>
    <w:uiPriority w:val="0"/>
  </w:style>
  <w:style w:type="paragraph" w:customStyle="1" w:styleId="221">
    <w:name w:val="Style24"/>
    <w:basedOn w:val="1"/>
    <w:unhideWhenUsed/>
    <w:qFormat/>
    <w:uiPriority w:val="0"/>
  </w:style>
  <w:style w:type="paragraph" w:customStyle="1" w:styleId="222">
    <w:name w:val="Style41"/>
    <w:basedOn w:val="1"/>
    <w:unhideWhenUsed/>
    <w:qFormat/>
    <w:uiPriority w:val="0"/>
    <w:pPr>
      <w:spacing w:line="542" w:lineRule="exact"/>
      <w:ind w:firstLine="125"/>
    </w:pPr>
  </w:style>
  <w:style w:type="paragraph" w:customStyle="1" w:styleId="223">
    <w:name w:val="Style10"/>
    <w:basedOn w:val="1"/>
    <w:unhideWhenUsed/>
    <w:qFormat/>
    <w:uiPriority w:val="0"/>
    <w:pPr>
      <w:spacing w:line="538" w:lineRule="exact"/>
    </w:pPr>
  </w:style>
  <w:style w:type="paragraph" w:customStyle="1" w:styleId="224">
    <w:name w:val="Char1 Char Char Char Char Char Char Char Char Char"/>
    <w:basedOn w:val="1"/>
    <w:qFormat/>
    <w:uiPriority w:val="0"/>
    <w:rPr>
      <w:szCs w:val="20"/>
    </w:rPr>
  </w:style>
  <w:style w:type="paragraph" w:customStyle="1" w:styleId="225">
    <w:name w:val="修订1"/>
    <w:qFormat/>
    <w:uiPriority w:val="0"/>
    <w:rPr>
      <w:rFonts w:ascii="Times New Roman" w:hAnsi="Times New Roman" w:eastAsia="宋体" w:cs="Times New Roman"/>
      <w:kern w:val="2"/>
      <w:sz w:val="21"/>
      <w:szCs w:val="24"/>
      <w:lang w:val="en-US" w:eastAsia="zh-CN" w:bidi="ar-SA"/>
    </w:rPr>
  </w:style>
  <w:style w:type="paragraph" w:customStyle="1" w:styleId="226">
    <w:name w:val="Style63"/>
    <w:basedOn w:val="1"/>
    <w:unhideWhenUsed/>
    <w:qFormat/>
    <w:uiPriority w:val="0"/>
    <w:pPr>
      <w:spacing w:line="564" w:lineRule="exact"/>
      <w:ind w:firstLine="682"/>
    </w:pPr>
  </w:style>
  <w:style w:type="paragraph" w:customStyle="1" w:styleId="22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8">
    <w:name w:val="Style77"/>
    <w:basedOn w:val="1"/>
    <w:unhideWhenUsed/>
    <w:qFormat/>
    <w:uiPriority w:val="0"/>
  </w:style>
  <w:style w:type="paragraph" w:customStyle="1" w:styleId="229">
    <w:name w:val="Char Char1 Char Char Char"/>
    <w:basedOn w:val="1"/>
    <w:qFormat/>
    <w:uiPriority w:val="0"/>
    <w:rPr>
      <w:kern w:val="0"/>
      <w:sz w:val="20"/>
      <w:szCs w:val="20"/>
    </w:rPr>
  </w:style>
  <w:style w:type="paragraph" w:customStyle="1" w:styleId="230">
    <w:name w:val="列出段落2"/>
    <w:basedOn w:val="1"/>
    <w:qFormat/>
    <w:uiPriority w:val="0"/>
    <w:rPr>
      <w:rFonts w:ascii="Calibri" w:hAnsi="Calibri" w:cs="Calibri"/>
      <w:szCs w:val="21"/>
    </w:rPr>
  </w:style>
  <w:style w:type="paragraph" w:customStyle="1" w:styleId="231">
    <w:name w:val="Style59"/>
    <w:basedOn w:val="1"/>
    <w:unhideWhenUsed/>
    <w:qFormat/>
    <w:uiPriority w:val="0"/>
  </w:style>
  <w:style w:type="paragraph" w:customStyle="1" w:styleId="232">
    <w:name w:val="Style73"/>
    <w:basedOn w:val="1"/>
    <w:unhideWhenUsed/>
    <w:qFormat/>
    <w:uiPriority w:val="0"/>
    <w:pPr>
      <w:spacing w:line="538" w:lineRule="exact"/>
      <w:ind w:firstLine="533"/>
    </w:pPr>
  </w:style>
  <w:style w:type="paragraph" w:customStyle="1" w:styleId="233">
    <w:name w:val="列出段落3"/>
    <w:basedOn w:val="1"/>
    <w:qFormat/>
    <w:uiPriority w:val="34"/>
    <w:rPr>
      <w:rFonts w:ascii="Calibri" w:hAnsi="Calibri"/>
      <w:szCs w:val="22"/>
    </w:rPr>
  </w:style>
  <w:style w:type="paragraph" w:customStyle="1" w:styleId="23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5">
    <w:name w:val="Style44"/>
    <w:basedOn w:val="1"/>
    <w:unhideWhenUsed/>
    <w:qFormat/>
    <w:uiPriority w:val="0"/>
  </w:style>
  <w:style w:type="paragraph" w:customStyle="1" w:styleId="236">
    <w:name w:val="Style5"/>
    <w:basedOn w:val="1"/>
    <w:unhideWhenUsed/>
    <w:qFormat/>
    <w:uiPriority w:val="0"/>
  </w:style>
  <w:style w:type="paragraph" w:customStyle="1" w:styleId="237">
    <w:name w:val="Char Char Char"/>
    <w:basedOn w:val="1"/>
    <w:qFormat/>
    <w:uiPriority w:val="0"/>
    <w:rPr>
      <w:b/>
      <w:sz w:val="28"/>
      <w:szCs w:val="28"/>
    </w:rPr>
  </w:style>
  <w:style w:type="paragraph" w:customStyle="1" w:styleId="238">
    <w:name w:val="Style46"/>
    <w:basedOn w:val="1"/>
    <w:unhideWhenUsed/>
    <w:qFormat/>
    <w:uiPriority w:val="0"/>
    <w:pPr>
      <w:spacing w:line="672" w:lineRule="exact"/>
    </w:pPr>
  </w:style>
  <w:style w:type="paragraph" w:customStyle="1" w:styleId="239">
    <w:name w:val="Style29"/>
    <w:basedOn w:val="1"/>
    <w:unhideWhenUsed/>
    <w:qFormat/>
    <w:uiPriority w:val="0"/>
    <w:pPr>
      <w:spacing w:line="547" w:lineRule="exact"/>
      <w:ind w:firstLine="547"/>
    </w:pPr>
  </w:style>
  <w:style w:type="paragraph" w:customStyle="1" w:styleId="240">
    <w:name w:val="Char1 Char Char Char"/>
    <w:basedOn w:val="1"/>
    <w:qFormat/>
    <w:uiPriority w:val="0"/>
    <w:pPr>
      <w:widowControl/>
      <w:spacing w:after="160" w:line="240" w:lineRule="exact"/>
      <w:jc w:val="left"/>
    </w:pPr>
    <w:rPr>
      <w:kern w:val="0"/>
      <w:sz w:val="24"/>
      <w:szCs w:val="20"/>
    </w:rPr>
  </w:style>
  <w:style w:type="paragraph" w:customStyle="1" w:styleId="241">
    <w:name w:val="Style47"/>
    <w:basedOn w:val="1"/>
    <w:unhideWhenUsed/>
    <w:qFormat/>
    <w:uiPriority w:val="0"/>
  </w:style>
  <w:style w:type="paragraph" w:customStyle="1" w:styleId="242">
    <w:name w:val="Style80"/>
    <w:basedOn w:val="1"/>
    <w:unhideWhenUsed/>
    <w:qFormat/>
    <w:uiPriority w:val="0"/>
  </w:style>
  <w:style w:type="paragraph" w:customStyle="1" w:styleId="243">
    <w:name w:val="Style67"/>
    <w:basedOn w:val="1"/>
    <w:unhideWhenUsed/>
    <w:qFormat/>
    <w:uiPriority w:val="0"/>
    <w:pPr>
      <w:spacing w:line="566" w:lineRule="exact"/>
      <w:ind w:firstLine="552"/>
    </w:pPr>
  </w:style>
  <w:style w:type="paragraph" w:customStyle="1" w:styleId="244">
    <w:name w:val="Style53"/>
    <w:basedOn w:val="1"/>
    <w:unhideWhenUsed/>
    <w:qFormat/>
    <w:uiPriority w:val="0"/>
    <w:pPr>
      <w:spacing w:line="533" w:lineRule="exact"/>
      <w:ind w:firstLine="581"/>
    </w:pPr>
  </w:style>
  <w:style w:type="paragraph" w:customStyle="1" w:styleId="245">
    <w:name w:val="标题3"/>
    <w:basedOn w:val="2"/>
    <w:qFormat/>
    <w:uiPriority w:val="0"/>
    <w:pPr>
      <w:spacing w:beforeLines="50" w:afterLines="50" w:line="400" w:lineRule="exact"/>
      <w:jc w:val="both"/>
    </w:pPr>
    <w:rPr>
      <w:kern w:val="32"/>
      <w:szCs w:val="32"/>
    </w:rPr>
  </w:style>
  <w:style w:type="paragraph" w:customStyle="1" w:styleId="246">
    <w:name w:val="1 Char Char Char Char"/>
    <w:basedOn w:val="1"/>
    <w:qFormat/>
    <w:uiPriority w:val="0"/>
  </w:style>
  <w:style w:type="paragraph" w:customStyle="1" w:styleId="247">
    <w:name w:val="Style65"/>
    <w:basedOn w:val="1"/>
    <w:unhideWhenUsed/>
    <w:qFormat/>
    <w:uiPriority w:val="0"/>
  </w:style>
  <w:style w:type="paragraph" w:customStyle="1" w:styleId="248">
    <w:name w:val="NO3"/>
    <w:basedOn w:val="1"/>
    <w:qFormat/>
    <w:uiPriority w:val="0"/>
    <w:pPr>
      <w:tabs>
        <w:tab w:val="left" w:pos="907"/>
      </w:tabs>
    </w:pPr>
    <w:rPr>
      <w:sz w:val="24"/>
    </w:rPr>
  </w:style>
  <w:style w:type="paragraph" w:customStyle="1" w:styleId="249">
    <w:name w:val="_Style 39"/>
    <w:basedOn w:val="208"/>
    <w:qFormat/>
    <w:uiPriority w:val="0"/>
  </w:style>
  <w:style w:type="paragraph" w:customStyle="1" w:styleId="250">
    <w:name w:val="Char2"/>
    <w:basedOn w:val="1"/>
    <w:qFormat/>
    <w:uiPriority w:val="0"/>
    <w:pPr>
      <w:tabs>
        <w:tab w:val="left" w:pos="360"/>
      </w:tabs>
      <w:ind w:left="360" w:hanging="360" w:hangingChars="200"/>
    </w:pPr>
    <w:rPr>
      <w:sz w:val="24"/>
    </w:rPr>
  </w:style>
  <w:style w:type="paragraph" w:customStyle="1" w:styleId="251">
    <w:name w:val="p16"/>
    <w:basedOn w:val="1"/>
    <w:qFormat/>
    <w:uiPriority w:val="0"/>
    <w:pPr>
      <w:widowControl/>
      <w:jc w:val="left"/>
    </w:pPr>
    <w:rPr>
      <w:kern w:val="0"/>
      <w:szCs w:val="21"/>
    </w:rPr>
  </w:style>
  <w:style w:type="paragraph" w:customStyle="1" w:styleId="25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3">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54">
    <w:name w:val="Style69"/>
    <w:basedOn w:val="1"/>
    <w:unhideWhenUsed/>
    <w:qFormat/>
    <w:uiPriority w:val="0"/>
    <w:pPr>
      <w:spacing w:line="557" w:lineRule="exact"/>
      <w:ind w:firstLine="1666"/>
    </w:pPr>
  </w:style>
  <w:style w:type="paragraph" w:customStyle="1" w:styleId="255">
    <w:name w:val="Style12"/>
    <w:basedOn w:val="1"/>
    <w:unhideWhenUsed/>
    <w:qFormat/>
    <w:uiPriority w:val="0"/>
    <w:pPr>
      <w:spacing w:line="564" w:lineRule="exact"/>
      <w:ind w:hanging="115"/>
    </w:pPr>
  </w:style>
  <w:style w:type="paragraph" w:customStyle="1" w:styleId="256">
    <w:name w:val="Style61"/>
    <w:basedOn w:val="1"/>
    <w:unhideWhenUsed/>
    <w:qFormat/>
    <w:uiPriority w:val="0"/>
  </w:style>
  <w:style w:type="paragraph" w:customStyle="1" w:styleId="257">
    <w:name w:val="标题2"/>
    <w:basedOn w:val="41"/>
    <w:qFormat/>
    <w:uiPriority w:val="0"/>
    <w:pPr>
      <w:spacing w:after="240"/>
      <w:jc w:val="left"/>
    </w:pPr>
    <w:rPr>
      <w:sz w:val="30"/>
    </w:rPr>
  </w:style>
  <w:style w:type="paragraph" w:customStyle="1" w:styleId="25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9">
    <w:name w:val="Char Char Char1 Char"/>
    <w:basedOn w:val="1"/>
    <w:qFormat/>
    <w:uiPriority w:val="0"/>
    <w:pPr>
      <w:tabs>
        <w:tab w:val="left" w:pos="360"/>
      </w:tabs>
      <w:snapToGrid w:val="0"/>
    </w:pPr>
    <w:rPr>
      <w:rFonts w:eastAsia="仿宋_GB2312"/>
      <w:sz w:val="24"/>
    </w:rPr>
  </w:style>
  <w:style w:type="paragraph" w:customStyle="1" w:styleId="260">
    <w:name w:val="Style68"/>
    <w:basedOn w:val="1"/>
    <w:unhideWhenUsed/>
    <w:qFormat/>
    <w:uiPriority w:val="0"/>
    <w:pPr>
      <w:spacing w:line="547" w:lineRule="exact"/>
    </w:pPr>
  </w:style>
  <w:style w:type="paragraph" w:customStyle="1" w:styleId="261">
    <w:name w:val="标题 1 +"/>
    <w:basedOn w:val="2"/>
    <w:next w:val="1"/>
    <w:qFormat/>
    <w:uiPriority w:val="0"/>
    <w:pPr>
      <w:keepLines/>
      <w:spacing w:line="600" w:lineRule="auto"/>
    </w:pPr>
    <w:rPr>
      <w:rFonts w:eastAsia="黑体"/>
      <w:kern w:val="0"/>
      <w:sz w:val="32"/>
      <w:szCs w:val="32"/>
    </w:rPr>
  </w:style>
  <w:style w:type="character" w:customStyle="1" w:styleId="262">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63">
    <w:name w:val="font112"/>
    <w:basedOn w:val="47"/>
    <w:qFormat/>
    <w:uiPriority w:val="0"/>
    <w:rPr>
      <w:rFonts w:hint="default" w:ascii="Times New Roman" w:hAnsi="Times New Roman" w:cs="Times New Roman"/>
      <w:i/>
      <w:color w:val="000000"/>
      <w:sz w:val="20"/>
      <w:szCs w:val="20"/>
      <w:u w:val="none"/>
    </w:rPr>
  </w:style>
  <w:style w:type="character" w:customStyle="1" w:styleId="264">
    <w:name w:val="font101"/>
    <w:basedOn w:val="47"/>
    <w:qFormat/>
    <w:uiPriority w:val="0"/>
    <w:rPr>
      <w:rFonts w:hint="default" w:ascii="Times New Roman" w:hAnsi="Times New Roman" w:cs="Times New Roman"/>
      <w:color w:val="000000"/>
      <w:sz w:val="20"/>
      <w:szCs w:val="20"/>
      <w:u w:val="none"/>
    </w:rPr>
  </w:style>
  <w:style w:type="character" w:customStyle="1" w:styleId="265">
    <w:name w:val="font91"/>
    <w:basedOn w:val="47"/>
    <w:qFormat/>
    <w:uiPriority w:val="0"/>
    <w:rPr>
      <w:rFonts w:hint="eastAsia" w:ascii="宋体" w:hAnsi="宋体" w:eastAsia="宋体" w:cs="宋体"/>
      <w:color w:val="000000"/>
      <w:sz w:val="20"/>
      <w:szCs w:val="20"/>
      <w:u w:val="none"/>
    </w:rPr>
  </w:style>
  <w:style w:type="character" w:customStyle="1" w:styleId="266">
    <w:name w:val="l-btn-left"/>
    <w:basedOn w:val="47"/>
    <w:qFormat/>
    <w:uiPriority w:val="0"/>
  </w:style>
  <w:style w:type="character" w:customStyle="1" w:styleId="267">
    <w:name w:val="l-btn-left1"/>
    <w:basedOn w:val="47"/>
    <w:qFormat/>
    <w:uiPriority w:val="0"/>
  </w:style>
  <w:style w:type="character" w:customStyle="1" w:styleId="268">
    <w:name w:val="l-btn-left2"/>
    <w:basedOn w:val="47"/>
    <w:qFormat/>
    <w:uiPriority w:val="0"/>
  </w:style>
  <w:style w:type="character" w:customStyle="1" w:styleId="269">
    <w:name w:val="l-btn-left3"/>
    <w:basedOn w:val="47"/>
    <w:qFormat/>
    <w:uiPriority w:val="0"/>
  </w:style>
  <w:style w:type="character" w:customStyle="1" w:styleId="270">
    <w:name w:val="l-btn-text"/>
    <w:basedOn w:val="47"/>
    <w:qFormat/>
    <w:uiPriority w:val="0"/>
    <w:rPr>
      <w:sz w:val="18"/>
      <w:szCs w:val="18"/>
      <w:vertAlign w:val="baseline"/>
    </w:rPr>
  </w:style>
  <w:style w:type="character" w:customStyle="1" w:styleId="271">
    <w:name w:val="l-btn-icon-left"/>
    <w:basedOn w:val="47"/>
    <w:qFormat/>
    <w:uiPriority w:val="0"/>
  </w:style>
  <w:style w:type="character" w:customStyle="1" w:styleId="272">
    <w:name w:val="l-btn-icon-right"/>
    <w:basedOn w:val="47"/>
    <w:qFormat/>
    <w:uiPriority w:val="0"/>
  </w:style>
  <w:style w:type="character" w:customStyle="1" w:styleId="273">
    <w:name w:val="l-btn-empty"/>
    <w:basedOn w:val="47"/>
    <w:qFormat/>
    <w:uiPriority w:val="0"/>
  </w:style>
  <w:style w:type="character" w:customStyle="1" w:styleId="274">
    <w:name w:val="resizedivclass"/>
    <w:basedOn w:val="47"/>
    <w:qFormat/>
    <w:uiPriority w:val="0"/>
  </w:style>
  <w:style w:type="character" w:customStyle="1" w:styleId="275">
    <w:name w:val="no-border"/>
    <w:basedOn w:val="47"/>
    <w:qFormat/>
    <w:uiPriority w:val="0"/>
  </w:style>
  <w:style w:type="character" w:customStyle="1" w:styleId="276">
    <w:name w:val="textlabel"/>
    <w:basedOn w:val="47"/>
    <w:qFormat/>
    <w:uiPriority w:val="0"/>
  </w:style>
  <w:style w:type="character" w:customStyle="1" w:styleId="277">
    <w:name w:val="textcontent"/>
    <w:basedOn w:val="47"/>
    <w:qFormat/>
    <w:uiPriority w:val="0"/>
  </w:style>
  <w:style w:type="character" w:customStyle="1" w:styleId="278">
    <w:name w:val="must"/>
    <w:basedOn w:val="47"/>
    <w:qFormat/>
    <w:uiPriority w:val="0"/>
    <w:rPr>
      <w:color w:val="FF0000"/>
    </w:rPr>
  </w:style>
  <w:style w:type="character" w:customStyle="1" w:styleId="279">
    <w:name w:val="tablecontent2"/>
    <w:basedOn w:val="47"/>
    <w:qFormat/>
    <w:uiPriority w:val="0"/>
    <w:rPr>
      <w:shd w:val="clear" w:color="auto" w:fill="FFFFFF"/>
    </w:rPr>
  </w:style>
  <w:style w:type="character" w:customStyle="1" w:styleId="280">
    <w:name w:val="header-ico"/>
    <w:basedOn w:val="47"/>
    <w:qFormat/>
    <w:uiPriority w:val="0"/>
    <w:rPr>
      <w:sz w:val="21"/>
      <w:szCs w:val="21"/>
    </w:rPr>
  </w:style>
  <w:style w:type="paragraph" w:customStyle="1" w:styleId="281">
    <w:name w:val="样式2"/>
    <w:basedOn w:val="1"/>
    <w:next w:val="1"/>
    <w:qFormat/>
    <w:uiPriority w:val="0"/>
  </w:style>
  <w:style w:type="paragraph" w:customStyle="1" w:styleId="282">
    <w:name w:val="WPSOffice手动目录 1"/>
    <w:qFormat/>
    <w:uiPriority w:val="0"/>
    <w:rPr>
      <w:rFonts w:ascii="Times New Roman" w:hAnsi="Times New Roman" w:eastAsia="宋体" w:cs="Times New Roman"/>
      <w:lang w:val="en-US" w:eastAsia="zh-CN" w:bidi="ar-SA"/>
    </w:rPr>
  </w:style>
  <w:style w:type="paragraph" w:customStyle="1" w:styleId="283">
    <w:name w:val="正文首行缩进 211"/>
    <w:basedOn w:val="18"/>
    <w:unhideWhenUsed/>
    <w:qFormat/>
    <w:uiPriority w:val="99"/>
  </w:style>
  <w:style w:type="character" w:customStyle="1" w:styleId="284">
    <w:name w:val="15"/>
    <w:basedOn w:val="47"/>
    <w:qFormat/>
    <w:uiPriority w:val="0"/>
    <w:rPr>
      <w:rFonts w:hint="default" w:ascii="Times New Roman" w:hAnsi="Times New Roman" w:cs="Times New Roman"/>
      <w:color w:val="0563C1"/>
      <w:sz w:val="20"/>
      <w:szCs w:val="20"/>
      <w:u w:val="single"/>
    </w:rPr>
  </w:style>
  <w:style w:type="character" w:customStyle="1" w:styleId="285">
    <w:name w:val="Heading 2 Hidden Char"/>
    <w:qFormat/>
    <w:uiPriority w:val="0"/>
    <w:rPr>
      <w:rFonts w:ascii="Arial" w:hAnsi="Arial" w:eastAsia="宋体"/>
      <w:b/>
      <w:bCs/>
      <w:kern w:val="2"/>
      <w:sz w:val="28"/>
      <w:szCs w:val="32"/>
      <w:lang w:val="en-US" w:eastAsia="zh-CN" w:bidi="ar-SA"/>
    </w:rPr>
  </w:style>
  <w:style w:type="paragraph" w:customStyle="1" w:styleId="286">
    <w:name w:val="Body text|1"/>
    <w:basedOn w:val="1"/>
    <w:qFormat/>
    <w:uiPriority w:val="0"/>
    <w:pPr>
      <w:spacing w:after="180" w:line="420" w:lineRule="auto"/>
    </w:pPr>
    <w:rPr>
      <w:sz w:val="26"/>
      <w:szCs w:val="26"/>
      <w:lang w:val="zh-TW" w:eastAsia="zh-TW" w:bidi="zh-TW"/>
    </w:rPr>
  </w:style>
  <w:style w:type="paragraph" w:customStyle="1" w:styleId="287">
    <w:name w:val="CM91"/>
    <w:basedOn w:val="1"/>
    <w:next w:val="1"/>
    <w:qFormat/>
    <w:uiPriority w:val="0"/>
    <w:pPr>
      <w:autoSpaceDE w:val="0"/>
      <w:autoSpaceDN w:val="0"/>
      <w:adjustRightInd w:val="0"/>
      <w:spacing w:after="160"/>
      <w:jc w:val="left"/>
    </w:pPr>
    <w:rPr>
      <w:kern w:val="0"/>
      <w:sz w:val="24"/>
    </w:rPr>
  </w:style>
  <w:style w:type="paragraph" w:customStyle="1" w:styleId="288">
    <w:name w:val="列出段落4"/>
    <w:basedOn w:val="1"/>
    <w:qFormat/>
    <w:uiPriority w:val="34"/>
    <w:rPr>
      <w:rFonts w:ascii="Calibri" w:hAnsi="Calibri"/>
      <w:szCs w:val="22"/>
    </w:rPr>
  </w:style>
  <w:style w:type="paragraph" w:customStyle="1" w:styleId="2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0">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291">
    <w:name w:val="Table Normal"/>
    <w:semiHidden/>
    <w:unhideWhenUsed/>
    <w:qFormat/>
    <w:uiPriority w:val="0"/>
    <w:tblPr>
      <w:tblCellMar>
        <w:top w:w="0" w:type="dxa"/>
        <w:left w:w="0" w:type="dxa"/>
        <w:bottom w:w="0" w:type="dxa"/>
        <w:right w:w="0" w:type="dxa"/>
      </w:tblCellMar>
    </w:tblPr>
  </w:style>
  <w:style w:type="paragraph" w:customStyle="1" w:styleId="292">
    <w:name w:val="No Spacing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3">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294">
    <w:name w:val="Table Text"/>
    <w:basedOn w:val="1"/>
    <w:semiHidden/>
    <w:qFormat/>
    <w:uiPriority w:val="0"/>
    <w:rPr>
      <w:sz w:val="20"/>
      <w:szCs w:val="20"/>
      <w:lang w:eastAsia="en-US"/>
    </w:rPr>
  </w:style>
  <w:style w:type="character" w:customStyle="1" w:styleId="295">
    <w:name w:val="font61"/>
    <w:basedOn w:val="47"/>
    <w:qFormat/>
    <w:uiPriority w:val="0"/>
    <w:rPr>
      <w:rFonts w:hint="eastAsia" w:ascii="宋体" w:hAnsi="宋体" w:eastAsia="宋体" w:cs="宋体"/>
      <w:b/>
      <w:bCs/>
      <w:color w:val="000000"/>
      <w:sz w:val="22"/>
      <w:szCs w:val="22"/>
      <w:u w:val="none"/>
    </w:rPr>
  </w:style>
  <w:style w:type="paragraph" w:customStyle="1" w:styleId="296">
    <w:name w:val="正文_5_0"/>
    <w:next w:val="2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正文首行缩进 2_4_0"/>
    <w:basedOn w:val="298"/>
    <w:next w:val="296"/>
    <w:qFormat/>
    <w:uiPriority w:val="0"/>
    <w:pPr>
      <w:ind w:firstLine="420" w:firstLineChars="200"/>
    </w:pPr>
  </w:style>
  <w:style w:type="paragraph" w:customStyle="1" w:styleId="298">
    <w:name w:val="正文文本缩进_5_0"/>
    <w:basedOn w:val="296"/>
    <w:next w:val="299"/>
    <w:qFormat/>
    <w:uiPriority w:val="0"/>
    <w:pPr>
      <w:spacing w:after="120"/>
      <w:ind w:left="420" w:leftChars="200"/>
    </w:pPr>
  </w:style>
  <w:style w:type="paragraph" w:customStyle="1" w:styleId="299">
    <w:name w:val="font5_5_0"/>
    <w:basedOn w:val="296"/>
    <w:qFormat/>
    <w:uiPriority w:val="99"/>
    <w:pPr>
      <w:widowControl/>
      <w:spacing w:before="100" w:beforeAutospacing="1" w:after="100" w:afterAutospacing="1"/>
      <w:jc w:val="left"/>
    </w:pPr>
    <w:rPr>
      <w:rFonts w:ascii="宋体"/>
      <w:kern w:val="0"/>
      <w:sz w:val="18"/>
      <w:szCs w:val="18"/>
    </w:rPr>
  </w:style>
  <w:style w:type="paragraph" w:customStyle="1" w:styleId="300">
    <w:name w:val="正文文本缩进 2_0"/>
    <w:basedOn w:val="301"/>
    <w:qFormat/>
    <w:uiPriority w:val="0"/>
    <w:pPr>
      <w:spacing w:after="120" w:line="480" w:lineRule="auto"/>
      <w:ind w:left="420" w:leftChars="200"/>
    </w:pPr>
  </w:style>
  <w:style w:type="paragraph" w:customStyle="1" w:styleId="301">
    <w:name w:val="正文_5"/>
    <w:next w:val="3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正文首行缩进 2_4"/>
    <w:basedOn w:val="303"/>
    <w:next w:val="301"/>
    <w:qFormat/>
    <w:uiPriority w:val="0"/>
    <w:pPr>
      <w:ind w:firstLine="420" w:firstLineChars="200"/>
    </w:pPr>
  </w:style>
  <w:style w:type="paragraph" w:customStyle="1" w:styleId="303">
    <w:name w:val="正文文本缩进_5"/>
    <w:basedOn w:val="301"/>
    <w:next w:val="304"/>
    <w:qFormat/>
    <w:uiPriority w:val="0"/>
    <w:pPr>
      <w:spacing w:after="120"/>
      <w:ind w:left="420" w:leftChars="200"/>
    </w:pPr>
  </w:style>
  <w:style w:type="paragraph" w:customStyle="1" w:styleId="304">
    <w:name w:val="font5_5"/>
    <w:basedOn w:val="301"/>
    <w:qFormat/>
    <w:uiPriority w:val="99"/>
    <w:pPr>
      <w:widowControl/>
      <w:spacing w:before="100" w:beforeAutospacing="1" w:after="100" w:afterAutospacing="1"/>
      <w:jc w:val="left"/>
    </w:pPr>
    <w:rPr>
      <w:rFonts w:asci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14031</Words>
  <Characters>14820</Characters>
  <Lines>234</Lines>
  <Paragraphs>66</Paragraphs>
  <TotalTime>33</TotalTime>
  <ScaleCrop>false</ScaleCrop>
  <LinksUpToDate>false</LinksUpToDate>
  <CharactersWithSpaces>15047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2026-05-18T06:48:00Z</dcterms:created>
  <dc:creator>admin</dc:creator>
  <cp:lastModifiedBy>Administrator</cp:lastModifiedBy>
  <cp:lastPrinted>2026-06-11T06:58:00Z</cp:lastPrinted>
  <dcterms:modified xsi:type="dcterms:W3CDTF">2026-07-15T03:27:22Z</dcterms:modified>
  <dc:title>附件十一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F26130EED0DD4A37955D834336394667_13</vt:lpwstr>
  </property>
  <property fmtid="{D5CDD505-2E9C-101B-9397-08002B2CF9AE}" pid="4" name="KSOTemplateDocerSaveRecord">
    <vt:lpwstr>eyJoZGlkIjoiOWVlNTFkMTdhMzMwZGMzNGUzN2JiYzZlZjUxODQwMjYiLCJ1c2VySWQiOiIxNjcxMDQ4NzMzIn0=</vt:lpwstr>
  </property>
</Properties>
</file>