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BB91F">
      <w:pPr>
        <w:pageBreakBefore w:val="0"/>
        <w:widowControl w:val="0"/>
        <w:kinsoku/>
        <w:wordWrap/>
        <w:overflowPunct w:val="0"/>
        <w:bidi w:val="0"/>
        <w:jc w:val="both"/>
        <w:textAlignment w:val="auto"/>
        <w:rPr>
          <w:rFonts w:hint="eastAsia" w:ascii="宋体" w:hAnsi="宋体" w:eastAsia="宋体" w:cs="宋体"/>
          <w:color w:val="auto"/>
          <w:kern w:val="1"/>
          <w:sz w:val="32"/>
          <w:szCs w:val="32"/>
        </w:rPr>
      </w:pPr>
    </w:p>
    <w:p w14:paraId="1DFCA2DD">
      <w:pPr>
        <w:pageBreakBefore w:val="0"/>
        <w:widowControl w:val="0"/>
        <w:kinsoku/>
        <w:wordWrap/>
        <w:overflowPunct w:val="0"/>
        <w:bidi w:val="0"/>
        <w:jc w:val="both"/>
        <w:textAlignment w:val="auto"/>
        <w:rPr>
          <w:rFonts w:ascii="宋体" w:hAnsi="宋体" w:eastAsia="宋体" w:cs="宋体"/>
          <w:color w:val="auto"/>
          <w:kern w:val="1"/>
          <w:sz w:val="32"/>
          <w:szCs w:val="32"/>
        </w:rPr>
      </w:pPr>
    </w:p>
    <w:p w14:paraId="5A8E3C14">
      <w:pPr>
        <w:pageBreakBefore w:val="0"/>
        <w:widowControl w:val="0"/>
        <w:kinsoku/>
        <w:wordWrap/>
        <w:overflowPunct w:val="0"/>
        <w:bidi w:val="0"/>
        <w:jc w:val="both"/>
        <w:textAlignment w:val="auto"/>
        <w:rPr>
          <w:rFonts w:ascii="宋体" w:hAnsi="宋体" w:eastAsia="宋体" w:cs="宋体"/>
          <w:color w:val="auto"/>
          <w:kern w:val="1"/>
          <w:sz w:val="32"/>
          <w:szCs w:val="32"/>
        </w:rPr>
      </w:pPr>
    </w:p>
    <w:p w14:paraId="08B1BD33">
      <w:pPr>
        <w:pStyle w:val="7"/>
        <w:pageBreakBefore w:val="0"/>
        <w:widowControl w:val="0"/>
        <w:kinsoku/>
        <w:wordWrap/>
        <w:overflowPunct w:val="0"/>
        <w:bidi w:val="0"/>
        <w:jc w:val="center"/>
        <w:textAlignment w:val="auto"/>
        <w:rPr>
          <w:rFonts w:eastAsia="宋体" w:cs="宋体"/>
          <w:b/>
          <w:color w:val="auto"/>
          <w:sz w:val="84"/>
          <w:szCs w:val="84"/>
        </w:rPr>
      </w:pPr>
      <w:r>
        <w:rPr>
          <w:rFonts w:hint="eastAsia" w:eastAsia="宋体" w:cs="宋体"/>
          <w:b/>
          <w:color w:val="auto"/>
          <w:sz w:val="84"/>
          <w:szCs w:val="84"/>
        </w:rPr>
        <w:t>政府采购</w:t>
      </w:r>
    </w:p>
    <w:p w14:paraId="0AB18344">
      <w:pPr>
        <w:pStyle w:val="7"/>
        <w:pageBreakBefore w:val="0"/>
        <w:widowControl w:val="0"/>
        <w:kinsoku/>
        <w:wordWrap/>
        <w:overflowPunct w:val="0"/>
        <w:bidi w:val="0"/>
        <w:jc w:val="center"/>
        <w:textAlignment w:val="auto"/>
        <w:rPr>
          <w:rFonts w:eastAsia="宋体" w:cs="宋体"/>
          <w:b/>
          <w:color w:val="auto"/>
          <w:sz w:val="84"/>
          <w:szCs w:val="84"/>
        </w:rPr>
      </w:pPr>
      <w:r>
        <w:rPr>
          <w:rFonts w:hint="eastAsia" w:eastAsia="宋体" w:cs="宋体"/>
          <w:b/>
          <w:color w:val="auto"/>
          <w:sz w:val="84"/>
          <w:szCs w:val="84"/>
        </w:rPr>
        <w:t>竞争性磋商文件</w:t>
      </w:r>
    </w:p>
    <w:p w14:paraId="7F9E3C30">
      <w:pPr>
        <w:pStyle w:val="7"/>
        <w:pageBreakBefore w:val="0"/>
        <w:widowControl w:val="0"/>
        <w:kinsoku/>
        <w:wordWrap/>
        <w:overflowPunct w:val="0"/>
        <w:bidi w:val="0"/>
        <w:spacing w:before="156"/>
        <w:ind w:left="846" w:firstLine="157"/>
        <w:jc w:val="both"/>
        <w:textAlignment w:val="auto"/>
        <w:rPr>
          <w:rFonts w:eastAsia="宋体" w:cs="宋体"/>
          <w:b/>
          <w:color w:val="auto"/>
          <w:sz w:val="32"/>
          <w:szCs w:val="32"/>
        </w:rPr>
      </w:pPr>
    </w:p>
    <w:p w14:paraId="23ED18FA">
      <w:pPr>
        <w:pStyle w:val="7"/>
        <w:pageBreakBefore w:val="0"/>
        <w:widowControl w:val="0"/>
        <w:kinsoku/>
        <w:wordWrap/>
        <w:overflowPunct w:val="0"/>
        <w:bidi w:val="0"/>
        <w:spacing w:before="156"/>
        <w:ind w:left="846" w:firstLine="157"/>
        <w:jc w:val="both"/>
        <w:textAlignment w:val="auto"/>
        <w:rPr>
          <w:rFonts w:eastAsia="宋体" w:cs="宋体"/>
          <w:b/>
          <w:color w:val="auto"/>
          <w:sz w:val="32"/>
          <w:szCs w:val="32"/>
        </w:rPr>
      </w:pPr>
    </w:p>
    <w:p w14:paraId="62F48876">
      <w:pPr>
        <w:pStyle w:val="7"/>
        <w:pageBreakBefore w:val="0"/>
        <w:widowControl w:val="0"/>
        <w:kinsoku/>
        <w:wordWrap/>
        <w:overflowPunct w:val="0"/>
        <w:bidi w:val="0"/>
        <w:spacing w:before="156"/>
        <w:ind w:left="846" w:firstLine="157"/>
        <w:jc w:val="both"/>
        <w:textAlignment w:val="auto"/>
        <w:rPr>
          <w:rFonts w:eastAsia="宋体" w:cs="宋体"/>
          <w:b/>
          <w:color w:val="auto"/>
          <w:sz w:val="32"/>
          <w:szCs w:val="32"/>
        </w:rPr>
      </w:pPr>
    </w:p>
    <w:p w14:paraId="6A7E948A">
      <w:pPr>
        <w:rPr>
          <w:rFonts w:ascii="Times New Roman" w:hAnsi="Times New Roman" w:eastAsia="宋体" w:cs="宋体"/>
          <w:b/>
          <w:color w:val="auto"/>
          <w:sz w:val="32"/>
          <w:szCs w:val="32"/>
        </w:rPr>
      </w:pPr>
    </w:p>
    <w:p w14:paraId="4008B505">
      <w:pPr>
        <w:rPr>
          <w:rFonts w:ascii="Times New Roman" w:hAnsi="Times New Roman" w:eastAsia="宋体" w:cs="宋体"/>
          <w:b/>
          <w:color w:val="auto"/>
          <w:sz w:val="32"/>
          <w:szCs w:val="32"/>
        </w:rPr>
      </w:pPr>
    </w:p>
    <w:p w14:paraId="3B7BBB26">
      <w:pPr>
        <w:pStyle w:val="7"/>
        <w:pageBreakBefore w:val="0"/>
        <w:widowControl w:val="0"/>
        <w:kinsoku/>
        <w:wordWrap/>
        <w:overflowPunct w:val="0"/>
        <w:bidi w:val="0"/>
        <w:ind w:left="3207" w:leftChars="456" w:hanging="2249" w:hangingChars="700"/>
        <w:jc w:val="both"/>
        <w:textAlignment w:val="auto"/>
        <w:rPr>
          <w:rFonts w:hint="eastAsia" w:eastAsia="宋体" w:cs="宋体"/>
          <w:b/>
          <w:color w:val="auto"/>
          <w:sz w:val="32"/>
          <w:szCs w:val="32"/>
          <w:lang w:eastAsia="zh-CN"/>
        </w:rPr>
      </w:pPr>
      <w:r>
        <w:rPr>
          <w:rFonts w:hint="eastAsia" w:eastAsia="宋体" w:cs="宋体"/>
          <w:b/>
          <w:color w:val="auto"/>
          <w:sz w:val="32"/>
          <w:szCs w:val="32"/>
        </w:rPr>
        <w:t>采购项目名称：</w:t>
      </w:r>
      <w:r>
        <w:rPr>
          <w:rFonts w:hint="eastAsia" w:cs="宋体"/>
          <w:b/>
          <w:color w:val="auto"/>
          <w:sz w:val="32"/>
          <w:szCs w:val="32"/>
          <w:lang w:eastAsia="zh-CN"/>
        </w:rPr>
        <w:t>慈利一中图书馆维修改造项目</w:t>
      </w:r>
    </w:p>
    <w:p w14:paraId="0D7DBCD7">
      <w:pPr>
        <w:pStyle w:val="7"/>
        <w:pageBreakBefore w:val="0"/>
        <w:widowControl w:val="0"/>
        <w:kinsoku/>
        <w:wordWrap/>
        <w:overflowPunct w:val="0"/>
        <w:bidi w:val="0"/>
        <w:ind w:firstLine="964" w:firstLineChars="300"/>
        <w:jc w:val="both"/>
        <w:textAlignment w:val="auto"/>
        <w:rPr>
          <w:rFonts w:hint="default" w:eastAsia="宋体" w:cs="宋体"/>
          <w:b/>
          <w:color w:val="auto"/>
          <w:sz w:val="32"/>
          <w:szCs w:val="32"/>
          <w:lang w:val="en-US" w:eastAsia="zh-CN"/>
        </w:rPr>
      </w:pPr>
      <w:r>
        <w:rPr>
          <w:rFonts w:hint="eastAsia" w:eastAsia="宋体" w:cs="宋体"/>
          <w:b/>
          <w:color w:val="auto"/>
          <w:sz w:val="32"/>
          <w:szCs w:val="32"/>
        </w:rPr>
        <w:t>政府采购编号：CGXM2026430821000001</w:t>
      </w:r>
    </w:p>
    <w:p w14:paraId="6545CE4C">
      <w:pPr>
        <w:pStyle w:val="7"/>
        <w:pageBreakBefore w:val="0"/>
        <w:widowControl w:val="0"/>
        <w:kinsoku/>
        <w:wordWrap/>
        <w:overflowPunct w:val="0"/>
        <w:bidi w:val="0"/>
        <w:ind w:firstLine="964" w:firstLineChars="300"/>
        <w:jc w:val="both"/>
        <w:textAlignment w:val="auto"/>
        <w:rPr>
          <w:rFonts w:hint="eastAsia" w:eastAsia="宋体" w:cs="宋体"/>
          <w:b/>
          <w:color w:val="auto"/>
          <w:sz w:val="32"/>
          <w:szCs w:val="32"/>
          <w:lang w:eastAsia="zh-CN"/>
        </w:rPr>
      </w:pPr>
      <w:r>
        <w:rPr>
          <w:rFonts w:hint="eastAsia" w:eastAsia="宋体" w:cs="宋体"/>
          <w:b/>
          <w:color w:val="auto"/>
          <w:sz w:val="32"/>
          <w:szCs w:val="32"/>
        </w:rPr>
        <w:t>委托代理编号：HNTX-2026-015</w:t>
      </w:r>
    </w:p>
    <w:p w14:paraId="19F70A88">
      <w:pPr>
        <w:pStyle w:val="7"/>
        <w:pageBreakBefore w:val="0"/>
        <w:widowControl w:val="0"/>
        <w:kinsoku/>
        <w:wordWrap/>
        <w:overflowPunct w:val="0"/>
        <w:bidi w:val="0"/>
        <w:ind w:firstLine="964" w:firstLineChars="300"/>
        <w:jc w:val="both"/>
        <w:textAlignment w:val="auto"/>
        <w:rPr>
          <w:rFonts w:hint="eastAsia" w:eastAsia="宋体" w:cs="宋体"/>
          <w:b/>
          <w:color w:val="auto"/>
          <w:sz w:val="32"/>
          <w:szCs w:val="32"/>
          <w:lang w:eastAsia="zh-CN"/>
        </w:rPr>
      </w:pPr>
      <w:r>
        <w:rPr>
          <w:rFonts w:hint="eastAsia" w:eastAsia="宋体" w:cs="宋体"/>
          <w:b/>
          <w:color w:val="auto"/>
          <w:sz w:val="32"/>
          <w:szCs w:val="32"/>
        </w:rPr>
        <w:t>采   购   人：</w:t>
      </w:r>
      <w:r>
        <w:rPr>
          <w:rFonts w:hint="eastAsia" w:cs="宋体"/>
          <w:b/>
          <w:color w:val="auto"/>
          <w:sz w:val="32"/>
          <w:szCs w:val="32"/>
          <w:lang w:eastAsia="zh-CN"/>
        </w:rPr>
        <w:t>慈利县第一中学</w:t>
      </w:r>
    </w:p>
    <w:p w14:paraId="4BBBD1E9">
      <w:pPr>
        <w:pStyle w:val="7"/>
        <w:pageBreakBefore w:val="0"/>
        <w:widowControl w:val="0"/>
        <w:kinsoku/>
        <w:wordWrap/>
        <w:overflowPunct w:val="0"/>
        <w:bidi w:val="0"/>
        <w:ind w:firstLine="964" w:firstLineChars="300"/>
        <w:jc w:val="both"/>
        <w:textAlignment w:val="auto"/>
        <w:rPr>
          <w:rFonts w:hint="eastAsia" w:eastAsia="宋体" w:cs="宋体"/>
          <w:b/>
          <w:color w:val="auto"/>
          <w:sz w:val="32"/>
          <w:lang w:eastAsia="zh-CN"/>
        </w:rPr>
      </w:pPr>
      <w:r>
        <w:rPr>
          <w:rFonts w:hint="eastAsia" w:eastAsia="宋体" w:cs="宋体"/>
          <w:b/>
          <w:color w:val="auto"/>
          <w:sz w:val="32"/>
          <w:szCs w:val="32"/>
        </w:rPr>
        <w:t>采购代理机构：</w:t>
      </w:r>
      <w:r>
        <w:rPr>
          <w:rFonts w:hint="eastAsia" w:eastAsia="宋体" w:cs="宋体"/>
          <w:b/>
          <w:color w:val="auto"/>
          <w:sz w:val="32"/>
          <w:szCs w:val="32"/>
          <w:lang w:eastAsia="zh-CN"/>
        </w:rPr>
        <w:t>湖南涛鑫咨询有限公司</w:t>
      </w:r>
    </w:p>
    <w:p w14:paraId="2D7F65F7">
      <w:pPr>
        <w:pStyle w:val="7"/>
        <w:pageBreakBefore w:val="0"/>
        <w:widowControl w:val="0"/>
        <w:kinsoku/>
        <w:wordWrap/>
        <w:overflowPunct w:val="0"/>
        <w:bidi w:val="0"/>
        <w:jc w:val="both"/>
        <w:textAlignment w:val="auto"/>
        <w:rPr>
          <w:rFonts w:eastAsia="宋体" w:cs="宋体"/>
          <w:b/>
          <w:color w:val="auto"/>
          <w:sz w:val="32"/>
        </w:rPr>
      </w:pPr>
    </w:p>
    <w:p w14:paraId="35AE1FBD">
      <w:pPr>
        <w:pStyle w:val="7"/>
        <w:pageBreakBefore w:val="0"/>
        <w:widowControl w:val="0"/>
        <w:kinsoku/>
        <w:wordWrap/>
        <w:overflowPunct w:val="0"/>
        <w:bidi w:val="0"/>
        <w:jc w:val="both"/>
        <w:textAlignment w:val="auto"/>
        <w:rPr>
          <w:rFonts w:eastAsia="宋体" w:cs="宋体"/>
          <w:b/>
          <w:color w:val="auto"/>
          <w:sz w:val="32"/>
        </w:rPr>
      </w:pPr>
    </w:p>
    <w:p w14:paraId="1A8E3961">
      <w:pPr>
        <w:pStyle w:val="7"/>
        <w:pageBreakBefore w:val="0"/>
        <w:widowControl w:val="0"/>
        <w:kinsoku/>
        <w:wordWrap/>
        <w:overflowPunct w:val="0"/>
        <w:bidi w:val="0"/>
        <w:jc w:val="center"/>
        <w:textAlignment w:val="auto"/>
        <w:rPr>
          <w:rFonts w:hint="eastAsia" w:eastAsia="宋体" w:cs="宋体"/>
          <w:b/>
          <w:color w:val="auto"/>
          <w:sz w:val="32"/>
          <w:lang w:eastAsia="zh-CN"/>
        </w:rPr>
      </w:pPr>
      <w:r>
        <w:rPr>
          <w:rFonts w:hint="eastAsia" w:eastAsia="宋体" w:cs="宋体"/>
          <w:b/>
          <w:color w:val="auto"/>
          <w:sz w:val="32"/>
          <w:lang w:eastAsia="zh-CN"/>
        </w:rPr>
        <w:t>202</w:t>
      </w:r>
      <w:r>
        <w:rPr>
          <w:rFonts w:hint="eastAsia" w:cs="宋体"/>
          <w:b/>
          <w:color w:val="auto"/>
          <w:sz w:val="32"/>
          <w:lang w:val="en-US" w:eastAsia="zh-CN"/>
        </w:rPr>
        <w:t>6</w:t>
      </w:r>
      <w:r>
        <w:rPr>
          <w:rFonts w:hint="eastAsia" w:eastAsia="宋体" w:cs="宋体"/>
          <w:b/>
          <w:color w:val="auto"/>
          <w:sz w:val="32"/>
          <w:lang w:eastAsia="zh-CN"/>
        </w:rPr>
        <w:t>年</w:t>
      </w:r>
      <w:r>
        <w:rPr>
          <w:rFonts w:hint="eastAsia" w:cs="宋体"/>
          <w:b/>
          <w:color w:val="auto"/>
          <w:sz w:val="32"/>
          <w:lang w:val="en-US" w:eastAsia="zh-CN"/>
        </w:rPr>
        <w:t>6</w:t>
      </w:r>
      <w:r>
        <w:rPr>
          <w:rFonts w:hint="eastAsia" w:eastAsia="宋体" w:cs="宋体"/>
          <w:b/>
          <w:color w:val="auto"/>
          <w:sz w:val="32"/>
          <w:lang w:eastAsia="zh-CN"/>
        </w:rPr>
        <w:t>月</w:t>
      </w:r>
    </w:p>
    <w:p w14:paraId="0D61A8A6">
      <w:pPr>
        <w:rPr>
          <w:rFonts w:hint="eastAsia"/>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587" w:right="1587" w:bottom="1587" w:left="1587" w:header="85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r>
        <w:rPr>
          <w:rFonts w:hint="eastAsia" w:ascii="Times New Roman" w:hAnsi="Times New Roman" w:eastAsia="宋体" w:cs="Times New Roman"/>
          <w:lang w:eastAsia="zh-CN"/>
        </w:rPr>
        <w:br w:type="page"/>
      </w:r>
    </w:p>
    <w:p w14:paraId="7CC3282D">
      <w:pPr>
        <w:pageBreakBefore w:val="0"/>
        <w:widowControl w:val="0"/>
        <w:kinsoku/>
        <w:wordWrap/>
        <w:overflowPunct w:val="0"/>
        <w:bidi w:val="0"/>
        <w:jc w:val="center"/>
        <w:textAlignment w:val="auto"/>
        <w:rPr>
          <w:rFonts w:ascii="Times New Roman" w:hAnsi="Times New Roman" w:eastAsia="宋体" w:cs="Times New Roman"/>
          <w:b/>
          <w:bCs/>
          <w:color w:val="auto"/>
          <w:sz w:val="32"/>
          <w:szCs w:val="32"/>
        </w:rPr>
      </w:pPr>
      <w:r>
        <w:rPr>
          <w:rFonts w:ascii="宋体" w:hAnsi="宋体" w:eastAsia="宋体" w:cs="Times New Roman"/>
          <w:b/>
          <w:bCs/>
          <w:color w:val="auto"/>
          <w:sz w:val="32"/>
          <w:szCs w:val="32"/>
        </w:rPr>
        <w:t>目</w:t>
      </w:r>
      <w:r>
        <w:rPr>
          <w:rFonts w:hint="eastAsia" w:ascii="宋体" w:hAnsi="宋体" w:eastAsia="宋体" w:cs="Times New Roman"/>
          <w:b/>
          <w:bCs/>
          <w:color w:val="auto"/>
          <w:sz w:val="32"/>
          <w:szCs w:val="32"/>
          <w:lang w:val="en-US" w:eastAsia="zh-CN"/>
        </w:rPr>
        <w:t xml:space="preserve"> </w:t>
      </w:r>
      <w:r>
        <w:rPr>
          <w:rFonts w:hint="eastAsia" w:ascii="宋体" w:hAnsi="宋体" w:eastAsia="宋体" w:cs="Times New Roman"/>
          <w:b/>
          <w:bCs/>
          <w:color w:val="auto"/>
          <w:sz w:val="32"/>
          <w:szCs w:val="32"/>
        </w:rPr>
        <w:t xml:space="preserve"> </w:t>
      </w:r>
      <w:r>
        <w:rPr>
          <w:rFonts w:ascii="宋体" w:hAnsi="宋体" w:eastAsia="宋体" w:cs="Times New Roman"/>
          <w:b/>
          <w:bCs/>
          <w:color w:val="auto"/>
          <w:sz w:val="32"/>
          <w:szCs w:val="32"/>
        </w:rPr>
        <w:t>录</w:t>
      </w:r>
    </w:p>
    <w:p w14:paraId="50D0255A">
      <w:pPr>
        <w:pStyle w:val="11"/>
        <w:keepNext w:val="0"/>
        <w:keepLines w:val="0"/>
        <w:pageBreakBefore w:val="0"/>
        <w:widowControl w:val="0"/>
        <w:tabs>
          <w:tab w:val="right" w:leader="dot" w:pos="8732"/>
        </w:tabs>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fldChar w:fldCharType="begin"/>
      </w:r>
      <w:r>
        <w:rPr>
          <w:rFonts w:hint="eastAsia" w:ascii="Times New Roman" w:hAnsi="Times New Roman" w:eastAsia="宋体" w:cs="Times New Roman"/>
          <w:color w:val="auto"/>
          <w:sz w:val="28"/>
          <w:szCs w:val="28"/>
        </w:rPr>
        <w:instrText xml:space="preserve">TOC \o "1-1" \h \u </w:instrText>
      </w:r>
      <w:r>
        <w:rPr>
          <w:rFonts w:hint="eastAsia" w:ascii="Times New Roman" w:hAnsi="Times New Roman" w:eastAsia="宋体" w:cs="Times New Roman"/>
          <w:color w:val="auto"/>
          <w:sz w:val="28"/>
          <w:szCs w:val="28"/>
        </w:rPr>
        <w:fldChar w:fldCharType="separate"/>
      </w:r>
    </w:p>
    <w:p w14:paraId="340499C3">
      <w:pPr>
        <w:pStyle w:val="11"/>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ascii="Times New Roman" w:hAnsi="Times New Roman" w:eastAsia="宋体" w:cs="Times New Roman"/>
        </w:rPr>
        <w:fldChar w:fldCharType="begin"/>
      </w:r>
      <w:r>
        <w:rPr>
          <w:rFonts w:ascii="Times New Roman" w:hAnsi="Times New Roman" w:eastAsia="宋体" w:cs="Times New Roman"/>
        </w:rPr>
        <w:instrText xml:space="preserve">TOC \o "1-3" \h \u </w:instrText>
      </w:r>
      <w:r>
        <w:rPr>
          <w:rFonts w:ascii="Times New Roman" w:hAnsi="Times New Roman" w:eastAsia="宋体" w:cs="Times New Roman"/>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_Toc17181 </w:instrText>
      </w:r>
      <w:r>
        <w:rPr>
          <w:rFonts w:hint="eastAsia" w:ascii="宋体" w:hAnsi="宋体" w:eastAsia="宋体" w:cs="宋体"/>
          <w:b/>
          <w:bCs/>
          <w:sz w:val="24"/>
          <w:szCs w:val="24"/>
        </w:rPr>
        <w:fldChar w:fldCharType="separate"/>
      </w:r>
      <w:r>
        <w:rPr>
          <w:rFonts w:hint="eastAsia" w:ascii="宋体" w:hAnsi="宋体" w:eastAsia="宋体" w:cs="宋体"/>
          <w:b/>
          <w:bCs/>
          <w:kern w:val="1"/>
          <w:sz w:val="24"/>
          <w:szCs w:val="24"/>
          <w:lang w:val="zh-CN"/>
        </w:rPr>
        <w:t>第一章  磋商邀请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_Toc17181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E1572D9">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_Toc4967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一、采购项目基本情况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_Toc4967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A21E45">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_Toc14646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二、采购需求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_Toc14646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1696A5">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三、采购项目需落实的政府采购政策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47B0B3">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_Toc12971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四、供应商的资格要求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_Toc12971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5DC914">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_Toc30827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五、获取磋商文件的时间、地点及方式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_Toc30827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2C9CAD">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_Toc30052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六、响应文件提交的截止时间、开启时间及地点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33E905">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_Toc14973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七、公告期限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_Toc14973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534B9E">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八、询问及质疑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9B2E0A">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_Toc15799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九、磋商说明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_Toc15799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B4D90C">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_Toc31731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十、采购项目联系人姓名和电话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89157C">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_Toc13492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十一、采购人及其委托的采购代理机构的名称、地址和联系方法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_Toc13492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5EEECC">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_Toc14082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附件一 湖南省政府采购供应商资格承诺函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_Toc14082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5403CE">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_Toc21909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附件二 供应商资格声明(格式)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_Toc21909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F67ABD">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_Toc18391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附件三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_Toc18391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EBB490">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_Toc3028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附件四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63D153">
      <w:pPr>
        <w:pStyle w:val="11"/>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_Toc8576 </w:instrText>
      </w:r>
      <w:r>
        <w:rPr>
          <w:rFonts w:hint="eastAsia" w:ascii="宋体" w:hAnsi="宋体" w:eastAsia="宋体" w:cs="宋体"/>
          <w:b/>
          <w:bCs/>
          <w:sz w:val="24"/>
          <w:szCs w:val="24"/>
        </w:rPr>
        <w:fldChar w:fldCharType="separate"/>
      </w:r>
      <w:r>
        <w:rPr>
          <w:rFonts w:hint="eastAsia" w:ascii="宋体" w:hAnsi="宋体" w:eastAsia="宋体" w:cs="宋体"/>
          <w:b/>
          <w:bCs/>
          <w:kern w:val="1"/>
          <w:sz w:val="24"/>
          <w:szCs w:val="24"/>
          <w:lang w:val="zh-CN"/>
        </w:rPr>
        <w:t xml:space="preserve">第二章 </w:t>
      </w:r>
      <w:r>
        <w:rPr>
          <w:rFonts w:hint="eastAsia" w:ascii="宋体" w:hAnsi="宋体" w:eastAsia="宋体" w:cs="宋体"/>
          <w:b/>
          <w:bCs/>
          <w:kern w:val="1"/>
          <w:sz w:val="24"/>
          <w:szCs w:val="24"/>
          <w:lang w:val="en-US" w:eastAsia="zh-CN"/>
        </w:rPr>
        <w:t xml:space="preserve"> </w:t>
      </w:r>
      <w:r>
        <w:rPr>
          <w:rFonts w:hint="eastAsia" w:ascii="宋体" w:hAnsi="宋体" w:eastAsia="宋体" w:cs="宋体"/>
          <w:b/>
          <w:bCs/>
          <w:kern w:val="1"/>
          <w:sz w:val="24"/>
          <w:szCs w:val="24"/>
          <w:lang w:val="zh-CN"/>
        </w:rPr>
        <w:t>磋商须知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_Toc8576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24ABD106">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_Toc26046 </w:instrText>
      </w:r>
      <w:r>
        <w:rPr>
          <w:rFonts w:hint="eastAsia" w:ascii="宋体" w:hAnsi="宋体" w:eastAsia="宋体" w:cs="宋体"/>
          <w:sz w:val="24"/>
          <w:szCs w:val="24"/>
        </w:rPr>
        <w:fldChar w:fldCharType="separate"/>
      </w:r>
      <w:r>
        <w:rPr>
          <w:rFonts w:hint="eastAsia" w:ascii="宋体" w:hAnsi="宋体" w:eastAsia="宋体" w:cs="宋体"/>
          <w:sz w:val="24"/>
          <w:szCs w:val="24"/>
        </w:rPr>
        <w:t>磋商须知前附表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_Toc26046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7A3E64">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_Toc19119 </w:instrText>
      </w:r>
      <w:r>
        <w:rPr>
          <w:rFonts w:hint="eastAsia" w:ascii="宋体" w:hAnsi="宋体" w:eastAsia="宋体" w:cs="宋体"/>
          <w:sz w:val="24"/>
          <w:szCs w:val="24"/>
        </w:rPr>
        <w:fldChar w:fldCharType="separate"/>
      </w:r>
      <w:r>
        <w:rPr>
          <w:rFonts w:hint="eastAsia" w:ascii="宋体" w:hAnsi="宋体" w:eastAsia="宋体" w:cs="宋体"/>
          <w:sz w:val="24"/>
          <w:szCs w:val="24"/>
        </w:rPr>
        <w:t>评审因素和标准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_Toc19119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17C425">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_Toc652 </w:instrText>
      </w:r>
      <w:r>
        <w:rPr>
          <w:rFonts w:hint="eastAsia" w:ascii="宋体" w:hAnsi="宋体" w:eastAsia="宋体" w:cs="宋体"/>
          <w:sz w:val="24"/>
          <w:szCs w:val="24"/>
        </w:rPr>
        <w:fldChar w:fldCharType="separate"/>
      </w:r>
      <w:r>
        <w:rPr>
          <w:rFonts w:hint="eastAsia" w:ascii="宋体" w:hAnsi="宋体" w:eastAsia="宋体" w:cs="宋体"/>
          <w:sz w:val="24"/>
          <w:szCs w:val="24"/>
        </w:rPr>
        <w:t>评标方法及标准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D3E125">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_Toc29658 </w:instrText>
      </w:r>
      <w:r>
        <w:rPr>
          <w:rFonts w:hint="eastAsia" w:ascii="宋体" w:hAnsi="宋体" w:eastAsia="宋体" w:cs="宋体"/>
          <w:sz w:val="24"/>
          <w:szCs w:val="24"/>
        </w:rPr>
        <w:fldChar w:fldCharType="separate"/>
      </w:r>
      <w:r>
        <w:rPr>
          <w:rFonts w:hint="eastAsia" w:ascii="宋体" w:hAnsi="宋体" w:eastAsia="宋体" w:cs="宋体"/>
          <w:sz w:val="24"/>
          <w:szCs w:val="24"/>
        </w:rPr>
        <w:t>磋商须知正文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_Toc29658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78E6CE">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_Toc11891 </w:instrText>
      </w:r>
      <w:r>
        <w:rPr>
          <w:rFonts w:hint="eastAsia" w:ascii="宋体" w:hAnsi="宋体" w:eastAsia="宋体" w:cs="宋体"/>
          <w:sz w:val="24"/>
          <w:szCs w:val="24"/>
        </w:rPr>
        <w:fldChar w:fldCharType="separate"/>
      </w:r>
      <w:r>
        <w:rPr>
          <w:rFonts w:hint="eastAsia" w:ascii="宋体" w:hAnsi="宋体" w:eastAsia="宋体" w:cs="宋体"/>
          <w:bCs/>
          <w:spacing w:val="0"/>
          <w:kern w:val="1"/>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_Toc11891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F1657B">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_Toc1936 </w:instrText>
      </w:r>
      <w:r>
        <w:rPr>
          <w:rFonts w:hint="eastAsia" w:ascii="宋体" w:hAnsi="宋体" w:eastAsia="宋体" w:cs="宋体"/>
          <w:sz w:val="24"/>
          <w:szCs w:val="24"/>
        </w:rPr>
        <w:fldChar w:fldCharType="separate"/>
      </w:r>
      <w:r>
        <w:rPr>
          <w:rFonts w:hint="eastAsia" w:ascii="宋体" w:hAnsi="宋体" w:eastAsia="宋体" w:cs="宋体"/>
          <w:spacing w:val="0"/>
          <w:kern w:val="1"/>
          <w:sz w:val="24"/>
          <w:szCs w:val="24"/>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5E5C9">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_Toc1071 </w:instrText>
      </w:r>
      <w:r>
        <w:rPr>
          <w:rFonts w:hint="eastAsia" w:ascii="宋体" w:hAnsi="宋体" w:eastAsia="宋体" w:cs="宋体"/>
          <w:sz w:val="24"/>
          <w:szCs w:val="24"/>
        </w:rPr>
        <w:fldChar w:fldCharType="separate"/>
      </w:r>
      <w:r>
        <w:rPr>
          <w:rFonts w:hint="eastAsia" w:ascii="宋体" w:hAnsi="宋体" w:eastAsia="宋体" w:cs="宋体"/>
          <w:spacing w:val="0"/>
          <w:kern w:val="1"/>
          <w:sz w:val="24"/>
          <w:szCs w:val="24"/>
        </w:rPr>
        <w:t>三、响应文件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872CD8">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_Toc20065 </w:instrText>
      </w:r>
      <w:r>
        <w:rPr>
          <w:rFonts w:hint="eastAsia" w:ascii="宋体" w:hAnsi="宋体" w:eastAsia="宋体" w:cs="宋体"/>
          <w:sz w:val="24"/>
          <w:szCs w:val="24"/>
        </w:rPr>
        <w:fldChar w:fldCharType="separate"/>
      </w:r>
      <w:r>
        <w:rPr>
          <w:rFonts w:hint="eastAsia" w:ascii="宋体" w:hAnsi="宋体" w:eastAsia="宋体" w:cs="宋体"/>
          <w:spacing w:val="0"/>
          <w:kern w:val="1"/>
          <w:sz w:val="24"/>
          <w:szCs w:val="24"/>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_Toc20065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89E333">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_Toc26569 </w:instrText>
      </w:r>
      <w:r>
        <w:rPr>
          <w:rFonts w:hint="eastAsia" w:ascii="宋体" w:hAnsi="宋体" w:eastAsia="宋体" w:cs="宋体"/>
          <w:sz w:val="24"/>
          <w:szCs w:val="24"/>
        </w:rPr>
        <w:fldChar w:fldCharType="separate"/>
      </w:r>
      <w:r>
        <w:rPr>
          <w:rFonts w:hint="eastAsia" w:ascii="宋体" w:hAnsi="宋体" w:eastAsia="宋体" w:cs="宋体"/>
          <w:spacing w:val="0"/>
          <w:kern w:val="1"/>
          <w:sz w:val="24"/>
          <w:szCs w:val="24"/>
        </w:rPr>
        <w:t>五、响应文件的磋商与评审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_Toc26569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866689">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_Toc19204 </w:instrText>
      </w:r>
      <w:r>
        <w:rPr>
          <w:rFonts w:hint="eastAsia" w:ascii="宋体" w:hAnsi="宋体" w:eastAsia="宋体" w:cs="宋体"/>
          <w:sz w:val="24"/>
          <w:szCs w:val="24"/>
        </w:rPr>
        <w:fldChar w:fldCharType="separate"/>
      </w:r>
      <w:r>
        <w:rPr>
          <w:rFonts w:hint="eastAsia" w:ascii="宋体" w:hAnsi="宋体" w:eastAsia="宋体" w:cs="宋体"/>
          <w:spacing w:val="0"/>
          <w:kern w:val="1"/>
          <w:sz w:val="24"/>
          <w:szCs w:val="24"/>
        </w:rPr>
        <w:t>六、成交结果信息公布与授予合同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_Toc19204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57B4A9">
      <w:pPr>
        <w:pStyle w:val="6"/>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_Toc3244 </w:instrText>
      </w:r>
      <w:r>
        <w:rPr>
          <w:rFonts w:hint="eastAsia" w:ascii="宋体" w:hAnsi="宋体" w:eastAsia="宋体" w:cs="宋体"/>
          <w:sz w:val="24"/>
          <w:szCs w:val="24"/>
        </w:rPr>
        <w:fldChar w:fldCharType="separate"/>
      </w:r>
      <w:r>
        <w:rPr>
          <w:rFonts w:hint="eastAsia" w:ascii="宋体" w:hAnsi="宋体" w:eastAsia="宋体" w:cs="宋体"/>
          <w:spacing w:val="0"/>
          <w:kern w:val="1"/>
          <w:sz w:val="24"/>
          <w:szCs w:val="24"/>
        </w:rPr>
        <w:t>七、其他规定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_Toc3244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776E07">
      <w:pPr>
        <w:pStyle w:val="11"/>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_Toc22684 </w:instrText>
      </w:r>
      <w:r>
        <w:rPr>
          <w:rFonts w:hint="eastAsia" w:ascii="宋体" w:hAnsi="宋体" w:eastAsia="宋体" w:cs="宋体"/>
          <w:b/>
          <w:bCs/>
          <w:sz w:val="24"/>
          <w:szCs w:val="24"/>
        </w:rPr>
        <w:fldChar w:fldCharType="separate"/>
      </w:r>
      <w:r>
        <w:rPr>
          <w:rFonts w:hint="eastAsia" w:ascii="宋体" w:hAnsi="宋体" w:eastAsia="宋体" w:cs="宋体"/>
          <w:b/>
          <w:bCs/>
          <w:kern w:val="1"/>
          <w:sz w:val="24"/>
          <w:szCs w:val="24"/>
        </w:rPr>
        <w:t>第三章  政府采购合同格式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_Toc22684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76422CE7">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_Toc2373 </w:instrText>
      </w:r>
      <w:r>
        <w:rPr>
          <w:rFonts w:hint="eastAsia" w:ascii="宋体" w:hAnsi="宋体" w:eastAsia="宋体" w:cs="宋体"/>
          <w:sz w:val="24"/>
          <w:szCs w:val="24"/>
        </w:rPr>
        <w:fldChar w:fldCharType="separate"/>
      </w:r>
      <w:r>
        <w:rPr>
          <w:rFonts w:hint="eastAsia" w:ascii="宋体" w:hAnsi="宋体" w:eastAsia="宋体" w:cs="宋体"/>
          <w:sz w:val="24"/>
          <w:szCs w:val="24"/>
        </w:rPr>
        <w:t>一、政府采购合同协议书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_Toc2373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37A3FA">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_Toc9298 </w:instrText>
      </w:r>
      <w:r>
        <w:rPr>
          <w:rFonts w:hint="eastAsia" w:ascii="宋体" w:hAnsi="宋体" w:eastAsia="宋体" w:cs="宋体"/>
          <w:sz w:val="24"/>
          <w:szCs w:val="24"/>
        </w:rPr>
        <w:fldChar w:fldCharType="separate"/>
      </w:r>
      <w:r>
        <w:rPr>
          <w:rFonts w:hint="eastAsia" w:ascii="宋体" w:hAnsi="宋体" w:eastAsia="宋体" w:cs="宋体"/>
          <w:sz w:val="24"/>
          <w:szCs w:val="24"/>
        </w:rPr>
        <w:t>二、政府采购合同通用条款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_Toc9298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8BB2E9">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_Toc19648 </w:instrText>
      </w:r>
      <w:r>
        <w:rPr>
          <w:rFonts w:hint="eastAsia" w:ascii="宋体" w:hAnsi="宋体" w:eastAsia="宋体" w:cs="宋体"/>
          <w:sz w:val="24"/>
          <w:szCs w:val="24"/>
        </w:rPr>
        <w:fldChar w:fldCharType="separate"/>
      </w:r>
      <w:r>
        <w:rPr>
          <w:rFonts w:hint="eastAsia" w:ascii="宋体" w:hAnsi="宋体" w:eastAsia="宋体" w:cs="宋体"/>
          <w:sz w:val="24"/>
          <w:szCs w:val="24"/>
        </w:rPr>
        <w:t>三、政府采购合同专用条款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_Toc19648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B3A05D">
      <w:pPr>
        <w:pStyle w:val="11"/>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_Toc9378 </w:instrText>
      </w:r>
      <w:r>
        <w:rPr>
          <w:rFonts w:hint="eastAsia" w:ascii="宋体" w:hAnsi="宋体" w:eastAsia="宋体" w:cs="宋体"/>
          <w:b/>
          <w:bCs/>
          <w:sz w:val="24"/>
          <w:szCs w:val="24"/>
        </w:rPr>
        <w:fldChar w:fldCharType="separate"/>
      </w:r>
      <w:r>
        <w:rPr>
          <w:rFonts w:hint="eastAsia" w:ascii="宋体" w:hAnsi="宋体" w:eastAsia="宋体" w:cs="宋体"/>
          <w:b/>
          <w:bCs/>
          <w:kern w:val="1"/>
          <w:sz w:val="24"/>
          <w:szCs w:val="24"/>
        </w:rPr>
        <w:t xml:space="preserve">第四章 </w:t>
      </w:r>
      <w:r>
        <w:rPr>
          <w:rFonts w:hint="eastAsia" w:ascii="宋体" w:hAnsi="宋体" w:eastAsia="宋体" w:cs="宋体"/>
          <w:b/>
          <w:bCs/>
          <w:kern w:val="1"/>
          <w:sz w:val="24"/>
          <w:szCs w:val="24"/>
          <w:lang w:val="en-US" w:eastAsia="zh-CN"/>
        </w:rPr>
        <w:t xml:space="preserve"> </w:t>
      </w:r>
      <w:r>
        <w:rPr>
          <w:rFonts w:hint="eastAsia" w:ascii="宋体" w:hAnsi="宋体" w:eastAsia="宋体" w:cs="宋体"/>
          <w:b/>
          <w:bCs/>
          <w:kern w:val="1"/>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_Toc9378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F86D6DD">
      <w:pPr>
        <w:pStyle w:val="11"/>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_Toc12200 </w:instrText>
      </w:r>
      <w:r>
        <w:rPr>
          <w:rFonts w:hint="eastAsia" w:ascii="宋体" w:hAnsi="宋体" w:eastAsia="宋体" w:cs="宋体"/>
          <w:b/>
          <w:bCs/>
          <w:sz w:val="24"/>
          <w:szCs w:val="24"/>
        </w:rPr>
        <w:fldChar w:fldCharType="separate"/>
      </w:r>
      <w:r>
        <w:rPr>
          <w:rFonts w:hint="eastAsia" w:ascii="宋体" w:hAnsi="宋体" w:eastAsia="宋体" w:cs="宋体"/>
          <w:b/>
          <w:bCs/>
          <w:kern w:val="1"/>
          <w:sz w:val="24"/>
          <w:szCs w:val="24"/>
        </w:rPr>
        <w:t xml:space="preserve">第五章 </w:t>
      </w:r>
      <w:r>
        <w:rPr>
          <w:rFonts w:hint="eastAsia" w:ascii="宋体" w:hAnsi="宋体" w:eastAsia="宋体" w:cs="宋体"/>
          <w:b/>
          <w:bCs/>
          <w:kern w:val="1"/>
          <w:sz w:val="24"/>
          <w:szCs w:val="24"/>
          <w:lang w:val="en-US" w:eastAsia="zh-CN"/>
        </w:rPr>
        <w:t xml:space="preserve"> </w:t>
      </w:r>
      <w:r>
        <w:rPr>
          <w:rFonts w:hint="eastAsia" w:ascii="宋体" w:hAnsi="宋体" w:eastAsia="宋体" w:cs="宋体"/>
          <w:b/>
          <w:bCs/>
          <w:kern w:val="1"/>
          <w:sz w:val="24"/>
          <w:szCs w:val="24"/>
        </w:rPr>
        <w:t>响应文件组成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_Toc12200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4F05D1EF">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_Toc1024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一、磋商响应声明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CFB744">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_Toc24170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二、磋商保证金缴纳证明材料（本项目不需要提供）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_Toc24170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9CDE20">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_Toc25032 </w:instrText>
      </w:r>
      <w:r>
        <w:rPr>
          <w:rFonts w:hint="eastAsia" w:ascii="宋体" w:hAnsi="宋体" w:eastAsia="宋体" w:cs="宋体"/>
          <w:sz w:val="24"/>
          <w:szCs w:val="24"/>
        </w:rPr>
        <w:fldChar w:fldCharType="separate"/>
      </w:r>
      <w:r>
        <w:rPr>
          <w:rFonts w:hint="eastAsia" w:ascii="宋体" w:hAnsi="宋体" w:eastAsia="宋体" w:cs="宋体"/>
          <w:sz w:val="24"/>
          <w:szCs w:val="24"/>
        </w:rPr>
        <w:t>三、联合体协议(格式)（不适用）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_Toc25032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AB00FD">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_Toc5388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四、供应商的资格证明资料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_Toc5388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49DCDC">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_Toc9111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五、施工组织设计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_Toc9111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46ED5B">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_Toc7584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六、技术/商务响应与偏离表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_Toc7584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65CC53">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_Toc8828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七、提供享受政府采购政策优惠的证明资料和清单表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_Toc8828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7FDE9E">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_Toc20272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八、报价一览表及报价文件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_Toc20272 \h </w:instrText>
      </w:r>
      <w:r>
        <w:rPr>
          <w:rFonts w:hint="eastAsia" w:ascii="宋体" w:hAnsi="宋体" w:eastAsia="宋体" w:cs="宋体"/>
          <w:sz w:val="24"/>
          <w:szCs w:val="24"/>
        </w:rPr>
        <w:fldChar w:fldCharType="separate"/>
      </w:r>
      <w:r>
        <w:rPr>
          <w:rFonts w:hint="eastAsia" w:ascii="宋体" w:hAnsi="宋体" w:eastAsia="宋体" w:cs="宋体"/>
          <w:sz w:val="24"/>
          <w:szCs w:val="24"/>
        </w:rPr>
        <w:t>97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D5E5AC">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_Toc6822 </w:instrText>
      </w:r>
      <w:r>
        <w:rPr>
          <w:rFonts w:hint="eastAsia" w:ascii="宋体" w:hAnsi="宋体" w:eastAsia="宋体" w:cs="宋体"/>
          <w:sz w:val="24"/>
          <w:szCs w:val="24"/>
        </w:rPr>
        <w:fldChar w:fldCharType="separate"/>
      </w:r>
      <w:r>
        <w:rPr>
          <w:rFonts w:hint="eastAsia" w:ascii="宋体" w:hAnsi="宋体" w:eastAsia="宋体" w:cs="宋体"/>
          <w:sz w:val="24"/>
          <w:szCs w:val="24"/>
        </w:rPr>
        <w:t>九、供应商认为需提供的其它资料及说明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_Toc6822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CCF4EA">
      <w:pPr>
        <w:pStyle w:val="12"/>
        <w:keepNext w:val="0"/>
        <w:keepLines w:val="0"/>
        <w:pageBreakBefore w:val="0"/>
        <w:widowControl w:val="0"/>
        <w:tabs>
          <w:tab w:val="right" w:leader="dot" w:pos="8732"/>
        </w:tabs>
        <w:kinsoku/>
        <w:wordWrap/>
        <w:overflowPunct/>
        <w:topLinePunct w:val="0"/>
        <w:autoSpaceDE/>
        <w:autoSpaceDN/>
        <w:bidi w:val="0"/>
        <w:adjustRightInd/>
        <w:snapToGrid/>
        <w:spacing w:line="480" w:lineRule="exact"/>
        <w:textAlignment w:val="auto"/>
        <w:rPr>
          <w:rFonts w:ascii="Times New Roman" w:hAnsi="Times New Roman" w:eastAsia="宋体" w:cs="Times New Roma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_Toc31040 </w:instrText>
      </w:r>
      <w:r>
        <w:rPr>
          <w:rFonts w:hint="eastAsia" w:ascii="宋体" w:hAnsi="宋体" w:eastAsia="宋体" w:cs="宋体"/>
          <w:sz w:val="24"/>
          <w:szCs w:val="24"/>
        </w:rPr>
        <w:fldChar w:fldCharType="separate"/>
      </w:r>
      <w:r>
        <w:rPr>
          <w:rFonts w:hint="eastAsia" w:ascii="宋体" w:hAnsi="宋体" w:eastAsia="宋体" w:cs="宋体"/>
          <w:kern w:val="1"/>
          <w:sz w:val="24"/>
          <w:szCs w:val="24"/>
        </w:rPr>
        <w:t>十、最后报价表（现场提供）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_Toc31040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D48959">
      <w:pPr>
        <w:rPr>
          <w:rFonts w:ascii="Times New Roman" w:hAnsi="Times New Roman" w:eastAsia="宋体" w:cs="Times New Roman"/>
        </w:rPr>
      </w:pPr>
      <w:r>
        <w:rPr>
          <w:rFonts w:ascii="Times New Roman" w:hAnsi="Times New Roman" w:eastAsia="宋体" w:cs="Times New Roman"/>
        </w:rPr>
        <w:fldChar w:fldCharType="end"/>
      </w:r>
    </w:p>
    <w:p w14:paraId="0C904CC7">
      <w:pPr>
        <w:rPr>
          <w:rFonts w:ascii="Times New Roman" w:hAnsi="Times New Roman" w:eastAsia="宋体" w:cs="Times New Roman"/>
        </w:rPr>
      </w:pPr>
    </w:p>
    <w:p w14:paraId="292F809A">
      <w:pPr>
        <w:pageBreakBefore w:val="0"/>
        <w:widowControl w:val="0"/>
        <w:kinsoku/>
        <w:wordWrap/>
        <w:overflowPunct w:val="0"/>
        <w:bidi w:val="0"/>
        <w:ind w:firstLine="2205" w:firstLineChars="1050"/>
        <w:jc w:val="both"/>
        <w:textAlignment w:val="auto"/>
        <w:rPr>
          <w:rFonts w:hint="eastAsia" w:ascii="Times New Roman" w:hAnsi="Times New Roman" w:eastAsia="宋体" w:cs="Times New Roman"/>
          <w:color w:val="auto"/>
          <w:sz w:val="32"/>
          <w:szCs w:val="40"/>
        </w:rPr>
      </w:pPr>
      <w:r>
        <w:rPr>
          <w:rFonts w:hint="eastAsia" w:ascii="Times New Roman" w:hAnsi="Times New Roman" w:eastAsia="宋体" w:cs="Times New Roman"/>
          <w:color w:val="auto"/>
          <w:szCs w:val="40"/>
        </w:rPr>
        <w:fldChar w:fldCharType="end"/>
      </w:r>
    </w:p>
    <w:p w14:paraId="12C39032">
      <w:pPr>
        <w:pageBreakBefore w:val="0"/>
        <w:widowControl w:val="0"/>
        <w:kinsoku/>
        <w:wordWrap/>
        <w:overflowPunct w:val="0"/>
        <w:bidi w:val="0"/>
        <w:jc w:val="both"/>
        <w:textAlignment w:val="auto"/>
        <w:rPr>
          <w:rFonts w:hint="eastAsia" w:ascii="宋体" w:hAnsi="宋体" w:cs="宋体"/>
          <w:b/>
          <w:bCs/>
          <w:color w:val="auto"/>
          <w:kern w:val="1"/>
          <w:sz w:val="32"/>
          <w:szCs w:val="32"/>
          <w:lang w:val="zh-CN"/>
        </w:rPr>
        <w:sectPr>
          <w:footerReference r:id="rId11" w:type="default"/>
          <w:pgSz w:w="11906" w:h="16838"/>
          <w:pgMar w:top="1587" w:right="1587" w:bottom="1587" w:left="1587" w:header="850" w:footer="992" w:gutter="0"/>
          <w:pgBorders>
            <w:top w:val="none" w:sz="0" w:space="0"/>
            <w:left w:val="none" w:sz="0" w:space="0"/>
            <w:bottom w:val="none" w:sz="0" w:space="0"/>
            <w:right w:val="none" w:sz="0" w:space="0"/>
          </w:pgBorders>
          <w:pgNumType w:fmt="decimal" w:start="3"/>
          <w:cols w:space="720" w:num="1"/>
          <w:rtlGutter w:val="0"/>
          <w:docGrid w:type="lines" w:linePitch="318" w:charSpace="0"/>
        </w:sectPr>
      </w:pPr>
    </w:p>
    <w:p w14:paraId="3447C57E">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宋体" w:hAnsi="宋体" w:eastAsia="宋体" w:cs="宋体"/>
          <w:b/>
          <w:bCs/>
          <w:color w:val="auto"/>
          <w:kern w:val="1"/>
          <w:sz w:val="36"/>
          <w:szCs w:val="36"/>
        </w:rPr>
      </w:pPr>
      <w:bookmarkStart w:id="0" w:name="_Toc25924"/>
      <w:bookmarkStart w:id="1" w:name="_Toc17181"/>
      <w:r>
        <w:rPr>
          <w:rFonts w:hint="eastAsia" w:ascii="宋体" w:hAnsi="宋体" w:eastAsia="宋体" w:cs="宋体"/>
          <w:b/>
          <w:bCs/>
          <w:color w:val="auto"/>
          <w:kern w:val="1"/>
          <w:sz w:val="36"/>
          <w:szCs w:val="36"/>
          <w:lang w:val="zh-CN"/>
        </w:rPr>
        <w:t>第一章  磋商邀请</w:t>
      </w:r>
      <w:bookmarkEnd w:id="0"/>
      <w:bookmarkEnd w:id="1"/>
    </w:p>
    <w:p w14:paraId="278315BC">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u w:val="single"/>
          <w:lang w:eastAsia="zh-CN"/>
        </w:rPr>
      </w:pPr>
    </w:p>
    <w:p w14:paraId="613056E6">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u w:val="single"/>
          <w:lang w:eastAsia="zh-CN"/>
        </w:rPr>
        <w:t>慈利县第一中学</w:t>
      </w:r>
      <w:r>
        <w:rPr>
          <w:rFonts w:hint="eastAsia" w:ascii="宋体" w:hAnsi="宋体" w:eastAsia="宋体" w:cs="宋体"/>
          <w:color w:val="auto"/>
          <w:kern w:val="0"/>
          <w:sz w:val="24"/>
          <w:szCs w:val="24"/>
        </w:rPr>
        <w:t>（采购人名称）的</w:t>
      </w:r>
      <w:r>
        <w:rPr>
          <w:rFonts w:hint="eastAsia" w:ascii="宋体" w:hAnsi="宋体" w:cs="宋体"/>
          <w:color w:val="auto"/>
          <w:kern w:val="0"/>
          <w:sz w:val="24"/>
          <w:szCs w:val="24"/>
          <w:u w:val="single"/>
          <w:lang w:eastAsia="zh-CN"/>
        </w:rPr>
        <w:t>慈利一中图书馆维修改造项目</w:t>
      </w:r>
      <w:r>
        <w:rPr>
          <w:rFonts w:hint="eastAsia" w:ascii="宋体" w:hAnsi="宋体" w:eastAsia="宋体" w:cs="宋体"/>
          <w:color w:val="auto"/>
          <w:kern w:val="0"/>
          <w:sz w:val="24"/>
          <w:szCs w:val="24"/>
        </w:rPr>
        <w:t>(项目名称)进行竞争性磋商采购，现采用发布公告方式，邀请符合资格条件的供应商参与竞争性磋商活动。</w:t>
      </w:r>
    </w:p>
    <w:p w14:paraId="671A0FF3">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2" w:name="_Toc4967"/>
      <w:r>
        <w:rPr>
          <w:rFonts w:hint="eastAsia" w:ascii="宋体" w:hAnsi="宋体" w:eastAsia="宋体" w:cs="宋体"/>
          <w:b/>
          <w:bCs/>
          <w:color w:val="auto"/>
          <w:kern w:val="0"/>
          <w:sz w:val="24"/>
          <w:szCs w:val="24"/>
        </w:rPr>
        <w:t>一、采购项目基本情况</w:t>
      </w:r>
      <w:bookmarkEnd w:id="2"/>
    </w:p>
    <w:p w14:paraId="3A662FAC">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1、采购项目名称：</w:t>
      </w:r>
      <w:r>
        <w:rPr>
          <w:rFonts w:hint="eastAsia" w:ascii="宋体" w:hAnsi="宋体" w:cs="宋体"/>
          <w:color w:val="auto"/>
          <w:kern w:val="0"/>
          <w:sz w:val="24"/>
          <w:szCs w:val="24"/>
          <w:u w:val="single"/>
          <w:lang w:eastAsia="zh-CN"/>
        </w:rPr>
        <w:t>慈利一中图书馆维修改造项目</w:t>
      </w:r>
    </w:p>
    <w:p w14:paraId="286C22AD">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2、政府采购计划编号：</w:t>
      </w:r>
      <w:r>
        <w:rPr>
          <w:rFonts w:hint="eastAsia" w:ascii="宋体" w:hAnsi="宋体" w:cs="宋体"/>
          <w:color w:val="auto"/>
          <w:kern w:val="0"/>
          <w:sz w:val="24"/>
          <w:szCs w:val="24"/>
          <w:u w:val="single"/>
          <w:lang w:val="en-US" w:eastAsia="zh-CN"/>
        </w:rPr>
        <w:t>CGXM2026430821000001</w:t>
      </w:r>
    </w:p>
    <w:p w14:paraId="6A7ECBAF">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u w:val="single"/>
          <w:lang w:eastAsia="zh-CN"/>
        </w:rPr>
      </w:pPr>
      <w:r>
        <w:rPr>
          <w:rFonts w:hint="eastAsia" w:ascii="宋体" w:hAnsi="宋体" w:eastAsia="宋体" w:cs="宋体"/>
          <w:color w:val="auto"/>
          <w:kern w:val="0"/>
          <w:sz w:val="24"/>
          <w:szCs w:val="24"/>
        </w:rPr>
        <w:t>3、委托代理编号：</w:t>
      </w:r>
      <w:r>
        <w:rPr>
          <w:rFonts w:hint="eastAsia" w:ascii="宋体" w:hAnsi="宋体" w:cs="宋体"/>
          <w:color w:val="auto"/>
          <w:kern w:val="0"/>
          <w:sz w:val="24"/>
          <w:szCs w:val="24"/>
          <w:u w:val="single"/>
          <w:lang w:val="en-US" w:eastAsia="zh-CN"/>
        </w:rPr>
        <w:t>HNTX-2026-015</w:t>
      </w:r>
    </w:p>
    <w:p w14:paraId="54E1831B">
      <w:pPr>
        <w:keepNext w:val="0"/>
        <w:keepLines w:val="0"/>
        <w:pageBreakBefore w:val="0"/>
        <w:widowControl w:val="0"/>
        <w:kinsoku/>
        <w:wordWrap/>
        <w:overflowPunct w:val="0"/>
        <w:topLinePunct w:val="0"/>
        <w:autoSpaceDE/>
        <w:autoSpaceDN/>
        <w:bidi w:val="0"/>
        <w:adjustRightInd w:val="0"/>
        <w:snapToGrid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u w:val="single"/>
          <w:lang w:eastAsia="zh-CN"/>
        </w:rPr>
      </w:pPr>
      <w:r>
        <w:rPr>
          <w:rFonts w:hint="eastAsia" w:ascii="宋体" w:hAnsi="宋体" w:eastAsia="宋体" w:cs="宋体"/>
          <w:color w:val="auto"/>
          <w:kern w:val="0"/>
          <w:sz w:val="24"/>
          <w:szCs w:val="24"/>
        </w:rPr>
        <w:t>4、采购项目预算：</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eastAsia="zh-CN"/>
        </w:rPr>
        <w:t>368.599486</w:t>
      </w:r>
      <w:r>
        <w:rPr>
          <w:rFonts w:hint="eastAsia" w:ascii="宋体" w:hAnsi="宋体" w:eastAsia="宋体" w:cs="宋体"/>
          <w:color w:val="auto"/>
          <w:kern w:val="0"/>
          <w:sz w:val="24"/>
          <w:szCs w:val="24"/>
          <w:u w:val="single"/>
          <w:lang w:eastAsia="zh-CN"/>
        </w:rPr>
        <w:t>万元</w:t>
      </w:r>
    </w:p>
    <w:p w14:paraId="2E7A63E8">
      <w:pPr>
        <w:keepNext w:val="0"/>
        <w:keepLines w:val="0"/>
        <w:pageBreakBefore w:val="0"/>
        <w:widowControl w:val="0"/>
        <w:kinsoku/>
        <w:wordWrap/>
        <w:overflowPunct w:val="0"/>
        <w:topLinePunct w:val="0"/>
        <w:autoSpaceDE/>
        <w:autoSpaceDN/>
        <w:bidi w:val="0"/>
        <w:adjustRightInd w:val="0"/>
        <w:snapToGrid w:val="0"/>
        <w:spacing w:beforeAutospacing="0" w:afterAutospacing="0" w:line="520" w:lineRule="exact"/>
        <w:ind w:left="0" w:leftChars="0" w:right="0" w:firstLine="878" w:firstLineChars="366"/>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FE"/>
      </w:r>
      <w:r>
        <w:rPr>
          <w:rFonts w:hint="eastAsia" w:ascii="宋体" w:hAnsi="宋体" w:eastAsia="宋体" w:cs="宋体"/>
          <w:iCs/>
          <w:color w:val="auto"/>
          <w:kern w:val="0"/>
          <w:sz w:val="24"/>
          <w:szCs w:val="24"/>
        </w:rPr>
        <w:t>支持</w:t>
      </w:r>
      <w:r>
        <w:rPr>
          <w:rFonts w:hint="eastAsia" w:ascii="宋体" w:hAnsi="宋体" w:eastAsia="宋体" w:cs="宋体"/>
          <w:bCs/>
          <w:color w:val="auto"/>
          <w:kern w:val="0"/>
          <w:sz w:val="24"/>
          <w:szCs w:val="24"/>
        </w:rPr>
        <w:t>预付款，预付比例：</w:t>
      </w:r>
      <w:r>
        <w:rPr>
          <w:rFonts w:hint="eastAsia" w:ascii="宋体" w:hAnsi="宋体" w:eastAsia="宋体" w:cs="宋体"/>
          <w:bCs/>
          <w:color w:val="auto"/>
          <w:kern w:val="0"/>
          <w:sz w:val="24"/>
          <w:szCs w:val="24"/>
          <w:u w:val="single"/>
        </w:rPr>
        <w:t xml:space="preserve">   </w:t>
      </w:r>
      <w:r>
        <w:rPr>
          <w:rFonts w:hint="eastAsia" w:ascii="宋体" w:hAnsi="宋体" w:eastAsia="宋体" w:cs="宋体"/>
          <w:bCs/>
          <w:color w:val="auto"/>
          <w:kern w:val="0"/>
          <w:sz w:val="24"/>
          <w:szCs w:val="24"/>
          <w:u w:val="single"/>
          <w:lang w:val="en-US" w:eastAsia="zh-CN"/>
        </w:rPr>
        <w:t>10%</w:t>
      </w:r>
      <w:r>
        <w:rPr>
          <w:rFonts w:hint="eastAsia" w:ascii="宋体" w:hAnsi="宋体" w:eastAsia="宋体" w:cs="宋体"/>
          <w:bCs/>
          <w:color w:val="auto"/>
          <w:kern w:val="0"/>
          <w:sz w:val="24"/>
          <w:szCs w:val="24"/>
          <w:u w:val="single"/>
        </w:rPr>
        <w:t xml:space="preserve">   </w:t>
      </w:r>
    </w:p>
    <w:p w14:paraId="286B9D02">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5、本项目对应的中小企业划分标准所属行业：</w:t>
      </w:r>
      <w:r>
        <w:rPr>
          <w:rFonts w:hint="eastAsia" w:ascii="宋体" w:hAnsi="宋体" w:eastAsia="宋体" w:cs="宋体"/>
          <w:color w:val="auto"/>
          <w:kern w:val="0"/>
          <w:sz w:val="24"/>
          <w:szCs w:val="24"/>
          <w:u w:val="single"/>
        </w:rPr>
        <w:t xml:space="preserve"> 建筑业 </w:t>
      </w:r>
    </w:p>
    <w:p w14:paraId="0659A131">
      <w:pPr>
        <w:pStyle w:val="13"/>
        <w:keepNext w:val="0"/>
        <w:keepLines w:val="0"/>
        <w:pageBreakBefore w:val="0"/>
        <w:widowControl w:val="0"/>
        <w:kinsoku/>
        <w:wordWrap/>
        <w:overflowPunct w:val="0"/>
        <w:topLinePunct w:val="0"/>
        <w:autoSpaceDE/>
        <w:autoSpaceDN/>
        <w:bidi w:val="0"/>
        <w:spacing w:before="0" w:beforeAutospacing="0" w:after="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6、评标方式：综合评分法</w:t>
      </w:r>
    </w:p>
    <w:p w14:paraId="4A28EE56">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7、合同定价方式：</w:t>
      </w: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固定总价 </w:t>
      </w:r>
      <w:r>
        <w:rPr>
          <w:rFonts w:hint="eastAsia" w:ascii="宋体" w:hAnsi="宋体" w:eastAsia="宋体" w:cs="宋体"/>
          <w:iCs/>
          <w:color w:val="auto"/>
          <w:kern w:val="0"/>
          <w:sz w:val="24"/>
          <w:szCs w:val="24"/>
        </w:rPr>
        <w:sym w:font="Wingdings" w:char="00FE"/>
      </w:r>
      <w:r>
        <w:rPr>
          <w:rFonts w:hint="eastAsia" w:ascii="宋体" w:hAnsi="宋体" w:eastAsia="宋体" w:cs="宋体"/>
          <w:color w:val="auto"/>
          <w:kern w:val="0"/>
          <w:sz w:val="24"/>
          <w:szCs w:val="24"/>
        </w:rPr>
        <w:t>固定单价 </w:t>
      </w: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成本补偿 </w:t>
      </w: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绩效激励</w:t>
      </w:r>
    </w:p>
    <w:p w14:paraId="49349AF6">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8、合同履行期限：</w:t>
      </w:r>
      <w:r>
        <w:rPr>
          <w:rFonts w:hint="eastAsia" w:ascii="宋体" w:hAnsi="宋体" w:cs="Times New Roman"/>
          <w:color w:val="auto"/>
          <w:sz w:val="24"/>
          <w:szCs w:val="24"/>
          <w:lang w:val="en-US" w:eastAsia="zh-CN"/>
        </w:rPr>
        <w:t>90</w:t>
      </w:r>
      <w:r>
        <w:rPr>
          <w:rFonts w:hint="eastAsia" w:ascii="宋体" w:hAnsi="宋体" w:eastAsia="宋体" w:cs="Times New Roman"/>
          <w:color w:val="auto"/>
          <w:sz w:val="24"/>
          <w:szCs w:val="24"/>
        </w:rPr>
        <w:t>日历天</w:t>
      </w:r>
      <w:r>
        <w:rPr>
          <w:rFonts w:hint="eastAsia" w:ascii="宋体" w:hAnsi="宋体" w:eastAsia="宋体" w:cs="宋体"/>
          <w:color w:val="auto"/>
          <w:kern w:val="1"/>
          <w:sz w:val="24"/>
          <w:szCs w:val="24"/>
        </w:rPr>
        <w:t>（以</w:t>
      </w:r>
      <w:r>
        <w:rPr>
          <w:rFonts w:ascii="宋体" w:hAnsi="宋体" w:eastAsia="宋体" w:cs="宋体"/>
          <w:color w:val="auto"/>
          <w:kern w:val="1"/>
          <w:sz w:val="24"/>
          <w:szCs w:val="24"/>
        </w:rPr>
        <w:t>签订合同</w:t>
      </w:r>
      <w:r>
        <w:rPr>
          <w:rFonts w:hint="eastAsia" w:ascii="宋体" w:hAnsi="宋体" w:eastAsia="宋体" w:cs="宋体"/>
          <w:color w:val="auto"/>
          <w:kern w:val="1"/>
          <w:sz w:val="24"/>
          <w:szCs w:val="24"/>
        </w:rPr>
        <w:t>为准）</w:t>
      </w:r>
    </w:p>
    <w:p w14:paraId="150434FE">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9、本项目分阶段要求供应商提供以下保证：</w:t>
      </w:r>
    </w:p>
    <w:p w14:paraId="347B47AC">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谈判保证金：采购项目预算的</w:t>
      </w:r>
      <w:r>
        <w:rPr>
          <w:rFonts w:hint="eastAsia" w:ascii="宋体" w:hAnsi="宋体" w:eastAsia="宋体" w:cs="宋体"/>
          <w:color w:val="auto"/>
          <w:kern w:val="0"/>
          <w:sz w:val="24"/>
          <w:szCs w:val="24"/>
          <w:u w:val="single"/>
        </w:rPr>
        <w:t>  /  </w:t>
      </w:r>
      <w:r>
        <w:rPr>
          <w:rFonts w:hint="eastAsia" w:ascii="宋体" w:hAnsi="宋体" w:eastAsia="宋体" w:cs="宋体"/>
          <w:color w:val="auto"/>
          <w:kern w:val="0"/>
          <w:sz w:val="24"/>
          <w:szCs w:val="24"/>
        </w:rPr>
        <w:t>%；</w:t>
      </w:r>
    </w:p>
    <w:p w14:paraId="3A93A81B">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FE"/>
      </w:r>
      <w:r>
        <w:rPr>
          <w:rFonts w:hint="eastAsia" w:ascii="宋体" w:hAnsi="宋体" w:eastAsia="宋体" w:cs="宋体"/>
          <w:color w:val="auto"/>
          <w:kern w:val="0"/>
          <w:sz w:val="24"/>
          <w:szCs w:val="24"/>
        </w:rPr>
        <w:t>履约保证金：</w:t>
      </w:r>
      <w:r>
        <w:rPr>
          <w:rFonts w:hint="eastAsia" w:ascii="宋体" w:hAnsi="宋体" w:eastAsia="宋体" w:cs="宋体"/>
          <w:iCs/>
          <w:color w:val="000000"/>
          <w:kern w:val="0"/>
          <w:sz w:val="24"/>
          <w:szCs w:val="24"/>
          <w:u w:val="single"/>
        </w:rPr>
        <w:t>中标、成交金额降价幅度不超过采购预算10% 的，履约保证金为中标、成交金额的10%;中标、成交金额降价幅度超过采购预算10%以上的，履约保证金为采购预算减去中标、成交金额的差额</w:t>
      </w:r>
      <w:r>
        <w:rPr>
          <w:rFonts w:hint="eastAsia" w:ascii="宋体" w:hAnsi="宋体" w:eastAsia="宋体" w:cs="宋体"/>
          <w:iCs/>
          <w:color w:val="000000"/>
          <w:kern w:val="0"/>
          <w:sz w:val="24"/>
          <w:szCs w:val="24"/>
          <w:u w:val="single"/>
          <w:lang w:eastAsia="zh-CN"/>
        </w:rPr>
        <w:t>（只接受银行保函或现金转账）</w:t>
      </w:r>
      <w:r>
        <w:rPr>
          <w:rFonts w:hint="eastAsia" w:ascii="宋体" w:hAnsi="宋体" w:eastAsia="宋体" w:cs="宋体"/>
          <w:color w:val="000000"/>
          <w:kern w:val="0"/>
          <w:sz w:val="24"/>
          <w:szCs w:val="24"/>
          <w:u w:val="single"/>
        </w:rPr>
        <w:t>；</w:t>
      </w:r>
      <w:r>
        <w:rPr>
          <w:rFonts w:hint="eastAsia" w:ascii="宋体" w:hAnsi="宋体" w:eastAsia="宋体" w:cs="宋体"/>
          <w:iCs/>
          <w:color w:val="000000"/>
          <w:kern w:val="0"/>
          <w:sz w:val="24"/>
          <w:szCs w:val="24"/>
          <w:u w:val="single"/>
        </w:rPr>
        <w:t>供应商提交的银行保函，在项目交付使用前不可撤销、不可转让、见索即付，履约担保责任至对应项目交付使用之日终止。供应商自领取中标、成交通知书后7个工作日内提交履约保证金。</w:t>
      </w:r>
    </w:p>
    <w:p w14:paraId="76B836B4">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预付款保证金：预付款的</w:t>
      </w:r>
      <w:r>
        <w:rPr>
          <w:rFonts w:hint="eastAsia" w:ascii="宋体" w:hAnsi="宋体" w:eastAsia="宋体" w:cs="宋体"/>
          <w:color w:val="auto"/>
          <w:kern w:val="0"/>
          <w:sz w:val="24"/>
          <w:szCs w:val="24"/>
          <w:u w:val="single"/>
        </w:rPr>
        <w:t>  /  </w:t>
      </w:r>
      <w:r>
        <w:rPr>
          <w:rFonts w:hint="eastAsia" w:ascii="宋体" w:hAnsi="宋体" w:eastAsia="宋体" w:cs="宋体"/>
          <w:color w:val="auto"/>
          <w:kern w:val="0"/>
          <w:sz w:val="24"/>
          <w:szCs w:val="24"/>
        </w:rPr>
        <w:t>%；</w:t>
      </w:r>
    </w:p>
    <w:p w14:paraId="10F4F350">
      <w:pPr>
        <w:keepNext w:val="0"/>
        <w:keepLines w:val="0"/>
        <w:pageBreakBefore w:val="0"/>
        <w:widowControl w:val="0"/>
        <w:kinsoku/>
        <w:wordWrap/>
        <w:overflowPunct w:val="0"/>
        <w:topLinePunct w:val="0"/>
        <w:autoSpaceDE/>
        <w:autoSpaceDN/>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FE"/>
      </w:r>
      <w:r>
        <w:rPr>
          <w:rFonts w:hint="eastAsia" w:ascii="宋体" w:hAnsi="宋体" w:eastAsia="宋体" w:cs="宋体"/>
          <w:color w:val="auto"/>
          <w:kern w:val="0"/>
          <w:sz w:val="24"/>
          <w:szCs w:val="24"/>
        </w:rPr>
        <w:t>质量保证金：合同金额的</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u w:val="single"/>
          <w:lang w:val="en-US" w:eastAsia="zh-CN"/>
        </w:rPr>
        <w:t>3</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w:t>
      </w:r>
    </w:p>
    <w:p w14:paraId="0B9ABFBF">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right="0" w:firstLine="0" w:firstLineChars="0"/>
        <w:jc w:val="both"/>
        <w:textAlignment w:val="auto"/>
        <w:outlineLvl w:val="9"/>
        <w:rPr>
          <w:rFonts w:hint="eastAsia" w:ascii="宋体" w:hAnsi="宋体" w:eastAsia="宋体" w:cs="宋体"/>
          <w:b/>
          <w:bCs/>
          <w:color w:val="auto"/>
          <w:kern w:val="0"/>
          <w:sz w:val="24"/>
          <w:szCs w:val="24"/>
        </w:rPr>
      </w:pPr>
    </w:p>
    <w:p w14:paraId="70A01F8B">
      <w:pPr>
        <w:pageBreakBefore w:val="0"/>
        <w:widowControl w:val="0"/>
        <w:kinsoku/>
        <w:wordWrap/>
        <w:overflowPunct w:val="0"/>
        <w:topLinePunct w:val="0"/>
        <w:autoSpaceDE/>
        <w:autoSpaceDN/>
        <w:bidi w:val="0"/>
        <w:spacing w:beforeAutospacing="0" w:afterAutospacing="0" w:line="48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3" w:name="_Toc14646"/>
      <w:r>
        <w:rPr>
          <w:rFonts w:hint="eastAsia" w:ascii="宋体" w:hAnsi="宋体" w:eastAsia="宋体" w:cs="宋体"/>
          <w:b/>
          <w:bCs/>
          <w:color w:val="auto"/>
          <w:kern w:val="0"/>
          <w:sz w:val="24"/>
          <w:szCs w:val="24"/>
        </w:rPr>
        <w:t>二、采购需求</w:t>
      </w:r>
      <w:bookmarkEnd w:id="3"/>
    </w:p>
    <w:tbl>
      <w:tblPr>
        <w:tblStyle w:val="16"/>
        <w:tblW w:w="9309" w:type="dxa"/>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461"/>
        <w:gridCol w:w="1548"/>
        <w:gridCol w:w="1787"/>
        <w:gridCol w:w="1317"/>
        <w:gridCol w:w="744"/>
        <w:gridCol w:w="1056"/>
        <w:gridCol w:w="1001"/>
        <w:gridCol w:w="682"/>
        <w:gridCol w:w="713"/>
      </w:tblGrid>
      <w:tr w14:paraId="3667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93" w:hRule="atLeast"/>
          <w:tblCellSpacing w:w="0" w:type="dxa"/>
        </w:trPr>
        <w:tc>
          <w:tcPr>
            <w:tcW w:w="461" w:type="dxa"/>
            <w:tcBorders>
              <w:tl2br w:val="nil"/>
              <w:tr2bl w:val="nil"/>
            </w:tcBorders>
            <w:noWrap/>
            <w:tcMar>
              <w:top w:w="0" w:type="dxa"/>
              <w:left w:w="108" w:type="dxa"/>
              <w:bottom w:w="0" w:type="dxa"/>
              <w:right w:w="108" w:type="dxa"/>
            </w:tcMar>
            <w:vAlign w:val="center"/>
          </w:tcPr>
          <w:p w14:paraId="2E72631B">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包号</w:t>
            </w:r>
          </w:p>
        </w:tc>
        <w:tc>
          <w:tcPr>
            <w:tcW w:w="1548" w:type="dxa"/>
            <w:tcBorders>
              <w:tl2br w:val="nil"/>
              <w:tr2bl w:val="nil"/>
            </w:tcBorders>
            <w:noWrap/>
            <w:tcMar>
              <w:top w:w="0" w:type="dxa"/>
              <w:left w:w="108" w:type="dxa"/>
              <w:bottom w:w="0" w:type="dxa"/>
              <w:right w:w="108" w:type="dxa"/>
            </w:tcMar>
            <w:vAlign w:val="center"/>
          </w:tcPr>
          <w:p w14:paraId="34D9FF06">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包名称</w:t>
            </w:r>
          </w:p>
        </w:tc>
        <w:tc>
          <w:tcPr>
            <w:tcW w:w="1787" w:type="dxa"/>
            <w:tcBorders>
              <w:tl2br w:val="nil"/>
              <w:tr2bl w:val="nil"/>
            </w:tcBorders>
            <w:noWrap/>
            <w:tcMar>
              <w:top w:w="0" w:type="dxa"/>
              <w:left w:w="108" w:type="dxa"/>
              <w:bottom w:w="0" w:type="dxa"/>
              <w:right w:w="108" w:type="dxa"/>
            </w:tcMar>
            <w:vAlign w:val="center"/>
          </w:tcPr>
          <w:p w14:paraId="11E199B7">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标的名称</w:t>
            </w:r>
          </w:p>
        </w:tc>
        <w:tc>
          <w:tcPr>
            <w:tcW w:w="1317" w:type="dxa"/>
            <w:tcBorders>
              <w:tl2br w:val="nil"/>
              <w:tr2bl w:val="nil"/>
            </w:tcBorders>
            <w:noWrap/>
            <w:tcMar>
              <w:top w:w="0" w:type="dxa"/>
              <w:left w:w="108" w:type="dxa"/>
              <w:bottom w:w="0" w:type="dxa"/>
              <w:right w:w="108" w:type="dxa"/>
            </w:tcMar>
            <w:vAlign w:val="center"/>
          </w:tcPr>
          <w:p w14:paraId="71EEED01">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工期</w:t>
            </w:r>
          </w:p>
        </w:tc>
        <w:tc>
          <w:tcPr>
            <w:tcW w:w="744" w:type="dxa"/>
            <w:tcBorders>
              <w:tl2br w:val="nil"/>
              <w:tr2bl w:val="nil"/>
            </w:tcBorders>
            <w:noWrap/>
            <w:tcMar>
              <w:top w:w="0" w:type="dxa"/>
              <w:left w:w="108" w:type="dxa"/>
              <w:bottom w:w="0" w:type="dxa"/>
              <w:right w:w="108" w:type="dxa"/>
            </w:tcMar>
            <w:vAlign w:val="center"/>
          </w:tcPr>
          <w:p w14:paraId="24C0644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数量</w:t>
            </w:r>
          </w:p>
        </w:tc>
        <w:tc>
          <w:tcPr>
            <w:tcW w:w="1056" w:type="dxa"/>
            <w:tcBorders>
              <w:tl2br w:val="nil"/>
              <w:tr2bl w:val="nil"/>
            </w:tcBorders>
            <w:noWrap/>
            <w:tcMar>
              <w:top w:w="0" w:type="dxa"/>
              <w:left w:w="108" w:type="dxa"/>
              <w:bottom w:w="0" w:type="dxa"/>
              <w:right w:w="108" w:type="dxa"/>
            </w:tcMar>
            <w:vAlign w:val="center"/>
          </w:tcPr>
          <w:p w14:paraId="580F4FBC">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标的预算</w:t>
            </w:r>
          </w:p>
        </w:tc>
        <w:tc>
          <w:tcPr>
            <w:tcW w:w="1001" w:type="dxa"/>
            <w:tcBorders>
              <w:tl2br w:val="nil"/>
              <w:tr2bl w:val="nil"/>
            </w:tcBorders>
            <w:noWrap/>
            <w:tcMar>
              <w:top w:w="0" w:type="dxa"/>
              <w:left w:w="108" w:type="dxa"/>
              <w:bottom w:w="0" w:type="dxa"/>
              <w:right w:w="108" w:type="dxa"/>
            </w:tcMar>
            <w:vAlign w:val="center"/>
          </w:tcPr>
          <w:p w14:paraId="3E3827D9">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最高限价</w:t>
            </w:r>
          </w:p>
        </w:tc>
        <w:tc>
          <w:tcPr>
            <w:tcW w:w="682" w:type="dxa"/>
            <w:tcBorders>
              <w:tl2br w:val="nil"/>
              <w:tr2bl w:val="nil"/>
            </w:tcBorders>
            <w:noWrap/>
            <w:tcMar>
              <w:top w:w="0" w:type="dxa"/>
              <w:left w:w="108" w:type="dxa"/>
              <w:bottom w:w="0" w:type="dxa"/>
              <w:right w:w="108" w:type="dxa"/>
            </w:tcMar>
            <w:vAlign w:val="center"/>
          </w:tcPr>
          <w:p w14:paraId="306CB309">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节能产品</w:t>
            </w:r>
          </w:p>
        </w:tc>
        <w:tc>
          <w:tcPr>
            <w:tcW w:w="713" w:type="dxa"/>
            <w:tcBorders>
              <w:tl2br w:val="nil"/>
              <w:tr2bl w:val="nil"/>
            </w:tcBorders>
            <w:noWrap/>
            <w:tcMar>
              <w:top w:w="0" w:type="dxa"/>
              <w:left w:w="108" w:type="dxa"/>
              <w:bottom w:w="0" w:type="dxa"/>
              <w:right w:w="108" w:type="dxa"/>
            </w:tcMar>
            <w:vAlign w:val="center"/>
          </w:tcPr>
          <w:p w14:paraId="50CBBF39">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进口产品</w:t>
            </w:r>
          </w:p>
        </w:tc>
      </w:tr>
      <w:tr w14:paraId="6904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41" w:hRule="atLeast"/>
          <w:tblCellSpacing w:w="0" w:type="dxa"/>
        </w:trPr>
        <w:tc>
          <w:tcPr>
            <w:tcW w:w="461" w:type="dxa"/>
            <w:tcBorders>
              <w:tl2br w:val="nil"/>
              <w:tr2bl w:val="nil"/>
            </w:tcBorders>
            <w:noWrap/>
            <w:tcMar>
              <w:top w:w="0" w:type="dxa"/>
              <w:left w:w="108" w:type="dxa"/>
              <w:bottom w:w="0" w:type="dxa"/>
              <w:right w:w="108" w:type="dxa"/>
            </w:tcMar>
            <w:vAlign w:val="center"/>
          </w:tcPr>
          <w:p w14:paraId="21B0050B">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548" w:type="dxa"/>
            <w:tcBorders>
              <w:tl2br w:val="nil"/>
              <w:tr2bl w:val="nil"/>
            </w:tcBorders>
            <w:noWrap/>
            <w:tcMar>
              <w:top w:w="0" w:type="dxa"/>
              <w:left w:w="108" w:type="dxa"/>
              <w:bottom w:w="0" w:type="dxa"/>
              <w:right w:w="108" w:type="dxa"/>
            </w:tcMar>
            <w:vAlign w:val="center"/>
          </w:tcPr>
          <w:p w14:paraId="31C68DA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慈利一中图书馆维修改造项目</w:t>
            </w:r>
          </w:p>
        </w:tc>
        <w:tc>
          <w:tcPr>
            <w:tcW w:w="1787" w:type="dxa"/>
            <w:tcBorders>
              <w:tl2br w:val="nil"/>
              <w:tr2bl w:val="nil"/>
            </w:tcBorders>
            <w:noWrap/>
            <w:tcMar>
              <w:top w:w="0" w:type="dxa"/>
              <w:left w:w="108" w:type="dxa"/>
              <w:bottom w:w="0" w:type="dxa"/>
              <w:right w:w="108" w:type="dxa"/>
            </w:tcMar>
            <w:vAlign w:val="center"/>
          </w:tcPr>
          <w:p w14:paraId="2A41E8E9">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慈利一中图书馆维修改造项目</w:t>
            </w:r>
          </w:p>
        </w:tc>
        <w:tc>
          <w:tcPr>
            <w:tcW w:w="1317" w:type="dxa"/>
            <w:tcBorders>
              <w:tl2br w:val="nil"/>
              <w:tr2bl w:val="nil"/>
            </w:tcBorders>
            <w:noWrap/>
            <w:tcMar>
              <w:top w:w="0" w:type="dxa"/>
              <w:left w:w="108" w:type="dxa"/>
              <w:bottom w:w="0" w:type="dxa"/>
              <w:right w:w="108" w:type="dxa"/>
            </w:tcMar>
            <w:vAlign w:val="center"/>
          </w:tcPr>
          <w:p w14:paraId="5A1C445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详见采购需求</w:t>
            </w:r>
          </w:p>
        </w:tc>
        <w:tc>
          <w:tcPr>
            <w:tcW w:w="744" w:type="dxa"/>
            <w:tcBorders>
              <w:tl2br w:val="nil"/>
              <w:tr2bl w:val="nil"/>
            </w:tcBorders>
            <w:noWrap/>
            <w:tcMar>
              <w:top w:w="0" w:type="dxa"/>
              <w:left w:w="108" w:type="dxa"/>
              <w:bottom w:w="0" w:type="dxa"/>
              <w:right w:w="108" w:type="dxa"/>
            </w:tcMar>
            <w:vAlign w:val="center"/>
          </w:tcPr>
          <w:p w14:paraId="0D1643BD">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1项</w:t>
            </w:r>
          </w:p>
        </w:tc>
        <w:tc>
          <w:tcPr>
            <w:tcW w:w="1056" w:type="dxa"/>
            <w:tcBorders>
              <w:tl2br w:val="nil"/>
              <w:tr2bl w:val="nil"/>
            </w:tcBorders>
            <w:noWrap/>
            <w:tcMar>
              <w:top w:w="0" w:type="dxa"/>
              <w:left w:w="108" w:type="dxa"/>
              <w:bottom w:w="0" w:type="dxa"/>
              <w:right w:w="108" w:type="dxa"/>
            </w:tcMar>
            <w:vAlign w:val="center"/>
          </w:tcPr>
          <w:p w14:paraId="3FC20EF4">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u w:val="single"/>
                <w:lang w:eastAsia="zh-CN"/>
              </w:rPr>
              <w:t>368.599486</w:t>
            </w:r>
            <w:r>
              <w:rPr>
                <w:rFonts w:hint="eastAsia" w:ascii="宋体" w:hAnsi="宋体" w:eastAsia="宋体" w:cs="宋体"/>
                <w:b w:val="0"/>
                <w:bCs w:val="0"/>
                <w:color w:val="auto"/>
                <w:kern w:val="0"/>
                <w:sz w:val="21"/>
                <w:szCs w:val="21"/>
                <w:u w:val="single"/>
                <w:lang w:eastAsia="zh-CN"/>
              </w:rPr>
              <w:t>万元</w:t>
            </w:r>
          </w:p>
        </w:tc>
        <w:tc>
          <w:tcPr>
            <w:tcW w:w="1001" w:type="dxa"/>
            <w:tcBorders>
              <w:tl2br w:val="nil"/>
              <w:tr2bl w:val="nil"/>
            </w:tcBorders>
            <w:noWrap/>
            <w:tcMar>
              <w:top w:w="0" w:type="dxa"/>
              <w:left w:w="108" w:type="dxa"/>
              <w:bottom w:w="0" w:type="dxa"/>
              <w:right w:w="108" w:type="dxa"/>
            </w:tcMar>
            <w:vAlign w:val="center"/>
          </w:tcPr>
          <w:p w14:paraId="43B2C690">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u w:val="single"/>
                <w:lang w:eastAsia="zh-CN"/>
              </w:rPr>
              <w:t>368.599486</w:t>
            </w:r>
            <w:r>
              <w:rPr>
                <w:rFonts w:hint="eastAsia" w:ascii="宋体" w:hAnsi="宋体" w:eastAsia="宋体" w:cs="宋体"/>
                <w:b w:val="0"/>
                <w:bCs w:val="0"/>
                <w:color w:val="auto"/>
                <w:kern w:val="0"/>
                <w:sz w:val="21"/>
                <w:szCs w:val="21"/>
                <w:u w:val="single"/>
                <w:lang w:eastAsia="zh-CN"/>
              </w:rPr>
              <w:t>万元</w:t>
            </w:r>
          </w:p>
        </w:tc>
        <w:tc>
          <w:tcPr>
            <w:tcW w:w="682" w:type="dxa"/>
            <w:tcBorders>
              <w:tl2br w:val="nil"/>
              <w:tr2bl w:val="nil"/>
            </w:tcBorders>
            <w:noWrap/>
            <w:tcMar>
              <w:top w:w="0" w:type="dxa"/>
              <w:left w:w="108" w:type="dxa"/>
              <w:bottom w:w="0" w:type="dxa"/>
              <w:right w:w="108" w:type="dxa"/>
            </w:tcMar>
            <w:vAlign w:val="center"/>
          </w:tcPr>
          <w:p w14:paraId="68D811F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否</w:t>
            </w:r>
          </w:p>
        </w:tc>
        <w:tc>
          <w:tcPr>
            <w:tcW w:w="713" w:type="dxa"/>
            <w:tcBorders>
              <w:tl2br w:val="nil"/>
              <w:tr2bl w:val="nil"/>
            </w:tcBorders>
            <w:noWrap/>
            <w:tcMar>
              <w:top w:w="0" w:type="dxa"/>
              <w:left w:w="108" w:type="dxa"/>
              <w:bottom w:w="0" w:type="dxa"/>
              <w:right w:w="108" w:type="dxa"/>
            </w:tcMar>
            <w:vAlign w:val="center"/>
          </w:tcPr>
          <w:p w14:paraId="6ADB09B0">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否</w:t>
            </w:r>
          </w:p>
        </w:tc>
      </w:tr>
    </w:tbl>
    <w:p w14:paraId="2087619D">
      <w:pPr>
        <w:pageBreakBefore w:val="0"/>
        <w:widowControl w:val="0"/>
        <w:kinsoku/>
        <w:wordWrap/>
        <w:overflowPunct w:val="0"/>
        <w:topLinePunct w:val="0"/>
        <w:autoSpaceDE/>
        <w:autoSpaceDN/>
        <w:bidi w:val="0"/>
        <w:spacing w:beforeAutospacing="0" w:afterAutospacing="0" w:line="48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4" w:name="_Toc17267"/>
      <w:r>
        <w:rPr>
          <w:rFonts w:hint="eastAsia" w:ascii="宋体" w:hAnsi="宋体" w:eastAsia="宋体" w:cs="宋体"/>
          <w:b/>
          <w:bCs/>
          <w:color w:val="auto"/>
          <w:kern w:val="0"/>
          <w:sz w:val="24"/>
          <w:szCs w:val="24"/>
        </w:rPr>
        <w:t>三、采购项目需落实的政府采购政策</w:t>
      </w:r>
      <w:bookmarkEnd w:id="4"/>
    </w:p>
    <w:p w14:paraId="48F0F47B">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1、强制采购：政府采购实行强制采购的节能产品。</w:t>
      </w:r>
    </w:p>
    <w:p w14:paraId="725254BA">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2、优先采购：政府采购鼓励采购节能环保产品。</w:t>
      </w:r>
    </w:p>
    <w:p w14:paraId="5569CE2F">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3、价格评审优惠：政府采购促进中小企业发展（包括政府采购支持监狱企业发展、政府采购促进残疾人就业）。</w:t>
      </w:r>
    </w:p>
    <w:p w14:paraId="75DE2FAB">
      <w:pPr>
        <w:pStyle w:val="4"/>
        <w:pageBreakBefore w:val="0"/>
        <w:widowControl w:val="0"/>
        <w:kinsoku/>
        <w:wordWrap/>
        <w:overflowPunct w:val="0"/>
        <w:topLinePunct w:val="0"/>
        <w:bidi w:val="0"/>
        <w:spacing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采购进口产品：本采购项目</w:t>
      </w:r>
      <w:r>
        <w:rPr>
          <w:rFonts w:hint="eastAsia" w:ascii="宋体" w:hAnsi="宋体" w:eastAsia="宋体" w:cs="宋体"/>
          <w:color w:val="auto"/>
          <w:kern w:val="0"/>
          <w:sz w:val="24"/>
          <w:szCs w:val="24"/>
          <w:u w:val="single"/>
        </w:rPr>
        <w:t> 拒绝 </w:t>
      </w:r>
      <w:r>
        <w:rPr>
          <w:rFonts w:hint="eastAsia" w:ascii="宋体" w:hAnsi="宋体" w:eastAsia="宋体" w:cs="宋体"/>
          <w:color w:val="auto"/>
          <w:kern w:val="0"/>
          <w:sz w:val="24"/>
          <w:szCs w:val="24"/>
        </w:rPr>
        <w:t>进口产品。</w:t>
      </w:r>
    </w:p>
    <w:p w14:paraId="67EAD34E">
      <w:pPr>
        <w:pageBreakBefore w:val="0"/>
        <w:widowControl w:val="0"/>
        <w:kinsoku/>
        <w:wordWrap/>
        <w:overflowPunct w:val="0"/>
        <w:topLinePunct w:val="0"/>
        <w:autoSpaceDE/>
        <w:autoSpaceDN/>
        <w:bidi w:val="0"/>
        <w:spacing w:beforeAutospacing="0" w:afterAutospacing="0" w:line="48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5" w:name="_Toc12971"/>
      <w:r>
        <w:rPr>
          <w:rFonts w:hint="eastAsia" w:ascii="宋体" w:hAnsi="宋体" w:eastAsia="宋体" w:cs="宋体"/>
          <w:b/>
          <w:bCs/>
          <w:color w:val="auto"/>
          <w:kern w:val="0"/>
          <w:sz w:val="24"/>
          <w:szCs w:val="24"/>
        </w:rPr>
        <w:t>四、供应商的资格要求</w:t>
      </w:r>
      <w:bookmarkEnd w:id="5"/>
    </w:p>
    <w:p w14:paraId="7A47E24A">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1、满足《中华人民共和国政府采购法》第二十二条规定；</w:t>
      </w:r>
    </w:p>
    <w:p w14:paraId="3799881F">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2、落实政府采购政策需满足的资格要求：</w:t>
      </w:r>
    </w:p>
    <w:p w14:paraId="4CC1EFD1">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FE"/>
      </w:r>
      <w:r>
        <w:rPr>
          <w:rFonts w:hint="eastAsia" w:ascii="宋体" w:hAnsi="宋体" w:eastAsia="宋体" w:cs="宋体"/>
          <w:color w:val="auto"/>
          <w:kern w:val="0"/>
          <w:sz w:val="24"/>
          <w:szCs w:val="24"/>
        </w:rPr>
        <w:t>专门面向：</w:t>
      </w:r>
      <w:r>
        <w:rPr>
          <w:rFonts w:hint="eastAsia" w:ascii="宋体" w:hAnsi="宋体" w:eastAsia="宋体" w:cs="宋体"/>
          <w:iCs/>
          <w:color w:val="auto"/>
          <w:kern w:val="0"/>
          <w:sz w:val="24"/>
          <w:szCs w:val="24"/>
        </w:rPr>
        <w:sym w:font="Wingdings" w:char="00FE"/>
      </w:r>
      <w:r>
        <w:rPr>
          <w:rFonts w:hint="eastAsia" w:ascii="宋体" w:hAnsi="宋体" w:eastAsia="宋体" w:cs="宋体"/>
          <w:color w:val="auto"/>
          <w:kern w:val="0"/>
          <w:sz w:val="24"/>
          <w:szCs w:val="24"/>
        </w:rPr>
        <w:t>中小企业  </w:t>
      </w:r>
      <w:r>
        <w:rPr>
          <w:rFonts w:hint="eastAsia" w:ascii="宋体" w:hAnsi="宋体" w:eastAsia="宋体" w:cs="宋体"/>
          <w:iCs/>
          <w:color w:val="auto"/>
          <w:kern w:val="0"/>
          <w:sz w:val="24"/>
          <w:szCs w:val="24"/>
        </w:rPr>
        <w:sym w:font="Wingdings" w:char="00FE"/>
      </w:r>
      <w:r>
        <w:rPr>
          <w:rFonts w:hint="eastAsia" w:ascii="宋体" w:hAnsi="宋体" w:eastAsia="宋体" w:cs="宋体"/>
          <w:color w:val="auto"/>
          <w:kern w:val="0"/>
          <w:sz w:val="24"/>
          <w:szCs w:val="24"/>
        </w:rPr>
        <w:t>小微企业 </w:t>
      </w: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监狱企业 </w:t>
      </w: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福利性单位。</w:t>
      </w:r>
    </w:p>
    <w:p w14:paraId="51B2DE5D">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iCs/>
          <w:color w:val="auto"/>
          <w:kern w:val="0"/>
          <w:sz w:val="24"/>
          <w:szCs w:val="24"/>
        </w:rPr>
        <w:sym w:font="Wingdings" w:char="00A8"/>
      </w:r>
      <w:r>
        <w:rPr>
          <w:rFonts w:hint="eastAsia" w:ascii="宋体" w:hAnsi="宋体" w:eastAsia="宋体" w:cs="宋体"/>
          <w:color w:val="auto"/>
          <w:kern w:val="0"/>
          <w:sz w:val="24"/>
          <w:szCs w:val="24"/>
        </w:rPr>
        <w:t>强制分包：大型企业应将采购份额的</w:t>
      </w:r>
      <w:r>
        <w:rPr>
          <w:rFonts w:hint="eastAsia" w:ascii="宋体" w:hAnsi="宋体" w:eastAsia="宋体" w:cs="宋体"/>
          <w:color w:val="auto"/>
          <w:kern w:val="0"/>
          <w:sz w:val="24"/>
          <w:szCs w:val="24"/>
          <w:u w:val="single"/>
        </w:rPr>
        <w:t>  /  </w:t>
      </w:r>
      <w:r>
        <w:rPr>
          <w:rFonts w:hint="eastAsia" w:ascii="宋体" w:hAnsi="宋体" w:eastAsia="宋体" w:cs="宋体"/>
          <w:color w:val="auto"/>
          <w:kern w:val="0"/>
          <w:sz w:val="24"/>
          <w:szCs w:val="24"/>
        </w:rPr>
        <w:t>%分包给中小企业。</w:t>
      </w:r>
    </w:p>
    <w:p w14:paraId="6C3EF955">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3、本项目的特定资格要求：</w:t>
      </w:r>
    </w:p>
    <w:p w14:paraId="3E643145">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rPr>
        <w:t>（1）供应商须</w:t>
      </w:r>
      <w:r>
        <w:rPr>
          <w:rFonts w:hint="eastAsia" w:ascii="宋体" w:hAnsi="宋体" w:eastAsia="宋体" w:cs="宋体"/>
          <w:color w:val="000000"/>
          <w:kern w:val="2"/>
          <w:sz w:val="24"/>
          <w:szCs w:val="24"/>
          <w:highlight w:val="none"/>
          <w:lang w:val="en-US" w:eastAsia="zh-CN"/>
        </w:rPr>
        <w:t>具备住房城乡建设主管部门颁发</w:t>
      </w:r>
      <w:r>
        <w:rPr>
          <w:rFonts w:hint="eastAsia" w:ascii="宋体" w:hAnsi="宋体" w:eastAsia="宋体" w:cs="宋体"/>
          <w:color w:val="000000"/>
          <w:kern w:val="2"/>
          <w:sz w:val="24"/>
          <w:szCs w:val="24"/>
          <w:highlight w:val="none"/>
        </w:rPr>
        <w:t>的建筑工程施工总承包三级及以上资质</w:t>
      </w:r>
      <w:r>
        <w:rPr>
          <w:rFonts w:hint="eastAsia" w:ascii="宋体" w:hAnsi="宋体" w:eastAsia="宋体" w:cs="宋体"/>
          <w:color w:val="000000"/>
          <w:kern w:val="2"/>
          <w:sz w:val="24"/>
          <w:szCs w:val="24"/>
          <w:highlight w:val="none"/>
          <w:lang w:val="en-US" w:eastAsia="zh-CN"/>
        </w:rPr>
        <w:t>且处于有效期，企业</w:t>
      </w:r>
      <w:r>
        <w:rPr>
          <w:rFonts w:hint="eastAsia" w:ascii="宋体" w:hAnsi="宋体" w:eastAsia="宋体" w:cs="宋体"/>
          <w:color w:val="000000"/>
          <w:kern w:val="2"/>
          <w:sz w:val="24"/>
          <w:szCs w:val="24"/>
          <w:highlight w:val="none"/>
        </w:rPr>
        <w:t>安全生产许可证</w:t>
      </w:r>
      <w:r>
        <w:rPr>
          <w:rFonts w:hint="eastAsia" w:ascii="宋体" w:hAnsi="宋体" w:eastAsia="宋体" w:cs="宋体"/>
          <w:color w:val="000000"/>
          <w:kern w:val="2"/>
          <w:sz w:val="24"/>
          <w:szCs w:val="24"/>
          <w:highlight w:val="none"/>
          <w:lang w:val="en-US" w:eastAsia="zh-CN"/>
        </w:rPr>
        <w:t>处于有效期</w:t>
      </w:r>
      <w:r>
        <w:rPr>
          <w:rFonts w:hint="eastAsia" w:ascii="宋体" w:hAnsi="宋体" w:eastAsia="宋体" w:cs="宋体"/>
          <w:color w:val="000000"/>
          <w:kern w:val="2"/>
          <w:sz w:val="24"/>
          <w:szCs w:val="24"/>
          <w:highlight w:val="none"/>
        </w:rPr>
        <w:t>；湖南省外企业须按照湘建建【2015】190号文件要求办理省外入湘企业基本情况登记（以“湖南省住房和城乡建设网”查询为准）或具有入湘施工登记证（处于有效期内</w:t>
      </w:r>
      <w:r>
        <w:rPr>
          <w:rFonts w:hint="eastAsia" w:ascii="宋体" w:hAnsi="宋体" w:eastAsia="宋体" w:cs="宋体"/>
          <w:color w:val="000000"/>
          <w:kern w:val="2"/>
          <w:sz w:val="24"/>
          <w:szCs w:val="24"/>
          <w:highlight w:val="none"/>
          <w:lang w:eastAsia="zh-CN"/>
        </w:rPr>
        <w:t>）；</w:t>
      </w:r>
    </w:p>
    <w:p w14:paraId="4DF5305D">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项目负责人（项目经理，后同）具有建筑工程二级及以上注册建造师执业资格证书，并且具有有效期内的安全生产考核合格证（B证）；项目负责人必须是本企业在职人员且不得有在建项目（提供缴纳社会保险的证明材料、无在建工程查询截图和无在建承诺书原件，格式自拟）。</w:t>
      </w:r>
    </w:p>
    <w:p w14:paraId="1FA93604">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3）施工项目部关键岗位其他人员实行承诺制。响应时不要求提供具体人员信息，其中标后按照国家和省有关法律法规、规范标准和湖南省建筑工程施工监理关键岗位人员管理办法（湘建建〔2020〕208号文）规定配备施工项目部关键岗位人员（提供相应承诺书原件，格式自拟）。</w:t>
      </w:r>
    </w:p>
    <w:p w14:paraId="01E212E6">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000000"/>
          <w:kern w:val="2"/>
          <w:sz w:val="24"/>
          <w:szCs w:val="24"/>
          <w:highlight w:val="none"/>
        </w:rPr>
        <w:t>注：本项目面向中小企业采购，供应商须提供《湖南省政府采购供应商资格承诺函》和《中小企业声明函》。</w:t>
      </w:r>
    </w:p>
    <w:p w14:paraId="2A0063F7">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4、单位负责人为同一人或者存在直接控股、管理关系的不同供应商，不得参加同一合同项下的政府采购活动。</w:t>
      </w:r>
    </w:p>
    <w:p w14:paraId="2F26EB2D">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5、为本采购项目提供整体设计、规范编制或者项目管理、监理、检测等服务的，不得再参加此项目的其他采购活动。</w:t>
      </w:r>
    </w:p>
    <w:p w14:paraId="617328D6">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6、列入失信被执行人、重大税收违法失信主体名单、政府采购严重违法失信行为记录名单的，拒绝其参与政府采购活动。</w:t>
      </w:r>
    </w:p>
    <w:p w14:paraId="35F28221">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7、联合体响应。本次采购</w:t>
      </w:r>
      <w:r>
        <w:rPr>
          <w:rFonts w:hint="eastAsia" w:ascii="宋体" w:hAnsi="宋体" w:eastAsia="宋体" w:cs="宋体"/>
          <w:color w:val="auto"/>
          <w:kern w:val="0"/>
          <w:sz w:val="24"/>
          <w:szCs w:val="24"/>
          <w:u w:val="single"/>
        </w:rPr>
        <w:t> 不接受 </w:t>
      </w:r>
      <w:r>
        <w:rPr>
          <w:rFonts w:hint="eastAsia" w:ascii="宋体" w:hAnsi="宋体" w:eastAsia="宋体" w:cs="宋体"/>
          <w:color w:val="auto"/>
          <w:kern w:val="0"/>
          <w:sz w:val="24"/>
          <w:szCs w:val="24"/>
        </w:rPr>
        <w:t>联合体响应。</w:t>
      </w:r>
    </w:p>
    <w:p w14:paraId="10AC16CF">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根据《湖南省财政厅关于政府采购促进中小企业发展有关措施的通知》，符合法定条件的供应商凭《湖南省政府采购供应商资格承诺函》，即可参加政府采购活动；也可通过在金融机构办理电子增信取得对应信用星级参与政府采购活动和电子卖场交易，无需提供财务状况、缴纳税收和社会保障资金等资格证明材料。提供虚假承诺的供应商将以虚假资料谋取中标（成交）的违法行为，被列入不良行为记录名单，承担相应的法律责任。</w:t>
      </w:r>
    </w:p>
    <w:p w14:paraId="03B62A4A">
      <w:pPr>
        <w:pageBreakBefore w:val="0"/>
        <w:widowControl w:val="0"/>
        <w:kinsoku/>
        <w:wordWrap/>
        <w:overflowPunct w:val="0"/>
        <w:topLinePunct w:val="0"/>
        <w:autoSpaceDE/>
        <w:autoSpaceDN/>
        <w:bidi w:val="0"/>
        <w:spacing w:beforeAutospacing="0" w:afterAutospacing="0" w:line="48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6" w:name="_Toc30827"/>
      <w:r>
        <w:rPr>
          <w:rFonts w:hint="eastAsia" w:ascii="宋体" w:hAnsi="宋体" w:eastAsia="宋体" w:cs="宋体"/>
          <w:b/>
          <w:bCs/>
          <w:color w:val="auto"/>
          <w:kern w:val="0"/>
          <w:sz w:val="24"/>
          <w:szCs w:val="24"/>
        </w:rPr>
        <w:t>五、获取磋商文件的时间、地点及方式</w:t>
      </w:r>
      <w:bookmarkEnd w:id="6"/>
    </w:p>
    <w:p w14:paraId="34021A9D">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1、获取磋商文件的时间：</w:t>
      </w:r>
      <w:r>
        <w:rPr>
          <w:rFonts w:hint="eastAsia" w:ascii="宋体" w:hAnsi="宋体" w:eastAsia="宋体" w:cs="宋体"/>
          <w:color w:val="auto"/>
          <w:kern w:val="0"/>
          <w:sz w:val="24"/>
          <w:szCs w:val="24"/>
          <w:u w:val="single"/>
        </w:rPr>
        <w:t>202</w:t>
      </w:r>
      <w:r>
        <w:rPr>
          <w:rFonts w:hint="eastAsia" w:ascii="宋体" w:hAnsi="宋体" w:cs="宋体"/>
          <w:color w:val="auto"/>
          <w:kern w:val="0"/>
          <w:sz w:val="24"/>
          <w:szCs w:val="24"/>
          <w:u w:val="single"/>
          <w:lang w:val="en-US" w:eastAsia="zh-CN"/>
        </w:rPr>
        <w:t>6</w:t>
      </w:r>
      <w:r>
        <w:rPr>
          <w:rFonts w:hint="eastAsia" w:ascii="宋体" w:hAnsi="宋体" w:eastAsia="宋体" w:cs="宋体"/>
          <w:color w:val="auto"/>
          <w:kern w:val="0"/>
          <w:sz w:val="24"/>
          <w:szCs w:val="24"/>
        </w:rPr>
        <w:t>年</w:t>
      </w:r>
      <w:r>
        <w:rPr>
          <w:rFonts w:hint="eastAsia" w:ascii="宋体" w:hAnsi="宋体" w:cs="宋体"/>
          <w:color w:val="auto"/>
          <w:kern w:val="0"/>
          <w:sz w:val="24"/>
          <w:szCs w:val="24"/>
          <w:u w:val="single"/>
          <w:lang w:val="en-US" w:eastAsia="zh-CN"/>
        </w:rPr>
        <w:t>6</w:t>
      </w:r>
      <w:r>
        <w:rPr>
          <w:rFonts w:hint="eastAsia" w:ascii="宋体" w:hAnsi="宋体" w:eastAsia="宋体" w:cs="宋体"/>
          <w:color w:val="auto"/>
          <w:kern w:val="0"/>
          <w:sz w:val="24"/>
          <w:szCs w:val="24"/>
        </w:rPr>
        <w:t>月</w:t>
      </w:r>
      <w:r>
        <w:rPr>
          <w:rFonts w:hint="eastAsia" w:ascii="宋体" w:hAnsi="宋体" w:cs="宋体"/>
          <w:color w:val="auto"/>
          <w:kern w:val="0"/>
          <w:sz w:val="24"/>
          <w:szCs w:val="24"/>
          <w:u w:val="single"/>
          <w:lang w:val="en-US" w:eastAsia="zh-CN"/>
        </w:rPr>
        <w:t>29</w:t>
      </w:r>
      <w:r>
        <w:rPr>
          <w:rFonts w:hint="eastAsia" w:ascii="宋体" w:hAnsi="宋体" w:eastAsia="宋体" w:cs="宋体"/>
          <w:color w:val="auto"/>
          <w:kern w:val="0"/>
          <w:sz w:val="24"/>
          <w:szCs w:val="24"/>
        </w:rPr>
        <w:t>日至</w:t>
      </w:r>
      <w:r>
        <w:rPr>
          <w:rFonts w:hint="eastAsia" w:ascii="宋体" w:hAnsi="宋体" w:eastAsia="宋体" w:cs="宋体"/>
          <w:color w:val="auto"/>
          <w:kern w:val="0"/>
          <w:sz w:val="24"/>
          <w:szCs w:val="24"/>
          <w:u w:val="single"/>
        </w:rPr>
        <w:t>202</w:t>
      </w:r>
      <w:r>
        <w:rPr>
          <w:rFonts w:hint="eastAsia" w:ascii="宋体" w:hAnsi="宋体" w:cs="宋体"/>
          <w:color w:val="auto"/>
          <w:kern w:val="0"/>
          <w:sz w:val="24"/>
          <w:szCs w:val="24"/>
          <w:u w:val="single"/>
          <w:lang w:val="en-US" w:eastAsia="zh-CN"/>
        </w:rPr>
        <w:t>6</w:t>
      </w:r>
      <w:r>
        <w:rPr>
          <w:rFonts w:hint="eastAsia" w:ascii="宋体" w:hAnsi="宋体" w:eastAsia="宋体" w:cs="宋体"/>
          <w:color w:val="auto"/>
          <w:kern w:val="0"/>
          <w:sz w:val="24"/>
          <w:szCs w:val="24"/>
        </w:rPr>
        <w:t>年</w:t>
      </w:r>
      <w:r>
        <w:rPr>
          <w:rFonts w:hint="eastAsia" w:ascii="宋体" w:hAnsi="宋体" w:cs="宋体"/>
          <w:color w:val="auto"/>
          <w:kern w:val="0"/>
          <w:sz w:val="24"/>
          <w:szCs w:val="24"/>
          <w:u w:val="single"/>
          <w:lang w:val="en-US" w:eastAsia="zh-CN"/>
        </w:rPr>
        <w:t>7</w:t>
      </w:r>
      <w:r>
        <w:rPr>
          <w:rFonts w:hint="eastAsia" w:ascii="宋体" w:hAnsi="宋体" w:eastAsia="宋体" w:cs="宋体"/>
          <w:color w:val="auto"/>
          <w:kern w:val="0"/>
          <w:sz w:val="24"/>
          <w:szCs w:val="24"/>
        </w:rPr>
        <w:t>月</w:t>
      </w:r>
      <w:r>
        <w:rPr>
          <w:rFonts w:hint="eastAsia" w:ascii="宋体" w:hAnsi="宋体" w:cs="宋体"/>
          <w:color w:val="auto"/>
          <w:kern w:val="0"/>
          <w:sz w:val="24"/>
          <w:szCs w:val="24"/>
          <w:u w:val="single"/>
          <w:lang w:val="en-US" w:eastAsia="zh-CN"/>
        </w:rPr>
        <w:t>3</w:t>
      </w:r>
      <w:r>
        <w:rPr>
          <w:rFonts w:hint="eastAsia" w:ascii="宋体" w:hAnsi="宋体" w:eastAsia="宋体" w:cs="宋体"/>
          <w:color w:val="auto"/>
          <w:kern w:val="0"/>
          <w:sz w:val="24"/>
          <w:szCs w:val="24"/>
        </w:rPr>
        <w:t>日，每天上午9:00至12:00，下午14:30至17:00（北京时间，法定节假日除外）,</w:t>
      </w:r>
      <w:r>
        <w:rPr>
          <w:rFonts w:hint="eastAsia" w:ascii="宋体" w:hAnsi="宋体" w:eastAsia="宋体" w:cs="宋体"/>
          <w:b w:val="0"/>
          <w:bCs/>
          <w:kern w:val="0"/>
          <w:sz w:val="24"/>
          <w:szCs w:val="24"/>
          <w:lang w:bidi="ar"/>
        </w:rPr>
        <w:t>持法定代表人身份证明或授权委托书(附法定代表人身份证明)、个人身份证</w:t>
      </w:r>
      <w:r>
        <w:rPr>
          <w:rFonts w:hint="eastAsia" w:ascii="宋体" w:hAnsi="宋体" w:eastAsia="宋体" w:cs="宋体"/>
          <w:b w:val="0"/>
          <w:bCs/>
          <w:kern w:val="0"/>
          <w:sz w:val="24"/>
          <w:szCs w:val="24"/>
          <w:lang w:eastAsia="zh-CN" w:bidi="ar"/>
        </w:rPr>
        <w:t>，</w:t>
      </w:r>
      <w:r>
        <w:rPr>
          <w:rFonts w:hint="eastAsia" w:ascii="宋体" w:hAnsi="宋体" w:eastAsia="宋体" w:cs="宋体"/>
          <w:color w:val="auto"/>
          <w:kern w:val="0"/>
          <w:sz w:val="24"/>
          <w:szCs w:val="24"/>
        </w:rPr>
        <w:t>逾期送达的不予受理。</w:t>
      </w:r>
    </w:p>
    <w:p w14:paraId="0E1A699E">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eastAsia="宋体" w:cs="宋体"/>
          <w:color w:val="auto"/>
          <w:kern w:val="0"/>
          <w:sz w:val="24"/>
          <w:szCs w:val="24"/>
          <w:lang w:eastAsia="zh-CN"/>
        </w:rPr>
        <w:t>湖南涛鑫咨询有限公司</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慈利县零阳街道笔架东路2栋121-131（印象管家二楼</w:t>
      </w:r>
      <w:r>
        <w:rPr>
          <w:rFonts w:hint="eastAsia" w:ascii="宋体" w:hAnsi="宋体" w:eastAsia="宋体" w:cs="宋体"/>
          <w:color w:val="auto"/>
          <w:kern w:val="0"/>
          <w:sz w:val="24"/>
          <w:szCs w:val="24"/>
        </w:rPr>
        <w:t>）。</w:t>
      </w:r>
    </w:p>
    <w:p w14:paraId="2B528125">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3、方式：现场报名领取。</w:t>
      </w:r>
    </w:p>
    <w:p w14:paraId="2E11162E">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4、获取招标文件的材料要求：</w:t>
      </w:r>
    </w:p>
    <w:p w14:paraId="5BDF9C93">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①法定代表人身份证明原件或者授权委托书原件并附法定代表人身份证明原件；</w:t>
      </w:r>
    </w:p>
    <w:p w14:paraId="46640769">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②湖南省政府采购供应商资格承诺函原件，格式见附件一；</w:t>
      </w:r>
    </w:p>
    <w:p w14:paraId="254D2628">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③供应商资格声明(格式)原件，格式见附件二；</w:t>
      </w:r>
    </w:p>
    <w:p w14:paraId="14570D36">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④营业执照复印件加盖公章；</w:t>
      </w:r>
    </w:p>
    <w:p w14:paraId="42F9EB8B">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⑤符合特定资格条件证明材料复印件或者情况说明。</w:t>
      </w:r>
    </w:p>
    <w:p w14:paraId="3ABF737A">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（资料需逐页加盖供应商单位公章，装订成册，一式</w:t>
      </w:r>
      <w:r>
        <w:rPr>
          <w:rFonts w:hint="eastAsia" w:ascii="宋体" w:hAnsi="宋体" w:eastAsia="宋体" w:cs="宋体"/>
          <w:color w:val="auto"/>
          <w:kern w:val="0"/>
          <w:sz w:val="24"/>
          <w:szCs w:val="24"/>
          <w:lang w:val="en-US" w:eastAsia="zh-CN"/>
        </w:rPr>
        <w:t>肆</w:t>
      </w:r>
      <w:r>
        <w:rPr>
          <w:rFonts w:hint="eastAsia" w:ascii="宋体" w:hAnsi="宋体" w:eastAsia="宋体" w:cs="宋体"/>
          <w:color w:val="auto"/>
          <w:kern w:val="0"/>
          <w:sz w:val="24"/>
          <w:szCs w:val="24"/>
        </w:rPr>
        <w:t>份。所有证明材料内容需清晰可见，否则视为无效证明材料）。</w:t>
      </w:r>
    </w:p>
    <w:p w14:paraId="0FF0EE5E">
      <w:pPr>
        <w:pageBreakBefore w:val="0"/>
        <w:widowControl w:val="0"/>
        <w:kinsoku/>
        <w:wordWrap/>
        <w:overflowPunct w:val="0"/>
        <w:topLinePunct w:val="0"/>
        <w:autoSpaceDE/>
        <w:autoSpaceDN/>
        <w:bidi w:val="0"/>
        <w:spacing w:beforeAutospacing="0" w:afterAutospacing="0" w:line="52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7" w:name="_Toc30052"/>
      <w:r>
        <w:rPr>
          <w:rFonts w:hint="eastAsia" w:ascii="宋体" w:hAnsi="宋体" w:eastAsia="宋体" w:cs="宋体"/>
          <w:b/>
          <w:bCs/>
          <w:color w:val="auto"/>
          <w:kern w:val="0"/>
          <w:sz w:val="24"/>
          <w:szCs w:val="24"/>
        </w:rPr>
        <w:t>六、</w:t>
      </w:r>
      <w:r>
        <w:rPr>
          <w:rStyle w:val="18"/>
          <w:rFonts w:hint="eastAsia" w:ascii="宋体" w:hAnsi="宋体" w:eastAsia="宋体" w:cs="宋体"/>
          <w:b/>
          <w:bCs/>
          <w:color w:val="auto"/>
          <w:kern w:val="0"/>
          <w:sz w:val="24"/>
          <w:szCs w:val="24"/>
        </w:rPr>
        <w:t>响应文件提交的截止时间、开启时间及地点</w:t>
      </w:r>
      <w:bookmarkEnd w:id="7"/>
    </w:p>
    <w:p w14:paraId="5EA29220">
      <w:pPr>
        <w:pStyle w:val="13"/>
        <w:pageBreakBefore w:val="0"/>
        <w:widowControl w:val="0"/>
        <w:kinsoku/>
        <w:wordWrap/>
        <w:overflowPunct w:val="0"/>
        <w:topLinePunct w:val="0"/>
        <w:bidi w:val="0"/>
        <w:spacing w:before="0" w:beforeAutospacing="0" w:after="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1、提交首次响应文件的截止时间为</w:t>
      </w:r>
      <w:r>
        <w:rPr>
          <w:rFonts w:hint="eastAsia" w:ascii="宋体" w:hAnsi="宋体" w:eastAsia="宋体" w:cs="宋体"/>
          <w:color w:val="auto"/>
          <w:kern w:val="0"/>
          <w:sz w:val="24"/>
          <w:szCs w:val="24"/>
          <w:lang w:eastAsia="zh-CN"/>
        </w:rPr>
        <w:t>202</w:t>
      </w:r>
      <w:r>
        <w:rPr>
          <w:rFonts w:hint="eastAsia" w:eastAsia="宋体" w:cs="宋体"/>
          <w:color w:val="auto"/>
          <w:kern w:val="0"/>
          <w:sz w:val="24"/>
          <w:szCs w:val="24"/>
          <w:lang w:val="en-US" w:eastAsia="zh-CN"/>
        </w:rPr>
        <w:t>6</w:t>
      </w:r>
      <w:r>
        <w:rPr>
          <w:rFonts w:hint="eastAsia" w:ascii="宋体" w:hAnsi="宋体" w:eastAsia="宋体" w:cs="宋体"/>
          <w:color w:val="auto"/>
          <w:kern w:val="0"/>
          <w:sz w:val="24"/>
          <w:szCs w:val="24"/>
          <w:lang w:eastAsia="zh-CN"/>
        </w:rPr>
        <w:t>年</w:t>
      </w:r>
      <w:r>
        <w:rPr>
          <w:rFonts w:hint="eastAsia" w:cs="宋体"/>
          <w:color w:val="auto"/>
          <w:kern w:val="0"/>
          <w:sz w:val="24"/>
          <w:szCs w:val="24"/>
          <w:lang w:val="en-US" w:eastAsia="zh-CN"/>
        </w:rPr>
        <w:t>7</w:t>
      </w:r>
      <w:r>
        <w:rPr>
          <w:rFonts w:hint="eastAsia" w:ascii="宋体" w:hAnsi="宋体" w:eastAsia="宋体" w:cs="宋体"/>
          <w:color w:val="auto"/>
          <w:kern w:val="0"/>
          <w:sz w:val="24"/>
          <w:szCs w:val="24"/>
          <w:lang w:eastAsia="zh-CN"/>
        </w:rPr>
        <w:t>月</w:t>
      </w:r>
      <w:r>
        <w:rPr>
          <w:rFonts w:hint="eastAsia" w:cs="宋体"/>
          <w:color w:val="auto"/>
          <w:kern w:val="0"/>
          <w:sz w:val="24"/>
          <w:szCs w:val="24"/>
          <w:lang w:val="en-US" w:eastAsia="zh-CN"/>
        </w:rPr>
        <w:t>10</w:t>
      </w:r>
      <w:r>
        <w:rPr>
          <w:rFonts w:hint="eastAsia" w:ascii="宋体" w:hAnsi="宋体" w:eastAsia="宋体" w:cs="宋体"/>
          <w:color w:val="auto"/>
          <w:kern w:val="0"/>
          <w:sz w:val="24"/>
          <w:szCs w:val="24"/>
          <w:lang w:eastAsia="zh-CN"/>
        </w:rPr>
        <w:t xml:space="preserve"> 日</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 xml:space="preserve"> 时00 分（北京时间），地点为</w:t>
      </w:r>
      <w:r>
        <w:rPr>
          <w:rFonts w:hint="eastAsia" w:ascii="宋体" w:hAnsi="宋体" w:eastAsia="宋体" w:cs="宋体"/>
          <w:kern w:val="0"/>
          <w:sz w:val="24"/>
          <w:szCs w:val="24"/>
          <w:u w:val="single"/>
          <w:lang w:bidi="ar"/>
        </w:rPr>
        <w:t>湖南</w:t>
      </w:r>
      <w:r>
        <w:rPr>
          <w:rFonts w:hint="eastAsia" w:ascii="宋体" w:hAnsi="宋体" w:eastAsia="宋体" w:cs="宋体"/>
          <w:kern w:val="0"/>
          <w:sz w:val="24"/>
          <w:szCs w:val="24"/>
          <w:u w:val="single"/>
          <w:lang w:eastAsia="zh-CN" w:bidi="ar"/>
        </w:rPr>
        <w:t>涛鑫咨询</w:t>
      </w:r>
      <w:r>
        <w:rPr>
          <w:rFonts w:hint="eastAsia" w:ascii="宋体" w:hAnsi="宋体" w:eastAsia="宋体" w:cs="宋体"/>
          <w:kern w:val="0"/>
          <w:sz w:val="24"/>
          <w:szCs w:val="24"/>
          <w:u w:val="single"/>
          <w:lang w:bidi="ar"/>
        </w:rPr>
        <w:t>有限公司</w:t>
      </w:r>
      <w:r>
        <w:rPr>
          <w:rFonts w:hint="eastAsia" w:eastAsia="宋体" w:cs="宋体"/>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rPr>
        <w:t>慈利县零阳街道笔架东路2栋121-131（印象管家二楼）</w:t>
      </w:r>
      <w:r>
        <w:rPr>
          <w:rFonts w:hint="eastAsia" w:ascii="宋体" w:hAnsi="宋体" w:eastAsia="宋体" w:cs="宋体"/>
          <w:color w:val="auto"/>
          <w:kern w:val="0"/>
          <w:sz w:val="24"/>
          <w:szCs w:val="24"/>
        </w:rPr>
        <w:t>。</w:t>
      </w:r>
    </w:p>
    <w:p w14:paraId="48E1D2F9">
      <w:pPr>
        <w:pStyle w:val="13"/>
        <w:pageBreakBefore w:val="0"/>
        <w:widowControl w:val="0"/>
        <w:kinsoku/>
        <w:wordWrap/>
        <w:overflowPunct w:val="0"/>
        <w:topLinePunct w:val="0"/>
        <w:bidi w:val="0"/>
        <w:spacing w:before="0" w:beforeAutospacing="0" w:after="0" w:afterAutospacing="0" w:line="520" w:lineRule="exact"/>
        <w:ind w:left="0" w:right="0"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2、首次响应文件开启时间：</w:t>
      </w:r>
      <w:r>
        <w:rPr>
          <w:rFonts w:hint="eastAsia" w:ascii="宋体" w:hAnsi="宋体" w:eastAsia="宋体" w:cs="宋体"/>
          <w:color w:val="auto"/>
          <w:kern w:val="0"/>
          <w:sz w:val="24"/>
          <w:szCs w:val="24"/>
          <w:lang w:eastAsia="zh-CN"/>
        </w:rPr>
        <w:t>202</w:t>
      </w:r>
      <w:r>
        <w:rPr>
          <w:rFonts w:hint="eastAsia" w:eastAsia="宋体" w:cs="宋体"/>
          <w:color w:val="auto"/>
          <w:kern w:val="0"/>
          <w:sz w:val="24"/>
          <w:szCs w:val="24"/>
          <w:lang w:val="en-US" w:eastAsia="zh-CN"/>
        </w:rPr>
        <w:t>6</w:t>
      </w:r>
      <w:r>
        <w:rPr>
          <w:rFonts w:hint="eastAsia" w:ascii="宋体" w:hAnsi="宋体" w:eastAsia="宋体" w:cs="宋体"/>
          <w:color w:val="auto"/>
          <w:kern w:val="0"/>
          <w:sz w:val="24"/>
          <w:szCs w:val="24"/>
          <w:lang w:eastAsia="zh-CN"/>
        </w:rPr>
        <w:t>年</w:t>
      </w:r>
      <w:r>
        <w:rPr>
          <w:rFonts w:hint="eastAsia" w:cs="宋体"/>
          <w:color w:val="auto"/>
          <w:kern w:val="0"/>
          <w:sz w:val="24"/>
          <w:szCs w:val="24"/>
          <w:lang w:val="en-US" w:eastAsia="zh-CN"/>
        </w:rPr>
        <w:t>7</w:t>
      </w:r>
      <w:r>
        <w:rPr>
          <w:rFonts w:hint="eastAsia" w:ascii="宋体" w:hAnsi="宋体" w:eastAsia="宋体" w:cs="宋体"/>
          <w:color w:val="auto"/>
          <w:kern w:val="0"/>
          <w:sz w:val="24"/>
          <w:szCs w:val="24"/>
          <w:lang w:eastAsia="zh-CN"/>
        </w:rPr>
        <w:t>月</w:t>
      </w:r>
      <w:r>
        <w:rPr>
          <w:rFonts w:hint="eastAsia" w:cs="宋体"/>
          <w:color w:val="auto"/>
          <w:kern w:val="0"/>
          <w:sz w:val="24"/>
          <w:szCs w:val="24"/>
          <w:lang w:val="en-US" w:eastAsia="zh-CN"/>
        </w:rPr>
        <w:t>10</w:t>
      </w:r>
      <w:r>
        <w:rPr>
          <w:rFonts w:hint="eastAsia" w:ascii="宋体" w:hAnsi="宋体" w:eastAsia="宋体" w:cs="宋体"/>
          <w:color w:val="auto"/>
          <w:kern w:val="0"/>
          <w:sz w:val="24"/>
          <w:szCs w:val="24"/>
          <w:lang w:eastAsia="zh-CN"/>
        </w:rPr>
        <w:t>日</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 xml:space="preserve"> 时00 分（北京时间）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首次响应文件开启地点：</w:t>
      </w:r>
      <w:r>
        <w:rPr>
          <w:rFonts w:hint="eastAsia" w:ascii="宋体" w:hAnsi="宋体" w:eastAsia="宋体" w:cs="宋体"/>
          <w:kern w:val="0"/>
          <w:sz w:val="24"/>
          <w:szCs w:val="24"/>
          <w:u w:val="single"/>
          <w:lang w:bidi="ar"/>
        </w:rPr>
        <w:t>湖南</w:t>
      </w:r>
      <w:r>
        <w:rPr>
          <w:rFonts w:hint="eastAsia" w:ascii="宋体" w:hAnsi="宋体" w:eastAsia="宋体" w:cs="宋体"/>
          <w:kern w:val="0"/>
          <w:sz w:val="24"/>
          <w:szCs w:val="24"/>
          <w:u w:val="single"/>
          <w:lang w:eastAsia="zh-CN" w:bidi="ar"/>
        </w:rPr>
        <w:t>涛鑫咨询</w:t>
      </w:r>
      <w:r>
        <w:rPr>
          <w:rFonts w:hint="eastAsia" w:ascii="宋体" w:hAnsi="宋体" w:eastAsia="宋体" w:cs="宋体"/>
          <w:kern w:val="0"/>
          <w:sz w:val="24"/>
          <w:szCs w:val="24"/>
          <w:u w:val="single"/>
          <w:lang w:bidi="ar"/>
        </w:rPr>
        <w:t>有限公司</w:t>
      </w:r>
      <w:r>
        <w:rPr>
          <w:rFonts w:hint="eastAsia" w:eastAsia="宋体" w:cs="宋体"/>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rPr>
        <w:t>慈利县零阳街道笔架东路2栋121-131（印象管家二楼）</w:t>
      </w:r>
      <w:r>
        <w:rPr>
          <w:rFonts w:hint="eastAsia" w:ascii="宋体" w:hAnsi="宋体" w:eastAsia="宋体" w:cs="宋体"/>
          <w:color w:val="auto"/>
          <w:kern w:val="0"/>
          <w:sz w:val="24"/>
          <w:szCs w:val="24"/>
          <w:u w:val="none"/>
          <w:lang w:eastAsia="zh-CN"/>
        </w:rPr>
        <w:t>。</w:t>
      </w:r>
    </w:p>
    <w:p w14:paraId="4E3DC8D7">
      <w:pPr>
        <w:pStyle w:val="13"/>
        <w:pageBreakBefore w:val="0"/>
        <w:widowControl w:val="0"/>
        <w:kinsoku/>
        <w:wordWrap/>
        <w:overflowPunct w:val="0"/>
        <w:topLinePunct w:val="0"/>
        <w:bidi w:val="0"/>
        <w:spacing w:before="0" w:beforeAutospacing="0" w:after="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、逾期送达的或者未送达指定地点或未按要求密封的竞争性磋商文件，采购人不予受理。</w:t>
      </w:r>
    </w:p>
    <w:p w14:paraId="1CCB11D3">
      <w:pPr>
        <w:pStyle w:val="13"/>
        <w:pageBreakBefore w:val="0"/>
        <w:widowControl w:val="0"/>
        <w:kinsoku/>
        <w:wordWrap/>
        <w:overflowPunct w:val="0"/>
        <w:topLinePunct w:val="0"/>
        <w:bidi w:val="0"/>
        <w:spacing w:before="0" w:beforeAutospacing="0" w:after="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、法定代表人或授权代表须准时到会，出示授权书及身份证原件并签名以示出席；否则，其投标将被拒绝。</w:t>
      </w:r>
    </w:p>
    <w:p w14:paraId="6EE6F923">
      <w:pPr>
        <w:pageBreakBefore w:val="0"/>
        <w:widowControl w:val="0"/>
        <w:kinsoku/>
        <w:wordWrap/>
        <w:overflowPunct w:val="0"/>
        <w:topLinePunct w:val="0"/>
        <w:autoSpaceDE/>
        <w:autoSpaceDN/>
        <w:bidi w:val="0"/>
        <w:adjustRightInd w:val="0"/>
        <w:snapToGrid w:val="0"/>
        <w:spacing w:beforeAutospacing="0" w:afterAutospacing="0" w:line="52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8" w:name="_Toc14973"/>
      <w:r>
        <w:rPr>
          <w:rFonts w:hint="eastAsia" w:ascii="宋体" w:hAnsi="宋体" w:eastAsia="宋体" w:cs="宋体"/>
          <w:b/>
          <w:bCs/>
          <w:color w:val="auto"/>
          <w:kern w:val="0"/>
          <w:sz w:val="24"/>
          <w:szCs w:val="24"/>
        </w:rPr>
        <w:t>七、公告期限</w:t>
      </w:r>
      <w:bookmarkEnd w:id="8"/>
    </w:p>
    <w:p w14:paraId="3DD8C963">
      <w:pPr>
        <w:pageBreakBefore w:val="0"/>
        <w:widowControl w:val="0"/>
        <w:kinsoku/>
        <w:wordWrap/>
        <w:overflowPunct w:val="0"/>
        <w:topLinePunct w:val="0"/>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1、本邀请公告在中国湖南政府采购网（http://www.ccgp-hunan.gov.cn）发布。公告期限从本邀请公告发布之日起5个工作日。</w:t>
      </w:r>
    </w:p>
    <w:p w14:paraId="12A77CDD">
      <w:pPr>
        <w:pageBreakBefore w:val="0"/>
        <w:widowControl w:val="0"/>
        <w:kinsoku/>
        <w:wordWrap/>
        <w:overflowPunct w:val="0"/>
        <w:topLinePunct w:val="0"/>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2、在其他媒体发布的邀请公告，公告内容以本邀请公告指定媒体发布的公告为准；公告期限自本邀请公告指定媒体最先发布公告之日起算。</w:t>
      </w:r>
    </w:p>
    <w:p w14:paraId="24C81619">
      <w:pPr>
        <w:pageBreakBefore w:val="0"/>
        <w:widowControl w:val="0"/>
        <w:kinsoku/>
        <w:wordWrap/>
        <w:overflowPunct w:val="0"/>
        <w:topLinePunct w:val="0"/>
        <w:autoSpaceDE/>
        <w:autoSpaceDN/>
        <w:bidi w:val="0"/>
        <w:adjustRightInd w:val="0"/>
        <w:snapToGrid w:val="0"/>
        <w:spacing w:beforeAutospacing="0" w:afterAutospacing="0" w:line="52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9" w:name="_Toc794"/>
      <w:r>
        <w:rPr>
          <w:rFonts w:hint="eastAsia" w:ascii="宋体" w:hAnsi="宋体" w:eastAsia="宋体" w:cs="宋体"/>
          <w:b/>
          <w:bCs/>
          <w:color w:val="auto"/>
          <w:kern w:val="0"/>
          <w:sz w:val="24"/>
          <w:szCs w:val="24"/>
        </w:rPr>
        <w:t>八、询问及质疑</w:t>
      </w:r>
      <w:bookmarkEnd w:id="9"/>
    </w:p>
    <w:p w14:paraId="4CF79796">
      <w:pPr>
        <w:pageBreakBefore w:val="0"/>
        <w:widowControl w:val="0"/>
        <w:kinsoku/>
        <w:wordWrap/>
        <w:overflowPunct w:val="0"/>
        <w:topLinePunct w:val="0"/>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bookmarkStart w:id="10" w:name="_Toc8803"/>
      <w:bookmarkStart w:id="11" w:name="_Toc110606597"/>
      <w:bookmarkStart w:id="12" w:name="_Toc2878"/>
      <w:r>
        <w:rPr>
          <w:rFonts w:hint="eastAsia" w:ascii="宋体" w:hAnsi="宋体" w:eastAsia="宋体" w:cs="宋体"/>
          <w:color w:val="auto"/>
          <w:kern w:val="0"/>
          <w:sz w:val="24"/>
          <w:szCs w:val="24"/>
        </w:rPr>
        <w:t>1、供应商对政府采购活动事项如有疑问的，可以向采购人、采购代理机构提出询问。采购人、采购代理机构将在3个工作日内作出答复。</w:t>
      </w:r>
    </w:p>
    <w:p w14:paraId="2A4374F1">
      <w:pPr>
        <w:pageBreakBefore w:val="0"/>
        <w:widowControl w:val="0"/>
        <w:kinsoku/>
        <w:wordWrap/>
        <w:overflowPunct w:val="0"/>
        <w:topLinePunct w:val="0"/>
        <w:bidi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2、供应商认为本磋商文件使自己的合法权益受到损害的，可以在收到本邀请公告之日起7个工作日内，按《湖南省财政厅关于印发＜政府采购质疑答复和投诉处理操作规程＞的通知》(湘财购〔20</w:t>
      </w:r>
      <w:r>
        <w:rPr>
          <w:rFonts w:hint="eastAsia" w:ascii="宋体" w:hAnsi="宋体" w:eastAsia="宋体" w:cs="宋体"/>
          <w:color w:val="auto"/>
          <w:kern w:val="0"/>
          <w:sz w:val="24"/>
          <w:szCs w:val="24"/>
          <w:lang w:val="en-US" w:eastAsia="zh-CN"/>
        </w:rPr>
        <w:t>24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67</w:t>
      </w:r>
      <w:r>
        <w:rPr>
          <w:rFonts w:hint="eastAsia" w:ascii="宋体" w:hAnsi="宋体" w:eastAsia="宋体" w:cs="宋体"/>
          <w:color w:val="auto"/>
          <w:kern w:val="0"/>
          <w:sz w:val="24"/>
          <w:szCs w:val="24"/>
        </w:rPr>
        <w:t>号)规定，以书面形式向采购人、采购代理机构提出质疑。</w:t>
      </w:r>
    </w:p>
    <w:p w14:paraId="32485022">
      <w:pPr>
        <w:keepNext/>
        <w:keepLines/>
        <w:pageBreakBefore w:val="0"/>
        <w:widowControl w:val="0"/>
        <w:kinsoku/>
        <w:wordWrap/>
        <w:overflowPunct w:val="0"/>
        <w:topLinePunct w:val="0"/>
        <w:autoSpaceDE/>
        <w:autoSpaceDN/>
        <w:bidi w:val="0"/>
        <w:adjustRightInd w:val="0"/>
        <w:snapToGrid w:val="0"/>
        <w:spacing w:beforeAutospacing="0" w:afterAutospacing="0" w:line="52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13" w:name="_Toc15799"/>
      <w:r>
        <w:rPr>
          <w:rFonts w:hint="eastAsia" w:ascii="宋体" w:hAnsi="宋体" w:eastAsia="宋体" w:cs="宋体"/>
          <w:b/>
          <w:bCs/>
          <w:color w:val="auto"/>
          <w:kern w:val="0"/>
          <w:sz w:val="24"/>
          <w:szCs w:val="24"/>
        </w:rPr>
        <w:t>九、</w:t>
      </w:r>
      <w:bookmarkEnd w:id="10"/>
      <w:bookmarkEnd w:id="11"/>
      <w:r>
        <w:rPr>
          <w:rFonts w:hint="eastAsia" w:ascii="宋体" w:hAnsi="宋体" w:eastAsia="宋体" w:cs="宋体"/>
          <w:b/>
          <w:bCs/>
          <w:color w:val="auto"/>
          <w:kern w:val="0"/>
          <w:sz w:val="24"/>
          <w:szCs w:val="24"/>
        </w:rPr>
        <w:t>磋商说明</w:t>
      </w:r>
      <w:bookmarkEnd w:id="12"/>
      <w:bookmarkEnd w:id="13"/>
    </w:p>
    <w:p w14:paraId="18CA342D">
      <w:pPr>
        <w:pageBreakBefore w:val="0"/>
        <w:widowControl w:val="0"/>
        <w:tabs>
          <w:tab w:val="left" w:pos="4700"/>
          <w:tab w:val="left" w:pos="6000"/>
          <w:tab w:val="left" w:pos="7160"/>
          <w:tab w:val="left" w:pos="8520"/>
        </w:tabs>
        <w:kinsoku/>
        <w:wordWrap/>
        <w:overflowPunct w:val="0"/>
        <w:topLinePunct w:val="0"/>
        <w:autoSpaceDE w:val="0"/>
        <w:autoSpaceDN w:val="0"/>
        <w:bidi w:val="0"/>
        <w:adjustRightInd w:val="0"/>
        <w:snapToGrid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1、本公告函选项：</w:t>
      </w:r>
      <w:r>
        <w:rPr>
          <w:rFonts w:hint="eastAsia" w:ascii="宋体" w:hAnsi="宋体" w:eastAsia="宋体" w:cs="宋体"/>
          <w:color w:val="auto"/>
          <w:kern w:val="0"/>
          <w:sz w:val="24"/>
          <w:szCs w:val="24"/>
        </w:rPr>
        <w:sym w:font="Wingdings" w:char="00FE"/>
      </w:r>
      <w:r>
        <w:rPr>
          <w:rFonts w:hint="eastAsia" w:ascii="宋体" w:hAnsi="宋体" w:eastAsia="宋体" w:cs="宋体"/>
          <w:color w:val="auto"/>
          <w:kern w:val="0"/>
          <w:sz w:val="24"/>
          <w:szCs w:val="24"/>
        </w:rPr>
        <w:t>表示选择，</w:t>
      </w:r>
      <w:r>
        <w:rPr>
          <w:rFonts w:hint="eastAsia" w:ascii="宋体" w:hAnsi="宋体" w:eastAsia="宋体" w:cs="宋体"/>
          <w:color w:val="auto"/>
          <w:kern w:val="0"/>
          <w:sz w:val="24"/>
          <w:szCs w:val="24"/>
        </w:rPr>
        <w:sym w:font="Wingdings" w:char="00A8"/>
      </w:r>
      <w:r>
        <w:rPr>
          <w:rFonts w:hint="eastAsia" w:ascii="宋体" w:hAnsi="宋体" w:eastAsia="宋体" w:cs="宋体"/>
          <w:color w:val="auto"/>
          <w:kern w:val="0"/>
          <w:sz w:val="24"/>
          <w:szCs w:val="24"/>
        </w:rPr>
        <w:t>表示未选择。</w:t>
      </w:r>
    </w:p>
    <w:p w14:paraId="61712B4A">
      <w:pPr>
        <w:pageBreakBefore w:val="0"/>
        <w:widowControl w:val="0"/>
        <w:tabs>
          <w:tab w:val="left" w:pos="4700"/>
          <w:tab w:val="left" w:pos="6000"/>
          <w:tab w:val="left" w:pos="7160"/>
          <w:tab w:val="left" w:pos="8520"/>
        </w:tabs>
        <w:kinsoku/>
        <w:wordWrap/>
        <w:overflowPunct w:val="0"/>
        <w:topLinePunct w:val="0"/>
        <w:autoSpaceDE w:val="0"/>
        <w:autoSpaceDN w:val="0"/>
        <w:bidi w:val="0"/>
        <w:adjustRightInd w:val="0"/>
        <w:snapToGrid w:val="0"/>
        <w:spacing w:beforeAutospacing="0" w:afterAutospacing="0" w:line="52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2、供应商参与政府采购活动无需向采购人、代理机构、交易平台缴纳任何费用。</w:t>
      </w:r>
    </w:p>
    <w:p w14:paraId="09244CD4">
      <w:pPr>
        <w:keepNext/>
        <w:keepLines/>
        <w:pageBreakBefore w:val="0"/>
        <w:widowControl w:val="0"/>
        <w:kinsoku/>
        <w:wordWrap/>
        <w:overflowPunct w:val="0"/>
        <w:topLinePunct w:val="0"/>
        <w:autoSpaceDE/>
        <w:autoSpaceDN/>
        <w:bidi w:val="0"/>
        <w:adjustRightInd w:val="0"/>
        <w:snapToGrid w:val="0"/>
        <w:spacing w:beforeAutospacing="0" w:afterAutospacing="0" w:line="48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14" w:name="_Toc31731"/>
      <w:r>
        <w:rPr>
          <w:rFonts w:hint="eastAsia" w:ascii="宋体" w:hAnsi="宋体" w:eastAsia="宋体" w:cs="宋体"/>
          <w:b/>
          <w:bCs/>
          <w:color w:val="auto"/>
          <w:kern w:val="0"/>
          <w:sz w:val="24"/>
          <w:szCs w:val="24"/>
        </w:rPr>
        <w:t>十、采购项目联系人姓名和电话</w:t>
      </w:r>
      <w:bookmarkEnd w:id="14"/>
    </w:p>
    <w:p w14:paraId="2625896C">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1、联系人姓名：</w:t>
      </w:r>
      <w:r>
        <w:rPr>
          <w:rFonts w:hint="eastAsia" w:ascii="宋体" w:hAnsi="宋体" w:cs="宋体"/>
          <w:color w:val="auto"/>
          <w:kern w:val="0"/>
          <w:sz w:val="24"/>
          <w:szCs w:val="24"/>
          <w:lang w:val="en-US" w:eastAsia="zh-CN"/>
        </w:rPr>
        <w:t>戴</w:t>
      </w:r>
      <w:r>
        <w:rPr>
          <w:rFonts w:hint="eastAsia" w:ascii="宋体" w:hAnsi="宋体" w:eastAsia="宋体" w:cs="宋体"/>
          <w:color w:val="auto"/>
          <w:kern w:val="0"/>
          <w:sz w:val="24"/>
          <w:szCs w:val="24"/>
        </w:rPr>
        <w:t>先生</w:t>
      </w:r>
    </w:p>
    <w:p w14:paraId="00A9C12C">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2、电话：</w:t>
      </w:r>
      <w:r>
        <w:rPr>
          <w:rFonts w:hint="eastAsia" w:ascii="宋体" w:hAnsi="宋体" w:cs="宋体"/>
          <w:color w:val="auto"/>
          <w:kern w:val="0"/>
          <w:sz w:val="24"/>
          <w:szCs w:val="24"/>
          <w:u w:val="single"/>
          <w:lang w:val="en-US" w:eastAsia="zh-CN"/>
        </w:rPr>
        <w:t>13974443646</w:t>
      </w:r>
    </w:p>
    <w:p w14:paraId="48B4C7FF">
      <w:pPr>
        <w:pageBreakBefore w:val="0"/>
        <w:widowControl w:val="0"/>
        <w:kinsoku/>
        <w:wordWrap/>
        <w:overflowPunct w:val="0"/>
        <w:topLinePunct w:val="0"/>
        <w:autoSpaceDE/>
        <w:autoSpaceDN/>
        <w:bidi w:val="0"/>
        <w:spacing w:beforeAutospacing="0" w:afterAutospacing="0" w:line="480" w:lineRule="exact"/>
        <w:ind w:left="0" w:right="0" w:firstLine="0" w:firstLineChars="0"/>
        <w:jc w:val="both"/>
        <w:textAlignment w:val="auto"/>
        <w:outlineLvl w:val="1"/>
        <w:rPr>
          <w:rFonts w:hint="eastAsia" w:ascii="宋体" w:hAnsi="宋体" w:eastAsia="宋体" w:cs="宋体"/>
          <w:b/>
          <w:bCs/>
          <w:color w:val="auto"/>
          <w:kern w:val="0"/>
          <w:sz w:val="24"/>
          <w:szCs w:val="24"/>
        </w:rPr>
      </w:pPr>
      <w:bookmarkStart w:id="15" w:name="_Toc13492"/>
      <w:r>
        <w:rPr>
          <w:rFonts w:hint="eastAsia" w:ascii="宋体" w:hAnsi="宋体" w:eastAsia="宋体" w:cs="宋体"/>
          <w:b/>
          <w:bCs/>
          <w:color w:val="auto"/>
          <w:kern w:val="0"/>
          <w:sz w:val="24"/>
          <w:szCs w:val="24"/>
        </w:rPr>
        <w:t>十一、采购人及其委托的采购代理机构的名称、地址和联系方法</w:t>
      </w:r>
      <w:bookmarkEnd w:id="15"/>
    </w:p>
    <w:p w14:paraId="09308B60">
      <w:pPr>
        <w:pageBreakBefore w:val="0"/>
        <w:widowControl w:val="0"/>
        <w:kinsoku/>
        <w:wordWrap/>
        <w:overflowPunct w:val="0"/>
        <w:topLinePunct w:val="0"/>
        <w:bidi w:val="0"/>
        <w:spacing w:beforeAutospacing="0" w:afterAutospacing="0" w:line="480" w:lineRule="exact"/>
        <w:ind w:left="0" w:right="0" w:firstLine="482"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1、采购人信息</w:t>
      </w:r>
    </w:p>
    <w:p w14:paraId="36309FF4">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采购人：</w:t>
      </w:r>
      <w:r>
        <w:rPr>
          <w:rFonts w:hint="eastAsia" w:ascii="宋体" w:hAnsi="宋体" w:cs="宋体"/>
          <w:color w:val="auto"/>
          <w:kern w:val="0"/>
          <w:sz w:val="24"/>
          <w:szCs w:val="24"/>
          <w:lang w:eastAsia="zh-CN"/>
        </w:rPr>
        <w:t>慈利县第一中学</w:t>
      </w:r>
    </w:p>
    <w:p w14:paraId="3E89F534">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lang w:eastAsia="zh-CN"/>
        </w:rPr>
        <w:t>慈利县</w:t>
      </w:r>
      <w:r>
        <w:rPr>
          <w:rFonts w:hint="eastAsia" w:ascii="宋体" w:hAnsi="宋体" w:cs="宋体"/>
          <w:color w:val="auto"/>
          <w:sz w:val="24"/>
          <w:szCs w:val="24"/>
          <w:u w:val="none"/>
          <w:lang w:val="en-US" w:eastAsia="zh-CN"/>
        </w:rPr>
        <w:t>零阳中路</w:t>
      </w:r>
    </w:p>
    <w:p w14:paraId="19912B15">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戴</w:t>
      </w:r>
      <w:r>
        <w:rPr>
          <w:rFonts w:hint="eastAsia" w:ascii="宋体" w:hAnsi="宋体" w:eastAsia="宋体" w:cs="宋体"/>
          <w:color w:val="auto"/>
          <w:kern w:val="0"/>
          <w:sz w:val="24"/>
          <w:szCs w:val="24"/>
        </w:rPr>
        <w:t xml:space="preserve">先生   </w:t>
      </w:r>
    </w:p>
    <w:p w14:paraId="063910EF">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r>
        <w:rPr>
          <w:rFonts w:hint="eastAsia" w:ascii="宋体" w:hAnsi="宋体" w:cs="宋体"/>
          <w:color w:val="auto"/>
          <w:kern w:val="0"/>
          <w:sz w:val="24"/>
          <w:szCs w:val="24"/>
          <w:u w:val="single"/>
          <w:lang w:val="en-US" w:eastAsia="zh-CN"/>
        </w:rPr>
        <w:t>13974443646</w:t>
      </w:r>
      <w:r>
        <w:rPr>
          <w:rFonts w:hint="eastAsia" w:ascii="宋体" w:hAnsi="宋体" w:eastAsia="宋体" w:cs="宋体"/>
          <w:color w:val="auto"/>
          <w:kern w:val="0"/>
          <w:sz w:val="24"/>
          <w:szCs w:val="24"/>
        </w:rPr>
        <w:t xml:space="preserve">   </w:t>
      </w:r>
    </w:p>
    <w:p w14:paraId="64F17D77">
      <w:pPr>
        <w:pageBreakBefore w:val="0"/>
        <w:widowControl w:val="0"/>
        <w:kinsoku/>
        <w:wordWrap/>
        <w:overflowPunct w:val="0"/>
        <w:topLinePunct w:val="0"/>
        <w:bidi w:val="0"/>
        <w:spacing w:beforeAutospacing="0" w:afterAutospacing="0" w:line="480" w:lineRule="exact"/>
        <w:ind w:left="0" w:right="0" w:firstLine="482" w:firstLineChars="200"/>
        <w:jc w:val="both"/>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2、采购代理机构信息</w:t>
      </w:r>
    </w:p>
    <w:p w14:paraId="274F576E">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名  称： </w:t>
      </w:r>
      <w:r>
        <w:rPr>
          <w:rFonts w:hint="eastAsia" w:ascii="宋体" w:hAnsi="宋体" w:eastAsia="宋体" w:cs="宋体"/>
          <w:color w:val="auto"/>
          <w:kern w:val="0"/>
          <w:sz w:val="24"/>
          <w:szCs w:val="24"/>
          <w:lang w:eastAsia="zh-CN"/>
        </w:rPr>
        <w:t>湖南涛鑫咨询有限公司</w:t>
      </w:r>
      <w:r>
        <w:rPr>
          <w:rFonts w:hint="eastAsia" w:ascii="宋体" w:hAnsi="宋体" w:eastAsia="宋体" w:cs="宋体"/>
          <w:color w:val="auto"/>
          <w:kern w:val="0"/>
          <w:sz w:val="24"/>
          <w:szCs w:val="24"/>
        </w:rPr>
        <w:t xml:space="preserve"> </w:t>
      </w:r>
    </w:p>
    <w:p w14:paraId="53D6BCF9">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地  址： </w:t>
      </w:r>
      <w:r>
        <w:rPr>
          <w:rFonts w:hint="eastAsia" w:ascii="宋体" w:hAnsi="宋体" w:eastAsia="宋体" w:cs="宋体"/>
          <w:color w:val="auto"/>
          <w:kern w:val="0"/>
          <w:sz w:val="24"/>
          <w:szCs w:val="24"/>
          <w:lang w:eastAsia="zh-CN"/>
        </w:rPr>
        <w:t>慈利县零阳街道笔架东路2栋121-131（印象管家二楼）</w:t>
      </w:r>
    </w:p>
    <w:p w14:paraId="3DD9EC30">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袁</w:t>
      </w:r>
      <w:r>
        <w:rPr>
          <w:rFonts w:hint="eastAsia" w:ascii="宋体" w:hAnsi="宋体" w:eastAsia="宋体" w:cs="宋体"/>
          <w:color w:val="auto"/>
          <w:kern w:val="0"/>
          <w:sz w:val="24"/>
          <w:szCs w:val="24"/>
        </w:rPr>
        <w:t>先生</w:t>
      </w:r>
    </w:p>
    <w:p w14:paraId="5FFE2566">
      <w:pPr>
        <w:pageBreakBefore w:val="0"/>
        <w:widowControl w:val="0"/>
        <w:kinsoku/>
        <w:wordWrap/>
        <w:overflowPunct w:val="0"/>
        <w:topLinePunct w:val="0"/>
        <w:bidi w:val="0"/>
        <w:spacing w:beforeAutospacing="0" w:afterAutospacing="0" w:line="48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电  话： </w:t>
      </w:r>
      <w:r>
        <w:rPr>
          <w:rFonts w:hint="eastAsia" w:ascii="宋体" w:hAnsi="宋体" w:eastAsia="宋体" w:cs="宋体"/>
          <w:color w:val="auto"/>
          <w:kern w:val="0"/>
          <w:sz w:val="24"/>
          <w:szCs w:val="24"/>
          <w:u w:val="single"/>
          <w:lang w:eastAsia="zh-CN"/>
        </w:rPr>
        <w:t>137</w:t>
      </w:r>
      <w:r>
        <w:rPr>
          <w:rFonts w:hint="eastAsia" w:ascii="宋体" w:hAnsi="宋体" w:eastAsia="宋体" w:cs="宋体"/>
          <w:color w:val="auto"/>
          <w:kern w:val="0"/>
          <w:sz w:val="24"/>
          <w:szCs w:val="24"/>
          <w:u w:val="single"/>
          <w:lang w:val="en-US" w:eastAsia="zh-CN"/>
        </w:rPr>
        <w:t>62188610</w:t>
      </w:r>
      <w:r>
        <w:rPr>
          <w:rFonts w:hint="eastAsia" w:ascii="宋体" w:hAnsi="宋体" w:eastAsia="宋体" w:cs="宋体"/>
          <w:color w:val="auto"/>
          <w:kern w:val="0"/>
          <w:sz w:val="24"/>
          <w:szCs w:val="24"/>
        </w:rPr>
        <w:t xml:space="preserve"> </w:t>
      </w:r>
    </w:p>
    <w:p w14:paraId="497F4AB1">
      <w:pPr>
        <w:keepNext w:val="0"/>
        <w:keepLines w:val="0"/>
        <w:pageBreakBefore w:val="0"/>
        <w:widowControl w:val="0"/>
        <w:kinsoku/>
        <w:wordWrap/>
        <w:overflowPunct w:val="0"/>
        <w:topLinePunct w:val="0"/>
        <w:autoSpaceDE/>
        <w:autoSpaceDN/>
        <w:bidi w:val="0"/>
        <w:adjustRightInd/>
        <w:snapToGrid/>
        <w:spacing w:before="100" w:beforeAutospacing="1" w:after="100" w:afterAutospacing="1"/>
        <w:jc w:val="both"/>
        <w:textAlignment w:val="auto"/>
        <w:outlineLvl w:val="2"/>
        <w:rPr>
          <w:rFonts w:hint="eastAsia" w:ascii="宋体" w:hAnsi="宋体" w:eastAsia="宋体" w:cs="宋体"/>
          <w:b w:val="0"/>
          <w:bCs w:val="0"/>
          <w:color w:val="auto"/>
          <w:sz w:val="21"/>
          <w:szCs w:val="21"/>
        </w:rPr>
      </w:pPr>
      <w:r>
        <w:rPr>
          <w:rFonts w:ascii="新宋体" w:hAnsi="新宋体" w:eastAsia="新宋体" w:cs="新宋体"/>
          <w:color w:val="auto"/>
          <w:sz w:val="24"/>
        </w:rPr>
        <w:br w:type="page"/>
      </w:r>
      <w:bookmarkStart w:id="16" w:name="_Toc14082"/>
      <w:r>
        <w:rPr>
          <w:rFonts w:hint="eastAsia" w:ascii="宋体" w:hAnsi="宋体" w:eastAsia="宋体" w:cs="宋体"/>
          <w:b w:val="0"/>
          <w:bCs w:val="0"/>
          <w:color w:val="auto"/>
          <w:sz w:val="21"/>
          <w:szCs w:val="21"/>
        </w:rPr>
        <w:t>附件一 湖南省政府采购供应商资格承诺函</w:t>
      </w:r>
      <w:bookmarkEnd w:id="16"/>
    </w:p>
    <w:p w14:paraId="13D7DD8E">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firstLine="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湖南省政府采购供应商资格承诺函</w:t>
      </w:r>
    </w:p>
    <w:p w14:paraId="19DB118F">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20" w:firstLineChars="200"/>
        <w:jc w:val="both"/>
        <w:textAlignment w:val="auto"/>
        <w:rPr>
          <w:rFonts w:hint="eastAsia" w:ascii="宋体" w:hAnsi="宋体" w:eastAsia="宋体" w:cs="宋体"/>
          <w:color w:val="auto"/>
          <w:szCs w:val="21"/>
        </w:rPr>
      </w:pPr>
    </w:p>
    <w:p w14:paraId="20FFD575">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2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zCs w:val="21"/>
        </w:rPr>
        <w:t>本公司独立承担民事责任、具有良好的商业信誉和健全的财务会计制度、依法缴纳税收和社</w:t>
      </w:r>
      <w:r>
        <w:rPr>
          <w:rFonts w:hint="eastAsia" w:ascii="宋体" w:hAnsi="宋体" w:eastAsia="宋体" w:cs="宋体"/>
          <w:color w:val="auto"/>
          <w:spacing w:val="0"/>
          <w:sz w:val="24"/>
          <w:szCs w:val="24"/>
        </w:rPr>
        <w:t>会保障资金，在前三年的经营活动中无重大违法记录，未列入严重失信行为名单，符合政府采购供应商的基本资格要求。按照《政府采购促进中小企业发展管理办法》（财库〔2020〕46号），本公司企业规模为：大型□</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中型□</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小型□</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微型□</w:t>
      </w:r>
      <w:r>
        <w:rPr>
          <w:rFonts w:hint="eastAsia" w:ascii="宋体" w:hAnsi="宋体" w:eastAsia="宋体" w:cs="宋体"/>
          <w:color w:val="auto"/>
          <w:spacing w:val="0"/>
          <w:sz w:val="24"/>
          <w:szCs w:val="24"/>
          <w:lang w:val="en-US" w:eastAsia="zh-CN"/>
        </w:rPr>
        <w:t xml:space="preserve"> </w:t>
      </w:r>
    </w:p>
    <w:p w14:paraId="74F9FA2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□本公司自愿入驻湖南省政府采购电子卖场，遵守《湖南省政府采购电子卖场管理办法》（湘财购〔2019〕27号），如违反承诺，同意金融机构将增信保证划缴国库（非电子卖场采购活动项目不需勾选）。</w:t>
      </w:r>
    </w:p>
    <w:p w14:paraId="5612A98E">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6042C648">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359111A4">
      <w:pPr>
        <w:keepNext w:val="0"/>
        <w:keepLines w:val="0"/>
        <w:pageBreakBefore w:val="0"/>
        <w:widowControl w:val="0"/>
        <w:kinsoku/>
        <w:wordWrap/>
        <w:overflowPunct w:val="0"/>
        <w:topLinePunct w:val="0"/>
        <w:autoSpaceDE/>
        <w:autoSpaceDN/>
        <w:bidi w:val="0"/>
        <w:adjustRightInd/>
        <w:snapToGrid/>
        <w:spacing w:afterAutospacing="0" w:line="480" w:lineRule="exact"/>
        <w:ind w:left="0" w:leftChars="0" w:firstLine="3458" w:firstLineChars="1441"/>
        <w:jc w:val="center"/>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公司（单位）名称（盖章）</w:t>
      </w:r>
    </w:p>
    <w:p w14:paraId="3F7A1442">
      <w:pPr>
        <w:keepNext w:val="0"/>
        <w:keepLines w:val="0"/>
        <w:pageBreakBefore w:val="0"/>
        <w:widowControl w:val="0"/>
        <w:kinsoku/>
        <w:wordWrap/>
        <w:overflowPunct w:val="0"/>
        <w:topLinePunct w:val="0"/>
        <w:autoSpaceDE/>
        <w:autoSpaceDN/>
        <w:bidi w:val="0"/>
        <w:adjustRightInd/>
        <w:snapToGrid/>
        <w:spacing w:afterAutospacing="0" w:line="480" w:lineRule="exact"/>
        <w:ind w:left="0" w:leftChars="0" w:firstLine="3458" w:firstLineChars="1441"/>
        <w:jc w:val="center"/>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年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月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日</w:t>
      </w:r>
    </w:p>
    <w:p w14:paraId="7F10191B">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6C61EB8F">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机构代码、注册登记机构、日期、有效期、注册资本、地址、经济行业、经济性质</w:t>
      </w:r>
    </w:p>
    <w:p w14:paraId="24C7D129">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法定代表人（负责人）姓名（签字）、身份证号、手机号：</w:t>
      </w:r>
    </w:p>
    <w:p w14:paraId="0D5A9729">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授权代表人姓名（签字）、身份证号、手机号：</w:t>
      </w:r>
    </w:p>
    <w:p w14:paraId="3C2280B9">
      <w:pPr>
        <w:keepNext w:val="0"/>
        <w:keepLines w:val="0"/>
        <w:pageBreakBefore w:val="0"/>
        <w:widowControl w:val="0"/>
        <w:kinsoku/>
        <w:wordWrap/>
        <w:overflowPunct w:val="0"/>
        <w:topLinePunct w:val="0"/>
        <w:autoSpaceDE/>
        <w:autoSpaceDN/>
        <w:bidi w:val="0"/>
        <w:adjustRightInd/>
        <w:snapToGrid/>
        <w:spacing w:before="100" w:beforeAutospacing="1" w:after="100" w:afterAutospacing="1"/>
        <w:jc w:val="both"/>
        <w:textAlignment w:val="auto"/>
        <w:outlineLvl w:val="9"/>
        <w:rPr>
          <w:rFonts w:ascii="黑体" w:hAnsi="黑体" w:eastAsia="黑体" w:cs="宋体"/>
          <w:b/>
          <w:bCs/>
          <w:color w:val="auto"/>
          <w:szCs w:val="21"/>
        </w:rPr>
      </w:pPr>
      <w:r>
        <w:rPr>
          <w:rFonts w:hint="eastAsia" w:ascii="宋体" w:hAnsi="宋体" w:eastAsia="宋体" w:cs="宋体"/>
          <w:color w:val="auto"/>
          <w:sz w:val="24"/>
        </w:rPr>
        <w:t> </w:t>
      </w:r>
    </w:p>
    <w:p w14:paraId="3A327F2A">
      <w:pPr>
        <w:keepNext w:val="0"/>
        <w:keepLines w:val="0"/>
        <w:pageBreakBefore w:val="0"/>
        <w:widowControl w:val="0"/>
        <w:kinsoku/>
        <w:wordWrap/>
        <w:overflowPunct w:val="0"/>
        <w:topLinePunct w:val="0"/>
        <w:autoSpaceDE/>
        <w:autoSpaceDN/>
        <w:bidi w:val="0"/>
        <w:adjustRightInd/>
        <w:snapToGrid/>
        <w:spacing w:before="100" w:beforeAutospacing="1" w:after="100" w:afterAutospacing="1"/>
        <w:jc w:val="both"/>
        <w:textAlignment w:val="auto"/>
        <w:outlineLvl w:val="9"/>
        <w:rPr>
          <w:rFonts w:ascii="黑体" w:hAnsi="黑体" w:eastAsia="黑体" w:cs="宋体"/>
          <w:b/>
          <w:bCs/>
          <w:color w:val="auto"/>
          <w:szCs w:val="21"/>
        </w:rPr>
      </w:pPr>
    </w:p>
    <w:p w14:paraId="54794FA2">
      <w:pPr>
        <w:keepNext w:val="0"/>
        <w:keepLines w:val="0"/>
        <w:pageBreakBefore w:val="0"/>
        <w:widowControl w:val="0"/>
        <w:kinsoku/>
        <w:wordWrap/>
        <w:overflowPunct w:val="0"/>
        <w:topLinePunct w:val="0"/>
        <w:autoSpaceDE/>
        <w:autoSpaceDN/>
        <w:bidi w:val="0"/>
        <w:adjustRightInd/>
        <w:snapToGrid/>
        <w:spacing w:before="100" w:beforeAutospacing="1" w:after="100" w:afterAutospacing="1"/>
        <w:jc w:val="both"/>
        <w:textAlignment w:val="auto"/>
        <w:outlineLvl w:val="9"/>
        <w:rPr>
          <w:rFonts w:hint="eastAsia" w:ascii="黑体" w:hAnsi="黑体" w:eastAsia="黑体" w:cs="宋体"/>
          <w:b/>
          <w:bCs/>
          <w:color w:val="auto"/>
          <w:szCs w:val="21"/>
        </w:rPr>
      </w:pPr>
    </w:p>
    <w:p w14:paraId="116B25C2">
      <w:pPr>
        <w:pageBreakBefore w:val="0"/>
        <w:widowControl w:val="0"/>
        <w:kinsoku/>
        <w:wordWrap/>
        <w:overflowPunct w:val="0"/>
        <w:bidi w:val="0"/>
        <w:spacing w:before="100" w:beforeAutospacing="1" w:after="100" w:afterAutospacing="1"/>
        <w:jc w:val="both"/>
        <w:textAlignment w:val="auto"/>
        <w:outlineLvl w:val="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br w:type="page"/>
      </w:r>
      <w:bookmarkStart w:id="17" w:name="_Toc21909"/>
      <w:r>
        <w:rPr>
          <w:rFonts w:hint="eastAsia" w:ascii="宋体" w:hAnsi="宋体" w:eastAsia="宋体" w:cs="宋体"/>
          <w:b w:val="0"/>
          <w:bCs w:val="0"/>
          <w:color w:val="auto"/>
          <w:sz w:val="21"/>
          <w:szCs w:val="21"/>
        </w:rPr>
        <w:t>附件二 供应商资格声明(格式)</w:t>
      </w:r>
      <w:bookmarkEnd w:id="17"/>
    </w:p>
    <w:p w14:paraId="3FD8BD7D">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firstLine="0"/>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供应商资格声明</w:t>
      </w:r>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rPr>
        <w:t>格式</w:t>
      </w:r>
      <w:r>
        <w:rPr>
          <w:rFonts w:hint="eastAsia" w:ascii="宋体" w:hAnsi="宋体" w:eastAsia="宋体" w:cs="宋体"/>
          <w:b/>
          <w:bCs/>
          <w:color w:val="auto"/>
          <w:sz w:val="36"/>
          <w:szCs w:val="36"/>
          <w:lang w:eastAsia="zh-CN"/>
        </w:rPr>
        <w:t>）</w:t>
      </w:r>
    </w:p>
    <w:p w14:paraId="3098F674">
      <w:pPr>
        <w:keepNext w:val="0"/>
        <w:keepLines w:val="0"/>
        <w:pageBreakBefore w:val="0"/>
        <w:widowControl w:val="0"/>
        <w:kinsoku/>
        <w:wordWrap/>
        <w:overflowPunct w:val="0"/>
        <w:topLinePunct w:val="0"/>
        <w:autoSpaceDE/>
        <w:autoSpaceDN/>
        <w:bidi w:val="0"/>
        <w:adjustRightInd/>
        <w:snapToGrid/>
        <w:spacing w:afterAutospacing="0" w:line="480" w:lineRule="exact"/>
        <w:jc w:val="both"/>
        <w:textAlignment w:val="auto"/>
        <w:rPr>
          <w:rFonts w:hint="eastAsia" w:ascii="宋体" w:hAnsi="宋体" w:eastAsia="宋体" w:cs="宋体"/>
          <w:color w:val="auto"/>
          <w:spacing w:val="0"/>
          <w:sz w:val="24"/>
          <w:szCs w:val="24"/>
        </w:rPr>
      </w:pPr>
    </w:p>
    <w:p w14:paraId="4AC609DA">
      <w:pPr>
        <w:keepNext w:val="0"/>
        <w:keepLines w:val="0"/>
        <w:pageBreakBefore w:val="0"/>
        <w:widowControl w:val="0"/>
        <w:kinsoku/>
        <w:wordWrap/>
        <w:overflowPunct w:val="0"/>
        <w:topLinePunct w:val="0"/>
        <w:autoSpaceDE/>
        <w:autoSpaceDN/>
        <w:bidi w:val="0"/>
        <w:adjustRightInd/>
        <w:snapToGrid/>
        <w:spacing w:afterAutospacing="0" w:line="480" w:lineRule="exact"/>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(采购人)：</w:t>
      </w:r>
    </w:p>
    <w:p w14:paraId="2DF82C05">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按照《中华人民共和国政府采购法》第二十二条和</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(项目名称)磋商邀请公告的规定，我单位郑重声明如下：</w:t>
      </w:r>
    </w:p>
    <w:p w14:paraId="469B13D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一、我单位是按照中华人民共和国法律规定登记注册的，注册地点为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，全称为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，统一社会信用代码为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，法定代表人（单位负责人）为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，具有独立承担民事责任的能力。</w:t>
      </w:r>
    </w:p>
    <w:p w14:paraId="7E7D9FE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二、我单位具有良好的商业信誉和健全的财务会计制度。</w:t>
      </w:r>
    </w:p>
    <w:p w14:paraId="7A57179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三、我单位依法进行纳税和社会保险申报并实际履行了义务。</w:t>
      </w:r>
    </w:p>
    <w:p w14:paraId="6FF85724">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四、我单位具有履行本项目采购合同所必需的设备和专业技术能力，并具有履行合同的良好记录。</w:t>
      </w:r>
    </w:p>
    <w:p w14:paraId="6EF1C34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0CDAB991">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供应商在参加政府采购活动前3年内因违法经营被禁止在一定期限内参加政府采购活动，期限届满的，可以参加政府采购活动。</w:t>
      </w:r>
    </w:p>
    <w:p w14:paraId="7974E75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六、我单位具备法律、行政法规规定的其他条件。</w:t>
      </w:r>
    </w:p>
    <w:p w14:paraId="3D595142">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七、与我单位存在“单位负责人为同一人或者存在直接控股、管理关系”的其他单位信息如下（如无，填写“无”）：</w:t>
      </w:r>
    </w:p>
    <w:p w14:paraId="2BF0F32C">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1、与我单位的法定代表人（单位负责人）为同一人的其他单位如下：</w:t>
      </w:r>
      <w:r>
        <w:rPr>
          <w:rFonts w:hint="eastAsia" w:ascii="宋体" w:hAnsi="宋体" w:eastAsia="宋体" w:cs="宋体"/>
          <w:color w:val="auto"/>
          <w:spacing w:val="0"/>
          <w:sz w:val="24"/>
          <w:szCs w:val="24"/>
          <w:u w:val="single"/>
        </w:rPr>
        <w:t>     </w:t>
      </w:r>
    </w:p>
    <w:p w14:paraId="3AFE8599">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2、我单位直接控股的其他单位如下：</w:t>
      </w:r>
      <w:r>
        <w:rPr>
          <w:rFonts w:hint="eastAsia" w:ascii="宋体" w:hAnsi="宋体" w:eastAsia="宋体" w:cs="宋体"/>
          <w:color w:val="auto"/>
          <w:spacing w:val="0"/>
          <w:sz w:val="24"/>
          <w:szCs w:val="24"/>
          <w:u w:val="single"/>
        </w:rPr>
        <w:t>             </w:t>
      </w:r>
    </w:p>
    <w:p w14:paraId="2A2441FF">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3、与我单位存在管理关系的其他单位如下：</w:t>
      </w:r>
      <w:r>
        <w:rPr>
          <w:rFonts w:hint="eastAsia" w:ascii="宋体" w:hAnsi="宋体" w:eastAsia="宋体" w:cs="宋体"/>
          <w:color w:val="auto"/>
          <w:spacing w:val="0"/>
          <w:sz w:val="24"/>
          <w:szCs w:val="24"/>
          <w:u w:val="single"/>
        </w:rPr>
        <w:t>           </w:t>
      </w:r>
    </w:p>
    <w:p w14:paraId="644ED2D4">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八、我单位不属于为本项目提供整体设计、规范编制或者项目管理、监理、检测等服务的供应商。</w:t>
      </w:r>
    </w:p>
    <w:p w14:paraId="213AD3CF">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九、我单位无以下不良信用记录情形：</w:t>
      </w:r>
    </w:p>
    <w:p w14:paraId="3AADAF9F">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1、在“信用中国”网站被列入失信被执行人和重大税收违法案件当事人名单；</w:t>
      </w:r>
    </w:p>
    <w:p w14:paraId="76ABB04E">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2、在“中国政府采购网”网站被列入政府采购严重违法失信行为记录名单；</w:t>
      </w:r>
    </w:p>
    <w:p w14:paraId="7337C565">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3、不符合《政府采购法》第二十二条规定的条件。</w:t>
      </w:r>
    </w:p>
    <w:p w14:paraId="4EC1503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我单位保证上述声明的事项都是真实的，如有虚假，我单位愿意承担相应的法律责任，并承担因此所造成的一切损失。</w:t>
      </w:r>
    </w:p>
    <w:p w14:paraId="13AD31EA">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注：第三条“良好的商业信誉”是指投标人经营状况良好，无本资格声明第十条情形。</w:t>
      </w:r>
    </w:p>
    <w:p w14:paraId="4D962541">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25207D5B">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7B014FD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4CA10797">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271A3955">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4136CC22">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2BEDF290">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66C5C3AF">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53C2DD6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024BFED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0CC24EFF">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投标人名称（盖单位公章）：</w:t>
      </w:r>
      <w:r>
        <w:rPr>
          <w:rFonts w:hint="eastAsia" w:ascii="宋体" w:hAnsi="宋体" w:eastAsia="宋体" w:cs="宋体"/>
          <w:color w:val="auto"/>
          <w:spacing w:val="0"/>
          <w:sz w:val="24"/>
          <w:szCs w:val="24"/>
          <w:u w:val="single"/>
        </w:rPr>
        <w:t>    </w:t>
      </w:r>
    </w:p>
    <w:p w14:paraId="1F85F22D">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法定代表人（单位负责人）或委托代理人：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（签字或印章）</w:t>
      </w:r>
    </w:p>
    <w:p w14:paraId="11B8E14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14:paraId="0E336A1A">
      <w:pPr>
        <w:keepNext w:val="0"/>
        <w:keepLines w:val="0"/>
        <w:pageBreakBefore w:val="0"/>
        <w:widowControl w:val="0"/>
        <w:kinsoku/>
        <w:wordWrap/>
        <w:overflowPunct w:val="0"/>
        <w:topLinePunct w:val="0"/>
        <w:autoSpaceDE/>
        <w:autoSpaceDN/>
        <w:bidi w:val="0"/>
        <w:adjustRightInd/>
        <w:snapToGrid/>
        <w:spacing w:beforeAutospacing="1" w:afterAutospacing="0" w:line="480" w:lineRule="exact"/>
        <w:ind w:left="0" w:firstLine="482" w:firstLineChars="200"/>
        <w:jc w:val="both"/>
        <w:textAlignment w:val="auto"/>
        <w:rPr>
          <w:rFonts w:hint="eastAsia" w:ascii="宋体" w:hAnsi="宋体" w:eastAsia="宋体" w:cs="宋体"/>
          <w:b/>
          <w:bCs/>
          <w:color w:val="auto"/>
          <w:spacing w:val="0"/>
          <w:sz w:val="24"/>
          <w:szCs w:val="24"/>
        </w:rPr>
      </w:pPr>
    </w:p>
    <w:p w14:paraId="57966917">
      <w:pPr>
        <w:keepNext w:val="0"/>
        <w:keepLines w:val="0"/>
        <w:pageBreakBefore w:val="0"/>
        <w:widowControl w:val="0"/>
        <w:kinsoku/>
        <w:wordWrap/>
        <w:overflowPunct w:val="0"/>
        <w:topLinePunct w:val="0"/>
        <w:autoSpaceDE/>
        <w:autoSpaceDN/>
        <w:bidi w:val="0"/>
        <w:adjustRightInd/>
        <w:snapToGrid/>
        <w:spacing w:beforeAutospacing="1" w:afterAutospacing="0" w:line="480" w:lineRule="exact"/>
        <w:ind w:left="0" w:firstLine="482"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b/>
          <w:bCs/>
          <w:color w:val="auto"/>
          <w:spacing w:val="0"/>
          <w:sz w:val="24"/>
          <w:szCs w:val="24"/>
        </w:rPr>
        <w:t>注：供应商对以上声明内容必须认真填写，保证其完整、真实，如有虚假，采购人将追究其相应的法律责任，并要求其承担因此所造成的一切损失。</w:t>
      </w:r>
    </w:p>
    <w:p w14:paraId="53E927AA">
      <w:pPr>
        <w:pageBreakBefore w:val="0"/>
        <w:widowControl w:val="0"/>
        <w:kinsoku/>
        <w:wordWrap/>
        <w:overflowPunct w:val="0"/>
        <w:bidi w:val="0"/>
        <w:spacing w:before="60" w:after="100" w:line="288" w:lineRule="atLeast"/>
        <w:ind w:left="136" w:right="24"/>
        <w:jc w:val="both"/>
        <w:textAlignment w:val="auto"/>
        <w:rPr>
          <w:rFonts w:ascii="宋体" w:hAnsi="宋体" w:eastAsia="宋体" w:cs="宋体"/>
          <w:color w:val="auto"/>
          <w:szCs w:val="21"/>
        </w:rPr>
      </w:pPr>
    </w:p>
    <w:p w14:paraId="275D6A30">
      <w:pPr>
        <w:pageBreakBefore w:val="0"/>
        <w:widowControl w:val="0"/>
        <w:kinsoku/>
        <w:wordWrap/>
        <w:overflowPunct w:val="0"/>
        <w:bidi w:val="0"/>
        <w:spacing w:before="100" w:beforeAutospacing="1" w:after="100" w:afterAutospacing="1"/>
        <w:jc w:val="both"/>
        <w:textAlignment w:val="auto"/>
        <w:outlineLvl w:val="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br w:type="page"/>
      </w:r>
      <w:bookmarkStart w:id="18" w:name="_Toc18391"/>
      <w:r>
        <w:rPr>
          <w:rFonts w:hint="eastAsia" w:ascii="宋体" w:hAnsi="宋体" w:eastAsia="宋体" w:cs="宋体"/>
          <w:b w:val="0"/>
          <w:bCs w:val="0"/>
          <w:color w:val="auto"/>
          <w:sz w:val="21"/>
          <w:szCs w:val="21"/>
        </w:rPr>
        <w:t>附件三</w:t>
      </w:r>
      <w:bookmarkEnd w:id="18"/>
    </w:p>
    <w:p w14:paraId="104F2C6E">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firstLine="0"/>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法定代表人（单位负责人）身份证明</w:t>
      </w:r>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rPr>
        <w:t>格式</w:t>
      </w:r>
      <w:r>
        <w:rPr>
          <w:rFonts w:hint="eastAsia" w:ascii="宋体" w:hAnsi="宋体" w:eastAsia="宋体" w:cs="宋体"/>
          <w:b/>
          <w:bCs/>
          <w:color w:val="auto"/>
          <w:sz w:val="36"/>
          <w:szCs w:val="36"/>
          <w:lang w:eastAsia="zh-CN"/>
        </w:rPr>
        <w:t>）</w:t>
      </w:r>
    </w:p>
    <w:p w14:paraId="005C5D88">
      <w:pPr>
        <w:keepNext w:val="0"/>
        <w:keepLines w:val="0"/>
        <w:pageBreakBefore w:val="0"/>
        <w:widowControl w:val="0"/>
        <w:kinsoku/>
        <w:wordWrap/>
        <w:overflowPunct w:val="0"/>
        <w:topLinePunct w:val="0"/>
        <w:autoSpaceDE/>
        <w:autoSpaceDN/>
        <w:bidi w:val="0"/>
        <w:adjustRightInd/>
        <w:snapToGrid/>
        <w:spacing w:afterAutospacing="0" w:line="480" w:lineRule="exact"/>
        <w:ind w:left="0" w:right="-2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2206D70D">
      <w:pPr>
        <w:keepNext w:val="0"/>
        <w:keepLines w:val="0"/>
        <w:pageBreakBefore w:val="0"/>
        <w:widowControl w:val="0"/>
        <w:kinsoku/>
        <w:wordWrap/>
        <w:overflowPunct w:val="0"/>
        <w:topLinePunct w:val="0"/>
        <w:autoSpaceDE/>
        <w:autoSpaceDN/>
        <w:bidi w:val="0"/>
        <w:adjustRightInd/>
        <w:snapToGrid/>
        <w:spacing w:afterAutospacing="0" w:line="480" w:lineRule="exact"/>
        <w:ind w:left="0" w:right="-2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供应商名称：</w:t>
      </w:r>
      <w:r>
        <w:rPr>
          <w:rFonts w:hint="eastAsia" w:ascii="宋体" w:hAnsi="宋体" w:eastAsia="宋体" w:cs="宋体"/>
          <w:color w:val="auto"/>
          <w:spacing w:val="0"/>
          <w:sz w:val="24"/>
          <w:szCs w:val="24"/>
          <w:u w:val="single"/>
        </w:rPr>
        <w:t>                 </w:t>
      </w:r>
    </w:p>
    <w:p w14:paraId="5158CD41">
      <w:pPr>
        <w:keepNext w:val="0"/>
        <w:keepLines w:val="0"/>
        <w:pageBreakBefore w:val="0"/>
        <w:widowControl w:val="0"/>
        <w:kinsoku/>
        <w:wordWrap/>
        <w:overflowPunct w:val="0"/>
        <w:topLinePunct w:val="0"/>
        <w:autoSpaceDE/>
        <w:autoSpaceDN/>
        <w:bidi w:val="0"/>
        <w:adjustRightInd/>
        <w:snapToGrid/>
        <w:spacing w:afterAutospacing="0" w:line="480" w:lineRule="exact"/>
        <w:ind w:left="0" w:right="-2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统一社会信用代码：</w:t>
      </w:r>
      <w:r>
        <w:rPr>
          <w:rFonts w:hint="eastAsia" w:ascii="宋体" w:hAnsi="宋体" w:eastAsia="宋体" w:cs="宋体"/>
          <w:color w:val="auto"/>
          <w:spacing w:val="0"/>
          <w:sz w:val="24"/>
          <w:szCs w:val="24"/>
          <w:u w:val="single"/>
        </w:rPr>
        <w:t>                 </w:t>
      </w:r>
    </w:p>
    <w:p w14:paraId="4CB5DB60">
      <w:pPr>
        <w:keepNext w:val="0"/>
        <w:keepLines w:val="0"/>
        <w:pageBreakBefore w:val="0"/>
        <w:widowControl w:val="0"/>
        <w:kinsoku/>
        <w:wordWrap/>
        <w:overflowPunct w:val="0"/>
        <w:topLinePunct w:val="0"/>
        <w:autoSpaceDE/>
        <w:autoSpaceDN/>
        <w:bidi w:val="0"/>
        <w:adjustRightInd/>
        <w:snapToGrid/>
        <w:spacing w:afterAutospacing="0" w:line="480" w:lineRule="exact"/>
        <w:ind w:left="0" w:right="-2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注册地址：</w:t>
      </w:r>
      <w:r>
        <w:rPr>
          <w:rFonts w:hint="eastAsia" w:ascii="宋体" w:hAnsi="宋体" w:eastAsia="宋体" w:cs="宋体"/>
          <w:color w:val="auto"/>
          <w:spacing w:val="0"/>
          <w:sz w:val="24"/>
          <w:szCs w:val="24"/>
          <w:u w:val="single"/>
        </w:rPr>
        <w:t>                 </w:t>
      </w:r>
    </w:p>
    <w:p w14:paraId="1339D1BD">
      <w:pPr>
        <w:keepNext w:val="0"/>
        <w:keepLines w:val="0"/>
        <w:pageBreakBefore w:val="0"/>
        <w:widowControl w:val="0"/>
        <w:kinsoku/>
        <w:wordWrap/>
        <w:overflowPunct w:val="0"/>
        <w:topLinePunct w:val="0"/>
        <w:autoSpaceDE/>
        <w:autoSpaceDN/>
        <w:bidi w:val="0"/>
        <w:adjustRightInd/>
        <w:snapToGrid/>
        <w:spacing w:afterAutospacing="0" w:line="480" w:lineRule="exact"/>
        <w:ind w:left="0" w:right="-23"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姓名：</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性别：</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年龄：</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职务：</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系</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（供应商名称）的法定代表人（单位负责人）。</w:t>
      </w:r>
    </w:p>
    <w:p w14:paraId="6F3C3E4A">
      <w:pPr>
        <w:keepNext w:val="0"/>
        <w:keepLines w:val="0"/>
        <w:pageBreakBefore w:val="0"/>
        <w:widowControl w:val="0"/>
        <w:kinsoku/>
        <w:wordWrap/>
        <w:overflowPunct w:val="0"/>
        <w:topLinePunct w:val="0"/>
        <w:autoSpaceDE/>
        <w:autoSpaceDN/>
        <w:bidi w:val="0"/>
        <w:adjustRightInd/>
        <w:snapToGrid/>
        <w:spacing w:afterAutospacing="0" w:line="480" w:lineRule="exact"/>
        <w:ind w:left="0" w:right="-2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特此证明。</w:t>
      </w:r>
    </w:p>
    <w:p w14:paraId="155D1740">
      <w:pPr>
        <w:keepNext w:val="0"/>
        <w:keepLines w:val="0"/>
        <w:pageBreakBefore w:val="0"/>
        <w:widowControl w:val="0"/>
        <w:kinsoku/>
        <w:wordWrap/>
        <w:overflowPunct w:val="0"/>
        <w:topLinePunct w:val="0"/>
        <w:autoSpaceDE/>
        <w:autoSpaceDN/>
        <w:bidi w:val="0"/>
        <w:adjustRightInd/>
        <w:snapToGrid/>
        <w:spacing w:afterAutospacing="0" w:line="480" w:lineRule="exact"/>
        <w:ind w:left="0" w:right="4231"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附：法定代表人（单位负责人）身份证复印件。</w:t>
      </w:r>
    </w:p>
    <w:tbl>
      <w:tblPr>
        <w:tblStyle w:val="16"/>
        <w:tblW w:w="7797" w:type="dxa"/>
        <w:tblCellSpacing w:w="0" w:type="dxa"/>
        <w:tblInd w:w="812" w:type="dxa"/>
        <w:tblLayout w:type="autofit"/>
        <w:tblCellMar>
          <w:top w:w="15" w:type="dxa"/>
          <w:left w:w="15" w:type="dxa"/>
          <w:bottom w:w="15" w:type="dxa"/>
          <w:right w:w="15" w:type="dxa"/>
        </w:tblCellMar>
      </w:tblPr>
      <w:tblGrid>
        <w:gridCol w:w="3938"/>
        <w:gridCol w:w="3919"/>
      </w:tblGrid>
      <w:tr w14:paraId="10D3573F">
        <w:tblPrEx>
          <w:tblCellMar>
            <w:top w:w="15" w:type="dxa"/>
            <w:left w:w="15" w:type="dxa"/>
            <w:bottom w:w="15" w:type="dxa"/>
            <w:right w:w="15" w:type="dxa"/>
          </w:tblCellMar>
        </w:tblPrEx>
        <w:trPr>
          <w:trHeight w:val="1265" w:hRule="atLeast"/>
          <w:tblCellSpacing w:w="0" w:type="dxa"/>
        </w:trPr>
        <w:tc>
          <w:tcPr>
            <w:tcW w:w="389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B9A78C">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宋体" w:hAnsi="宋体" w:eastAsia="宋体" w:cs="宋体"/>
                <w:color w:val="auto"/>
                <w:spacing w:val="0"/>
                <w:sz w:val="24"/>
                <w:szCs w:val="24"/>
              </w:rPr>
            </w:pPr>
            <w:r>
              <w:rPr>
                <w:rFonts w:hint="eastAsia" w:ascii="宋体" w:hAnsi="宋体" w:eastAsia="宋体" w:cs="宋体"/>
                <w:color w:val="auto"/>
                <w:spacing w:val="0"/>
                <w:sz w:val="24"/>
                <w:szCs w:val="24"/>
              </w:rPr>
              <w:t>身份证（正面）复印件</w:t>
            </w:r>
          </w:p>
        </w:tc>
        <w:tc>
          <w:tcPr>
            <w:tcW w:w="389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03AF48B">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宋体" w:hAnsi="宋体" w:eastAsia="宋体" w:cs="宋体"/>
                <w:color w:val="auto"/>
                <w:spacing w:val="0"/>
                <w:sz w:val="24"/>
                <w:szCs w:val="24"/>
              </w:rPr>
            </w:pPr>
            <w:r>
              <w:rPr>
                <w:rFonts w:hint="eastAsia" w:ascii="宋体" w:hAnsi="宋体" w:eastAsia="宋体" w:cs="宋体"/>
                <w:color w:val="auto"/>
                <w:spacing w:val="0"/>
                <w:sz w:val="24"/>
                <w:szCs w:val="24"/>
              </w:rPr>
              <w:t>身份证（反面）复印件</w:t>
            </w:r>
          </w:p>
        </w:tc>
      </w:tr>
    </w:tbl>
    <w:p w14:paraId="3F557B9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7D4885CC">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注：供应商代表为法定代表人（单位负责人）的提供。供应商为自然人的无需提供。</w:t>
      </w:r>
    </w:p>
    <w:p w14:paraId="26AD862D">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51B27CEC">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1EA4E553">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14:paraId="764E5EEC">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1182E44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726F467B">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798B96AD">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637E0DE2">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供应商名称(盖单位公章)：</w:t>
      </w:r>
    </w:p>
    <w:p w14:paraId="1AA20F4C">
      <w:pPr>
        <w:keepNext w:val="0"/>
        <w:keepLines w:val="0"/>
        <w:pageBreakBefore w:val="0"/>
        <w:widowControl w:val="0"/>
        <w:kinsoku/>
        <w:wordWrap/>
        <w:overflowPunct w:val="0"/>
        <w:topLinePunct w:val="0"/>
        <w:autoSpaceDE/>
        <w:autoSpaceDN/>
        <w:bidi w:val="0"/>
        <w:adjustRightInd/>
        <w:snapToGrid/>
        <w:spacing w:afterAutospacing="0" w:line="480" w:lineRule="exact"/>
        <w:ind w:left="0" w:right="24"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14:paraId="419331D9">
      <w:pPr>
        <w:pageBreakBefore w:val="0"/>
        <w:widowControl w:val="0"/>
        <w:kinsoku/>
        <w:wordWrap/>
        <w:overflowPunct w:val="0"/>
        <w:bidi w:val="0"/>
        <w:spacing w:before="60" w:after="100" w:line="288" w:lineRule="atLeast"/>
        <w:ind w:left="136" w:right="24"/>
        <w:jc w:val="both"/>
        <w:textAlignment w:val="auto"/>
        <w:rPr>
          <w:rFonts w:hint="eastAsia" w:ascii="宋体" w:hAnsi="宋体" w:eastAsia="宋体" w:cs="宋体"/>
          <w:color w:val="auto"/>
          <w:szCs w:val="21"/>
        </w:rPr>
      </w:pPr>
    </w:p>
    <w:p w14:paraId="22485C69">
      <w:pPr>
        <w:pageBreakBefore w:val="0"/>
        <w:widowControl w:val="0"/>
        <w:kinsoku/>
        <w:wordWrap/>
        <w:overflowPunct w:val="0"/>
        <w:bidi w:val="0"/>
        <w:spacing w:before="100" w:beforeAutospacing="1" w:after="100" w:afterAutospacing="1"/>
        <w:jc w:val="both"/>
        <w:textAlignment w:val="auto"/>
        <w:outlineLvl w:val="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br w:type="page"/>
      </w:r>
      <w:bookmarkStart w:id="19" w:name="_Toc3028"/>
      <w:r>
        <w:rPr>
          <w:rFonts w:hint="eastAsia" w:ascii="宋体" w:hAnsi="宋体" w:eastAsia="宋体" w:cs="宋体"/>
          <w:b w:val="0"/>
          <w:bCs w:val="0"/>
          <w:color w:val="auto"/>
          <w:sz w:val="21"/>
          <w:szCs w:val="21"/>
        </w:rPr>
        <w:t>附件四</w:t>
      </w:r>
      <w:bookmarkEnd w:id="19"/>
    </w:p>
    <w:p w14:paraId="64E7D369">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firstLine="0"/>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授权委托书</w:t>
      </w:r>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rPr>
        <w:t>格式</w:t>
      </w:r>
      <w:r>
        <w:rPr>
          <w:rFonts w:hint="eastAsia" w:ascii="宋体" w:hAnsi="宋体" w:eastAsia="宋体" w:cs="宋体"/>
          <w:b/>
          <w:bCs/>
          <w:color w:val="auto"/>
          <w:sz w:val="36"/>
          <w:szCs w:val="36"/>
          <w:lang w:eastAsia="zh-CN"/>
        </w:rPr>
        <w:t>）</w:t>
      </w:r>
    </w:p>
    <w:p w14:paraId="46B1D187">
      <w:pPr>
        <w:pageBreakBefore w:val="0"/>
        <w:widowControl w:val="0"/>
        <w:kinsoku/>
        <w:wordWrap/>
        <w:overflowPunct w:val="0"/>
        <w:bidi w:val="0"/>
        <w:spacing w:before="60" w:after="100" w:line="336" w:lineRule="atLeast"/>
        <w:ind w:left="136"/>
        <w:jc w:val="both"/>
        <w:textAlignment w:val="auto"/>
        <w:rPr>
          <w:rFonts w:ascii="微软雅黑" w:hAnsi="微软雅黑" w:eastAsia="微软雅黑" w:cs="宋体"/>
          <w:color w:val="auto"/>
          <w:sz w:val="27"/>
          <w:szCs w:val="27"/>
        </w:rPr>
      </w:pPr>
      <w:r>
        <w:rPr>
          <w:rFonts w:hint="eastAsia" w:ascii="宋体" w:hAnsi="宋体" w:eastAsia="宋体" w:cs="宋体"/>
          <w:color w:val="auto"/>
          <w:sz w:val="19"/>
          <w:szCs w:val="19"/>
        </w:rPr>
        <w:t> </w:t>
      </w:r>
    </w:p>
    <w:p w14:paraId="2901852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本人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（姓名、职务）系</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 （供应商名称）的法定代表人（单位负责人），现授权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（姓名、职务）为我方代理人。代理人根据授权，以我方名义：签署、澄清、补正、修改、撤回、提交</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（项目名称、政府采购编号、采购代理编号）证明材料，其法律后果由我方承担。</w:t>
      </w:r>
    </w:p>
    <w:p w14:paraId="0412B51B">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委托期限：</w:t>
      </w:r>
      <w:r>
        <w:rPr>
          <w:rFonts w:hint="eastAsia" w:ascii="宋体" w:hAnsi="宋体" w:eastAsia="宋体" w:cs="宋体"/>
          <w:color w:val="auto"/>
          <w:spacing w:val="0"/>
          <w:sz w:val="24"/>
          <w:szCs w:val="24"/>
          <w:u w:val="single"/>
        </w:rPr>
        <w:t>                         </w:t>
      </w:r>
    </w:p>
    <w:p w14:paraId="7A544801">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代理人无转委托权。</w:t>
      </w:r>
    </w:p>
    <w:p w14:paraId="1F048B8C">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本授权书于</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日签字生效，特此声明。</w:t>
      </w:r>
    </w:p>
    <w:tbl>
      <w:tblPr>
        <w:tblStyle w:val="16"/>
        <w:tblW w:w="0" w:type="auto"/>
        <w:tblCellSpacing w:w="0" w:type="dxa"/>
        <w:tblInd w:w="812" w:type="dxa"/>
        <w:tblLayout w:type="autofit"/>
        <w:tblCellMar>
          <w:top w:w="15" w:type="dxa"/>
          <w:left w:w="15" w:type="dxa"/>
          <w:bottom w:w="15" w:type="dxa"/>
          <w:right w:w="15" w:type="dxa"/>
        </w:tblCellMar>
      </w:tblPr>
      <w:tblGrid>
        <w:gridCol w:w="3938"/>
        <w:gridCol w:w="3919"/>
      </w:tblGrid>
      <w:tr w14:paraId="1985FEA9">
        <w:tblPrEx>
          <w:tblCellMar>
            <w:top w:w="15" w:type="dxa"/>
            <w:left w:w="15" w:type="dxa"/>
            <w:bottom w:w="15" w:type="dxa"/>
            <w:right w:w="15" w:type="dxa"/>
          </w:tblCellMar>
        </w:tblPrEx>
        <w:trPr>
          <w:trHeight w:val="1265" w:hRule="atLeast"/>
          <w:tblCellSpacing w:w="0" w:type="dxa"/>
        </w:trPr>
        <w:tc>
          <w:tcPr>
            <w:tcW w:w="389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866FF0A">
            <w:pPr>
              <w:keepNext w:val="0"/>
              <w:keepLines w:val="0"/>
              <w:pageBreakBefore w:val="0"/>
              <w:widowControl w:val="0"/>
              <w:kinsoku/>
              <w:wordWrap/>
              <w:overflowPunct w:val="0"/>
              <w:topLinePunct w:val="0"/>
              <w:autoSpaceDE/>
              <w:autoSpaceDN/>
              <w:bidi w:val="0"/>
              <w:adjustRightInd/>
              <w:snapToGrid/>
              <w:spacing w:afterAutospacing="0" w:line="480" w:lineRule="exact"/>
              <w:jc w:val="both"/>
              <w:textAlignment w:val="auto"/>
              <w:rPr>
                <w:rFonts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授权人</w:t>
            </w:r>
            <w:r>
              <w:rPr>
                <w:rFonts w:hint="eastAsia" w:ascii="宋体" w:hAnsi="宋体" w:eastAsia="宋体" w:cs="宋体"/>
                <w:color w:val="auto"/>
                <w:spacing w:val="0"/>
                <w:sz w:val="24"/>
                <w:szCs w:val="24"/>
              </w:rPr>
              <w:t>身份证（正</w:t>
            </w:r>
            <w:r>
              <w:rPr>
                <w:rFonts w:hint="eastAsia" w:ascii="宋体" w:hAnsi="宋体" w:eastAsia="宋体" w:cs="宋体"/>
                <w:color w:val="auto"/>
                <w:spacing w:val="0"/>
                <w:sz w:val="24"/>
                <w:szCs w:val="24"/>
                <w:lang w:val="en-US" w:eastAsia="zh-CN"/>
              </w:rPr>
              <w:t>反</w:t>
            </w:r>
            <w:r>
              <w:rPr>
                <w:rFonts w:hint="eastAsia" w:ascii="宋体" w:hAnsi="宋体" w:eastAsia="宋体" w:cs="宋体"/>
                <w:color w:val="auto"/>
                <w:spacing w:val="0"/>
                <w:sz w:val="24"/>
                <w:szCs w:val="24"/>
              </w:rPr>
              <w:t>面）复印件</w:t>
            </w:r>
          </w:p>
        </w:tc>
        <w:tc>
          <w:tcPr>
            <w:tcW w:w="389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4748A58">
            <w:pPr>
              <w:keepNext w:val="0"/>
              <w:keepLines w:val="0"/>
              <w:pageBreakBefore w:val="0"/>
              <w:widowControl w:val="0"/>
              <w:kinsoku/>
              <w:wordWrap/>
              <w:overflowPunct w:val="0"/>
              <w:topLinePunct w:val="0"/>
              <w:autoSpaceDE/>
              <w:autoSpaceDN/>
              <w:bidi w:val="0"/>
              <w:adjustRightInd/>
              <w:snapToGrid/>
              <w:spacing w:afterAutospacing="0" w:line="480" w:lineRule="exact"/>
              <w:jc w:val="both"/>
              <w:textAlignment w:val="auto"/>
              <w:rPr>
                <w:rFonts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被授权人</w:t>
            </w:r>
            <w:r>
              <w:rPr>
                <w:rFonts w:hint="eastAsia" w:ascii="宋体" w:hAnsi="宋体" w:eastAsia="宋体" w:cs="宋体"/>
                <w:color w:val="auto"/>
                <w:spacing w:val="0"/>
                <w:sz w:val="24"/>
                <w:szCs w:val="24"/>
              </w:rPr>
              <w:t>身份证（</w:t>
            </w:r>
            <w:r>
              <w:rPr>
                <w:rFonts w:hint="eastAsia" w:ascii="宋体" w:hAnsi="宋体" w:eastAsia="宋体" w:cs="宋体"/>
                <w:color w:val="auto"/>
                <w:spacing w:val="0"/>
                <w:sz w:val="24"/>
                <w:szCs w:val="24"/>
                <w:lang w:val="en-US" w:eastAsia="zh-CN"/>
              </w:rPr>
              <w:t>正</w:t>
            </w:r>
            <w:r>
              <w:rPr>
                <w:rFonts w:hint="eastAsia" w:ascii="宋体" w:hAnsi="宋体" w:eastAsia="宋体" w:cs="宋体"/>
                <w:color w:val="auto"/>
                <w:spacing w:val="0"/>
                <w:sz w:val="24"/>
                <w:szCs w:val="24"/>
              </w:rPr>
              <w:t>反面）复印件</w:t>
            </w:r>
          </w:p>
        </w:tc>
      </w:tr>
    </w:tbl>
    <w:p w14:paraId="0005A8B2">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ascii="Calibri" w:hAnsi="Calibri" w:eastAsia="微软雅黑" w:cs="宋体"/>
          <w:color w:val="auto"/>
          <w:spacing w:val="0"/>
          <w:sz w:val="24"/>
          <w:szCs w:val="24"/>
        </w:rPr>
        <w:t> </w:t>
      </w:r>
    </w:p>
    <w:p w14:paraId="70C0D621">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 </w:t>
      </w:r>
    </w:p>
    <w:p w14:paraId="03F32225">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注：供应商代表不是供应商的法定代表人（单位负责人）的提供。供应商为自然人的无需提供。</w:t>
      </w:r>
    </w:p>
    <w:p w14:paraId="6FB69C2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14:paraId="14B17D46">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51E6D90A">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2F61377E">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1A6D824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hint="eastAsia" w:ascii="宋体" w:hAnsi="宋体" w:eastAsia="宋体" w:cs="宋体"/>
          <w:color w:val="auto"/>
          <w:spacing w:val="0"/>
          <w:sz w:val="24"/>
          <w:szCs w:val="24"/>
        </w:rPr>
      </w:pPr>
    </w:p>
    <w:p w14:paraId="7B7E2A67">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供应商名称(盖单位公章)：</w:t>
      </w:r>
    </w:p>
    <w:p w14:paraId="6280C688">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法定代表人（单位负责人）或其授权的代理人（签字或印章）：</w:t>
      </w:r>
      <w:r>
        <w:rPr>
          <w:rFonts w:hint="eastAsia" w:ascii="宋体" w:hAnsi="宋体" w:eastAsia="宋体" w:cs="宋体"/>
          <w:color w:val="auto"/>
          <w:spacing w:val="0"/>
          <w:sz w:val="24"/>
          <w:szCs w:val="24"/>
          <w:u w:val="single"/>
        </w:rPr>
        <w:t>        </w:t>
      </w:r>
    </w:p>
    <w:p w14:paraId="279DC1C4">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微软雅黑" w:hAnsi="微软雅黑" w:eastAsia="微软雅黑" w:cs="宋体"/>
          <w:color w:val="auto"/>
          <w:spacing w:val="0"/>
          <w:sz w:val="24"/>
          <w:szCs w:val="24"/>
        </w:rPr>
      </w:pPr>
      <w:r>
        <w:rPr>
          <w:rFonts w:hint="eastAsia" w:ascii="宋体" w:hAnsi="宋体" w:eastAsia="宋体" w:cs="宋体"/>
          <w:color w:val="auto"/>
          <w:spacing w:val="0"/>
          <w:sz w:val="24"/>
          <w:szCs w:val="24"/>
        </w:rPr>
        <w:t>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14:paraId="3864C240">
      <w:pPr>
        <w:keepNext w:val="0"/>
        <w:keepLines w:val="0"/>
        <w:pageBreakBefore w:val="0"/>
        <w:widowControl w:val="0"/>
        <w:kinsoku/>
        <w:wordWrap/>
        <w:overflowPunct w:val="0"/>
        <w:topLinePunct w:val="0"/>
        <w:autoSpaceDE/>
        <w:autoSpaceDN/>
        <w:bidi w:val="0"/>
        <w:adjustRightInd/>
        <w:snapToGrid/>
        <w:spacing w:afterAutospacing="0" w:line="480" w:lineRule="exact"/>
        <w:ind w:left="0" w:firstLine="480" w:firstLineChars="200"/>
        <w:jc w:val="both"/>
        <w:textAlignment w:val="auto"/>
        <w:rPr>
          <w:rFonts w:ascii="Times New Roman" w:hAnsi="Times New Roman" w:eastAsia="宋体" w:cs="Times New Roman"/>
          <w:color w:val="auto"/>
          <w:spacing w:val="0"/>
          <w:sz w:val="24"/>
          <w:szCs w:val="24"/>
        </w:rPr>
      </w:pPr>
    </w:p>
    <w:p w14:paraId="7F9D211A">
      <w:pPr>
        <w:pStyle w:val="2"/>
        <w:keepNext/>
        <w:keepLines w:val="0"/>
        <w:pageBreakBefore w:val="0"/>
        <w:widowControl w:val="0"/>
        <w:kinsoku/>
        <w:wordWrap/>
        <w:overflowPunct w:val="0"/>
        <w:topLinePunct w:val="0"/>
        <w:autoSpaceDE/>
        <w:autoSpaceDN/>
        <w:bidi w:val="0"/>
        <w:adjustRightInd/>
        <w:snapToGrid/>
        <w:jc w:val="center"/>
        <w:textAlignment w:val="auto"/>
        <w:rPr>
          <w:rFonts w:ascii="宋体" w:hAnsi="宋体" w:eastAsia="宋体" w:cs="宋体"/>
          <w:color w:val="auto"/>
          <w:kern w:val="1"/>
          <w:sz w:val="32"/>
          <w:szCs w:val="32"/>
          <w:lang w:val="zh-CN"/>
        </w:rPr>
      </w:pPr>
      <w:r>
        <w:rPr>
          <w:rFonts w:ascii="Times New Roman" w:hAnsi="Times New Roman" w:eastAsia="宋体" w:cs="Times New Roman"/>
          <w:color w:val="auto"/>
          <w:sz w:val="36"/>
          <w:szCs w:val="24"/>
        </w:rPr>
        <w:br w:type="page"/>
      </w:r>
      <w:bookmarkStart w:id="20" w:name="_Toc20028"/>
      <w:bookmarkStart w:id="21" w:name="_Toc8576"/>
      <w:r>
        <w:rPr>
          <w:rFonts w:hint="eastAsia" w:ascii="宋体" w:hAnsi="宋体" w:eastAsia="宋体" w:cs="宋体"/>
          <w:color w:val="auto"/>
          <w:kern w:val="1"/>
          <w:sz w:val="32"/>
          <w:szCs w:val="32"/>
          <w:lang w:val="zh-CN"/>
        </w:rPr>
        <w:t xml:space="preserve">第二章 </w:t>
      </w:r>
      <w:r>
        <w:rPr>
          <w:rFonts w:hint="eastAsia" w:ascii="宋体" w:hAnsi="宋体" w:eastAsia="宋体" w:cs="宋体"/>
          <w:color w:val="auto"/>
          <w:kern w:val="1"/>
          <w:sz w:val="32"/>
          <w:szCs w:val="32"/>
          <w:lang w:val="en-US" w:eastAsia="zh-CN"/>
        </w:rPr>
        <w:t xml:space="preserve"> </w:t>
      </w:r>
      <w:r>
        <w:rPr>
          <w:rFonts w:hint="eastAsia" w:ascii="宋体" w:hAnsi="宋体" w:eastAsia="宋体" w:cs="宋体"/>
          <w:color w:val="auto"/>
          <w:kern w:val="1"/>
          <w:sz w:val="32"/>
          <w:szCs w:val="32"/>
          <w:lang w:val="zh-CN"/>
        </w:rPr>
        <w:t>磋商须知</w:t>
      </w:r>
      <w:bookmarkEnd w:id="20"/>
      <w:bookmarkEnd w:id="21"/>
    </w:p>
    <w:p w14:paraId="4B27CBF2">
      <w:pPr>
        <w:pStyle w:val="7"/>
        <w:pageBreakBefore w:val="0"/>
        <w:widowControl w:val="0"/>
        <w:kinsoku/>
        <w:wordWrap/>
        <w:overflowPunct w:val="0"/>
        <w:bidi w:val="0"/>
        <w:jc w:val="center"/>
        <w:textAlignment w:val="auto"/>
        <w:outlineLvl w:val="1"/>
        <w:rPr>
          <w:rFonts w:eastAsia="宋体" w:cs="宋体"/>
          <w:b/>
          <w:color w:val="auto"/>
          <w:sz w:val="24"/>
          <w:szCs w:val="24"/>
        </w:rPr>
      </w:pPr>
      <w:bookmarkStart w:id="22" w:name="_Toc26046"/>
      <w:r>
        <w:rPr>
          <w:rFonts w:hint="eastAsia" w:eastAsia="宋体" w:cs="宋体"/>
          <w:b/>
          <w:color w:val="auto"/>
          <w:sz w:val="24"/>
          <w:szCs w:val="24"/>
        </w:rPr>
        <w:t>磋商须知前附表</w:t>
      </w:r>
      <w:bookmarkEnd w:id="22"/>
    </w:p>
    <w:p w14:paraId="73CDD002">
      <w:pPr>
        <w:pStyle w:val="7"/>
        <w:pageBreakBefore w:val="0"/>
        <w:widowControl w:val="0"/>
        <w:kinsoku/>
        <w:wordWrap/>
        <w:overflowPunct w:val="0"/>
        <w:bidi w:val="0"/>
        <w:jc w:val="both"/>
        <w:textAlignment w:val="auto"/>
        <w:rPr>
          <w:rFonts w:eastAsia="宋体" w:cs="宋体"/>
          <w:color w:val="auto"/>
        </w:rPr>
      </w:pPr>
      <w:r>
        <w:rPr>
          <w:rFonts w:hint="eastAsia" w:eastAsia="宋体" w:cs="宋体"/>
          <w:color w:val="auto"/>
        </w:rPr>
        <w:t>注： 请在方框□内划√选择，在“条款号”内限选一项。（本项目采用的条款用“■”标示）</w:t>
      </w:r>
    </w:p>
    <w:tbl>
      <w:tblPr>
        <w:tblStyle w:val="16"/>
        <w:tblW w:w="87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2"/>
        <w:gridCol w:w="1791"/>
        <w:gridCol w:w="5133"/>
      </w:tblGrid>
      <w:tr w14:paraId="7572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blHeader/>
        </w:trPr>
        <w:tc>
          <w:tcPr>
            <w:tcW w:w="1832" w:type="dxa"/>
            <w:noWrap w:val="0"/>
            <w:vAlign w:val="center"/>
          </w:tcPr>
          <w:p w14:paraId="6BC1C7EB">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条款号</w:t>
            </w:r>
          </w:p>
        </w:tc>
        <w:tc>
          <w:tcPr>
            <w:tcW w:w="1791" w:type="dxa"/>
            <w:noWrap w:val="0"/>
            <w:vAlign w:val="center"/>
          </w:tcPr>
          <w:p w14:paraId="0D7037D0">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条款名称</w:t>
            </w:r>
          </w:p>
        </w:tc>
        <w:tc>
          <w:tcPr>
            <w:tcW w:w="5133" w:type="dxa"/>
            <w:noWrap w:val="0"/>
            <w:vAlign w:val="center"/>
          </w:tcPr>
          <w:p w14:paraId="293FCE38">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编列内容规定</w:t>
            </w:r>
          </w:p>
        </w:tc>
      </w:tr>
      <w:tr w14:paraId="6714B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56" w:type="dxa"/>
            <w:gridSpan w:val="3"/>
            <w:noWrap w:val="0"/>
            <w:vAlign w:val="center"/>
          </w:tcPr>
          <w:p w14:paraId="5ECD3F12">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b/>
                <w:color w:val="auto"/>
                <w:kern w:val="1"/>
                <w:sz w:val="21"/>
                <w:szCs w:val="21"/>
              </w:rPr>
              <w:t>一、说明</w:t>
            </w:r>
          </w:p>
        </w:tc>
      </w:tr>
      <w:tr w14:paraId="5009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832" w:type="dxa"/>
            <w:noWrap w:val="0"/>
            <w:vAlign w:val="center"/>
          </w:tcPr>
          <w:p w14:paraId="2B486C56">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第二章第1.1款</w:t>
            </w:r>
          </w:p>
        </w:tc>
        <w:tc>
          <w:tcPr>
            <w:tcW w:w="1791" w:type="dxa"/>
            <w:noWrap w:val="0"/>
            <w:vAlign w:val="center"/>
          </w:tcPr>
          <w:p w14:paraId="3269C969">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采购项目</w:t>
            </w:r>
          </w:p>
        </w:tc>
        <w:tc>
          <w:tcPr>
            <w:tcW w:w="5133" w:type="dxa"/>
            <w:noWrap w:val="0"/>
            <w:vAlign w:val="center"/>
          </w:tcPr>
          <w:p w14:paraId="53F4CD91">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cs="宋体"/>
                <w:color w:val="auto"/>
                <w:kern w:val="1"/>
                <w:sz w:val="21"/>
                <w:szCs w:val="21"/>
                <w:lang w:eastAsia="zh-CN"/>
              </w:rPr>
              <w:t>慈利一中图书馆维修改造项目</w:t>
            </w:r>
            <w:r>
              <w:rPr>
                <w:rFonts w:hint="eastAsia" w:ascii="宋体" w:hAnsi="宋体" w:eastAsia="宋体" w:cs="宋体"/>
                <w:color w:val="auto"/>
                <w:kern w:val="1"/>
                <w:sz w:val="21"/>
                <w:szCs w:val="21"/>
              </w:rPr>
              <w:t xml:space="preserve"> </w:t>
            </w:r>
          </w:p>
        </w:tc>
      </w:tr>
      <w:tr w14:paraId="0C41C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trPr>
        <w:tc>
          <w:tcPr>
            <w:tcW w:w="1832" w:type="dxa"/>
            <w:noWrap w:val="0"/>
            <w:vAlign w:val="center"/>
          </w:tcPr>
          <w:p w14:paraId="2CD491D2">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第二章第2.1</w:t>
            </w:r>
            <w:r>
              <w:rPr>
                <w:rFonts w:hint="eastAsia" w:ascii="宋体" w:hAnsi="宋体" w:eastAsia="宋体" w:cs="宋体"/>
                <w:color w:val="auto"/>
                <w:sz w:val="21"/>
                <w:szCs w:val="21"/>
                <w:lang w:val="zh-CN"/>
              </w:rPr>
              <w:t>款</w:t>
            </w:r>
          </w:p>
        </w:tc>
        <w:tc>
          <w:tcPr>
            <w:tcW w:w="1791" w:type="dxa"/>
            <w:noWrap w:val="0"/>
            <w:vAlign w:val="center"/>
          </w:tcPr>
          <w:p w14:paraId="67B98D5D">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5133" w:type="dxa"/>
            <w:noWrap w:val="0"/>
            <w:vAlign w:val="center"/>
          </w:tcPr>
          <w:p w14:paraId="1C329929">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w:t>
            </w:r>
            <w:r>
              <w:rPr>
                <w:rFonts w:hint="eastAsia" w:ascii="宋体" w:hAnsi="宋体" w:cs="宋体"/>
                <w:color w:val="auto"/>
                <w:sz w:val="21"/>
                <w:szCs w:val="21"/>
                <w:lang w:eastAsia="zh-CN"/>
              </w:rPr>
              <w:t>慈利县第一中学</w:t>
            </w:r>
            <w:r>
              <w:rPr>
                <w:rFonts w:hint="eastAsia" w:ascii="宋体" w:hAnsi="宋体" w:eastAsia="宋体" w:cs="宋体"/>
                <w:color w:val="auto"/>
                <w:sz w:val="21"/>
                <w:szCs w:val="21"/>
              </w:rPr>
              <w:t xml:space="preserve"> </w:t>
            </w:r>
          </w:p>
          <w:p w14:paraId="3841B03F">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慈利县</w:t>
            </w:r>
            <w:r>
              <w:rPr>
                <w:rFonts w:hint="eastAsia" w:ascii="宋体" w:hAnsi="宋体" w:cs="宋体"/>
                <w:color w:val="auto"/>
                <w:sz w:val="21"/>
                <w:szCs w:val="21"/>
                <w:lang w:val="en-US" w:eastAsia="zh-CN"/>
              </w:rPr>
              <w:t>零阳中路</w:t>
            </w:r>
          </w:p>
          <w:p w14:paraId="08DFB2F9">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cs="宋体"/>
                <w:color w:val="auto"/>
                <w:sz w:val="21"/>
                <w:szCs w:val="21"/>
                <w:lang w:val="en-US" w:eastAsia="zh-CN"/>
              </w:rPr>
              <w:t>戴</w:t>
            </w:r>
            <w:r>
              <w:rPr>
                <w:rFonts w:hint="eastAsia" w:ascii="宋体" w:hAnsi="宋体" w:eastAsia="宋体" w:cs="宋体"/>
                <w:color w:val="auto"/>
                <w:sz w:val="21"/>
                <w:szCs w:val="21"/>
                <w:lang w:eastAsia="zh-CN"/>
              </w:rPr>
              <w:t>先生</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sz w:val="21"/>
                <w:szCs w:val="21"/>
              </w:rPr>
              <w:t xml:space="preserve"> </w:t>
            </w:r>
          </w:p>
          <w:p w14:paraId="7C8DDFFA">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联系电话：</w:t>
            </w:r>
            <w:r>
              <w:rPr>
                <w:rFonts w:hint="eastAsia" w:ascii="宋体" w:hAnsi="宋体" w:cs="宋体"/>
                <w:color w:val="auto"/>
                <w:sz w:val="21"/>
                <w:szCs w:val="21"/>
                <w:lang w:val="en-US" w:eastAsia="zh-CN"/>
              </w:rPr>
              <w:t>13974443646</w:t>
            </w:r>
            <w:r>
              <w:rPr>
                <w:rFonts w:hint="eastAsia" w:ascii="宋体" w:hAnsi="宋体" w:eastAsia="宋体" w:cs="宋体"/>
                <w:color w:val="auto"/>
                <w:kern w:val="2"/>
                <w:sz w:val="21"/>
                <w:szCs w:val="21"/>
                <w:lang w:val="en-US" w:eastAsia="zh-CN"/>
              </w:rPr>
              <w:t xml:space="preserve">  </w:t>
            </w:r>
          </w:p>
        </w:tc>
      </w:tr>
      <w:tr w14:paraId="0B0B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atLeast"/>
        </w:trPr>
        <w:tc>
          <w:tcPr>
            <w:tcW w:w="1832" w:type="dxa"/>
            <w:noWrap w:val="0"/>
            <w:vAlign w:val="center"/>
          </w:tcPr>
          <w:p w14:paraId="576CCC85">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第二章第2.2</w:t>
            </w:r>
            <w:r>
              <w:rPr>
                <w:rFonts w:hint="eastAsia" w:ascii="宋体" w:hAnsi="宋体" w:eastAsia="宋体" w:cs="宋体"/>
                <w:color w:val="auto"/>
                <w:sz w:val="21"/>
                <w:szCs w:val="21"/>
                <w:lang w:val="zh-CN"/>
              </w:rPr>
              <w:t>款</w:t>
            </w:r>
          </w:p>
        </w:tc>
        <w:tc>
          <w:tcPr>
            <w:tcW w:w="1791" w:type="dxa"/>
            <w:noWrap w:val="0"/>
            <w:vAlign w:val="center"/>
          </w:tcPr>
          <w:p w14:paraId="311790F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w:t>
            </w:r>
          </w:p>
        </w:tc>
        <w:tc>
          <w:tcPr>
            <w:tcW w:w="5133" w:type="dxa"/>
            <w:noWrap w:val="0"/>
            <w:vAlign w:val="center"/>
          </w:tcPr>
          <w:p w14:paraId="02BE729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r>
              <w:rPr>
                <w:rFonts w:hint="eastAsia" w:ascii="宋体" w:hAnsi="宋体" w:eastAsia="宋体" w:cs="宋体"/>
                <w:color w:val="auto"/>
                <w:sz w:val="21"/>
                <w:szCs w:val="21"/>
                <w:lang w:eastAsia="zh-CN"/>
              </w:rPr>
              <w:t>湖南涛鑫咨询有限公司</w:t>
            </w:r>
            <w:r>
              <w:rPr>
                <w:rFonts w:hint="eastAsia" w:ascii="宋体" w:hAnsi="宋体" w:eastAsia="宋体" w:cs="宋体"/>
                <w:color w:val="auto"/>
                <w:sz w:val="21"/>
                <w:szCs w:val="21"/>
              </w:rPr>
              <w:t xml:space="preserve">  </w:t>
            </w:r>
          </w:p>
          <w:p w14:paraId="25071853">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慈利县零阳街道笔架东路2栋121-131</w:t>
            </w:r>
          </w:p>
          <w:p w14:paraId="16E7C228">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（印象管家二楼）</w:t>
            </w:r>
          </w:p>
          <w:p w14:paraId="2A6BE2C4">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 系 人：</w:t>
            </w:r>
            <w:r>
              <w:rPr>
                <w:rFonts w:hint="eastAsia" w:ascii="宋体" w:hAnsi="宋体" w:eastAsia="宋体" w:cs="宋体"/>
                <w:color w:val="auto"/>
                <w:sz w:val="21"/>
                <w:szCs w:val="21"/>
                <w:lang w:val="en-US" w:eastAsia="zh-CN"/>
              </w:rPr>
              <w:t>袁</w:t>
            </w:r>
            <w:r>
              <w:rPr>
                <w:rFonts w:hint="eastAsia" w:ascii="宋体" w:hAnsi="宋体" w:eastAsia="宋体" w:cs="宋体"/>
                <w:color w:val="auto"/>
                <w:sz w:val="21"/>
                <w:szCs w:val="21"/>
              </w:rPr>
              <w:t xml:space="preserve">先生 </w:t>
            </w:r>
          </w:p>
          <w:p w14:paraId="377FE981">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    话：</w:t>
            </w:r>
            <w:r>
              <w:rPr>
                <w:rFonts w:hint="eastAsia" w:ascii="宋体" w:hAnsi="宋体" w:eastAsia="宋体" w:cs="宋体"/>
                <w:color w:val="auto"/>
                <w:sz w:val="21"/>
                <w:szCs w:val="21"/>
                <w:lang w:eastAsia="zh-CN"/>
              </w:rPr>
              <w:t>13762188610</w:t>
            </w:r>
          </w:p>
        </w:tc>
      </w:tr>
      <w:tr w14:paraId="40082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2" w:type="dxa"/>
            <w:vMerge w:val="restart"/>
            <w:noWrap w:val="0"/>
            <w:vAlign w:val="center"/>
          </w:tcPr>
          <w:p w14:paraId="085F63E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第二章第2.3款</w:t>
            </w:r>
          </w:p>
        </w:tc>
        <w:tc>
          <w:tcPr>
            <w:tcW w:w="1791" w:type="dxa"/>
            <w:noWrap w:val="0"/>
            <w:vAlign w:val="center"/>
          </w:tcPr>
          <w:p w14:paraId="6F4F8313">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供应商的邀请方式</w:t>
            </w:r>
          </w:p>
        </w:tc>
        <w:tc>
          <w:tcPr>
            <w:tcW w:w="5133" w:type="dxa"/>
            <w:noWrap w:val="0"/>
            <w:vAlign w:val="center"/>
          </w:tcPr>
          <w:p w14:paraId="161C406A">
            <w:pPr>
              <w:pStyle w:val="13"/>
              <w:keepNext w:val="0"/>
              <w:keepLines w:val="0"/>
              <w:pageBreakBefore w:val="0"/>
              <w:widowControl w:val="0"/>
              <w:kinsoku/>
              <w:wordWrap/>
              <w:overflowPunct w:val="0"/>
              <w:topLinePunct w:val="0"/>
              <w:bidi w:val="0"/>
              <w:adjustRightInd w:val="0"/>
              <w:snapToGrid w:val="0"/>
              <w:spacing w:before="0" w:beforeAutospacing="0" w:after="0" w:afterAutospacing="0"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■发布公告</w:t>
            </w:r>
          </w:p>
          <w:p w14:paraId="1123BC45">
            <w:pPr>
              <w:pStyle w:val="13"/>
              <w:keepNext w:val="0"/>
              <w:keepLines w:val="0"/>
              <w:pageBreakBefore w:val="0"/>
              <w:widowControl w:val="0"/>
              <w:kinsoku/>
              <w:wordWrap/>
              <w:overflowPunct w:val="0"/>
              <w:topLinePunct w:val="0"/>
              <w:bidi w:val="0"/>
              <w:adjustRightInd w:val="0"/>
              <w:snapToGrid w:val="0"/>
              <w:spacing w:before="0" w:beforeAutospacing="0" w:after="0" w:afterAutospacing="0"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□从省级以上财政部门建立的供应商库中随机抽取</w:t>
            </w:r>
          </w:p>
          <w:p w14:paraId="74D8E3BA">
            <w:pPr>
              <w:pStyle w:val="13"/>
              <w:keepNext w:val="0"/>
              <w:keepLines w:val="0"/>
              <w:pageBreakBefore w:val="0"/>
              <w:widowControl w:val="0"/>
              <w:kinsoku/>
              <w:wordWrap/>
              <w:overflowPunct w:val="0"/>
              <w:topLinePunct w:val="0"/>
              <w:bidi w:val="0"/>
              <w:adjustRightInd w:val="0"/>
              <w:snapToGrid w:val="0"/>
              <w:spacing w:before="0" w:beforeAutospacing="0" w:after="0" w:afterAutospacing="0"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□采购人和评审专家分别书面推荐的方式</w:t>
            </w:r>
          </w:p>
        </w:tc>
      </w:tr>
      <w:tr w14:paraId="1E4A0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trPr>
        <w:tc>
          <w:tcPr>
            <w:tcW w:w="1832" w:type="dxa"/>
            <w:vMerge w:val="continue"/>
            <w:noWrap w:val="0"/>
            <w:vAlign w:val="center"/>
          </w:tcPr>
          <w:p w14:paraId="55549EE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p>
        </w:tc>
        <w:tc>
          <w:tcPr>
            <w:tcW w:w="1791" w:type="dxa"/>
            <w:noWrap w:val="0"/>
            <w:vAlign w:val="center"/>
          </w:tcPr>
          <w:p w14:paraId="39441A35">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购买磋商文件时应提供的资料</w:t>
            </w:r>
          </w:p>
        </w:tc>
        <w:tc>
          <w:tcPr>
            <w:tcW w:w="5133" w:type="dxa"/>
            <w:noWrap w:val="0"/>
            <w:vAlign w:val="center"/>
          </w:tcPr>
          <w:p w14:paraId="5DA42030">
            <w:pPr>
              <w:keepNext w:val="0"/>
              <w:keepLines w:val="0"/>
              <w:pageBreakBefore w:val="0"/>
              <w:widowControl w:val="0"/>
              <w:kinsoku/>
              <w:wordWrap/>
              <w:overflowPunct w:val="0"/>
              <w:topLinePunct w:val="0"/>
              <w:autoSpaceDE/>
              <w:autoSpaceDN/>
              <w:bidi w:val="0"/>
              <w:spacing w:beforeAutospacing="0" w:afterAutospacing="0" w:line="32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①法定代表人身份证明原件或者授权委托书原件并附法定代表人身份证明原件；</w:t>
            </w:r>
          </w:p>
          <w:p w14:paraId="098A0867">
            <w:pPr>
              <w:keepNext w:val="0"/>
              <w:keepLines w:val="0"/>
              <w:pageBreakBefore w:val="0"/>
              <w:widowControl w:val="0"/>
              <w:kinsoku/>
              <w:wordWrap/>
              <w:overflowPunct w:val="0"/>
              <w:topLinePunct w:val="0"/>
              <w:autoSpaceDE/>
              <w:autoSpaceDN/>
              <w:bidi w:val="0"/>
              <w:spacing w:beforeAutospacing="0" w:afterAutospacing="0" w:line="32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②湖南省政府采购供应商资格承诺函原件，格式见附件一；</w:t>
            </w:r>
          </w:p>
          <w:p w14:paraId="68D71515">
            <w:pPr>
              <w:keepNext w:val="0"/>
              <w:keepLines w:val="0"/>
              <w:pageBreakBefore w:val="0"/>
              <w:widowControl w:val="0"/>
              <w:kinsoku/>
              <w:wordWrap/>
              <w:overflowPunct w:val="0"/>
              <w:topLinePunct w:val="0"/>
              <w:autoSpaceDE/>
              <w:autoSpaceDN/>
              <w:bidi w:val="0"/>
              <w:spacing w:beforeAutospacing="0" w:afterAutospacing="0" w:line="32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③供应商资格声明(格式)原件，格式见附件二；</w:t>
            </w:r>
          </w:p>
          <w:p w14:paraId="14DEEFC0">
            <w:pPr>
              <w:keepNext w:val="0"/>
              <w:keepLines w:val="0"/>
              <w:pageBreakBefore w:val="0"/>
              <w:widowControl w:val="0"/>
              <w:kinsoku/>
              <w:wordWrap/>
              <w:overflowPunct w:val="0"/>
              <w:topLinePunct w:val="0"/>
              <w:autoSpaceDE/>
              <w:autoSpaceDN/>
              <w:bidi w:val="0"/>
              <w:spacing w:beforeAutospacing="0" w:afterAutospacing="0" w:line="32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④营业执照复印件加盖公章；</w:t>
            </w:r>
          </w:p>
          <w:p w14:paraId="6CF5F9F3">
            <w:pPr>
              <w:keepNext w:val="0"/>
              <w:keepLines w:val="0"/>
              <w:pageBreakBefore w:val="0"/>
              <w:widowControl w:val="0"/>
              <w:kinsoku/>
              <w:wordWrap/>
              <w:overflowPunct w:val="0"/>
              <w:topLinePunct w:val="0"/>
              <w:autoSpaceDE/>
              <w:autoSpaceDN/>
              <w:bidi w:val="0"/>
              <w:spacing w:beforeAutospacing="0" w:afterAutospacing="0" w:line="32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⑤符合特定资格条件证明材料复印件或者情况说明。</w:t>
            </w:r>
          </w:p>
          <w:p w14:paraId="2B135023">
            <w:pPr>
              <w:keepNext w:val="0"/>
              <w:keepLines w:val="0"/>
              <w:pageBreakBefore w:val="0"/>
              <w:widowControl w:val="0"/>
              <w:kinsoku/>
              <w:wordWrap/>
              <w:overflowPunct w:val="0"/>
              <w:topLinePunct w:val="0"/>
              <w:autoSpaceDE/>
              <w:autoSpaceDN/>
              <w:bidi w:val="0"/>
              <w:adjustRightInd w:val="0"/>
              <w:snapToGrid w:val="0"/>
              <w:spacing w:line="32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（资料需逐页加盖供应商单位公章，装订成册，一式</w:t>
            </w:r>
            <w:r>
              <w:rPr>
                <w:rFonts w:hint="eastAsia" w:ascii="宋体" w:hAnsi="宋体" w:eastAsia="宋体" w:cs="宋体"/>
                <w:color w:val="auto"/>
                <w:kern w:val="0"/>
                <w:sz w:val="21"/>
                <w:szCs w:val="21"/>
                <w:lang w:val="en-US" w:eastAsia="zh-CN"/>
              </w:rPr>
              <w:t>肆</w:t>
            </w:r>
            <w:r>
              <w:rPr>
                <w:rFonts w:hint="eastAsia" w:ascii="宋体" w:hAnsi="宋体" w:eastAsia="宋体" w:cs="宋体"/>
                <w:color w:val="auto"/>
                <w:kern w:val="0"/>
                <w:sz w:val="21"/>
                <w:szCs w:val="21"/>
              </w:rPr>
              <w:t>份。所有证明材料内容需清晰可见，否则视为无效证明材料）。</w:t>
            </w:r>
          </w:p>
        </w:tc>
      </w:tr>
      <w:tr w14:paraId="4C4B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trPr>
        <w:tc>
          <w:tcPr>
            <w:tcW w:w="1832" w:type="dxa"/>
            <w:noWrap w:val="0"/>
            <w:vAlign w:val="center"/>
          </w:tcPr>
          <w:p w14:paraId="7A621CF8">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第二章第2.4款</w:t>
            </w:r>
          </w:p>
        </w:tc>
        <w:tc>
          <w:tcPr>
            <w:tcW w:w="1791" w:type="dxa"/>
            <w:noWrap w:val="0"/>
            <w:vAlign w:val="center"/>
          </w:tcPr>
          <w:p w14:paraId="10ED8336">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磋商小组的组成</w:t>
            </w:r>
          </w:p>
        </w:tc>
        <w:tc>
          <w:tcPr>
            <w:tcW w:w="5133" w:type="dxa"/>
            <w:noWrap w:val="0"/>
            <w:vAlign w:val="center"/>
          </w:tcPr>
          <w:p w14:paraId="03E1EFAE">
            <w:pPr>
              <w:keepNext w:val="0"/>
              <w:keepLines w:val="0"/>
              <w:pageBreakBefore w:val="0"/>
              <w:widowControl w:val="0"/>
              <w:kinsoku/>
              <w:wordWrap/>
              <w:overflowPunct w:val="0"/>
              <w:topLinePunct w:val="0"/>
              <w:autoSpaceDE/>
              <w:autoSpaceDN/>
              <w:bidi w:val="0"/>
              <w:adjustRightInd w:val="0"/>
              <w:snapToGrid w:val="0"/>
              <w:spacing w:line="32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磋商小组由3人以上单数组成，其中业主评委</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人，其他从政府评标专家库中随机抽取产生。</w:t>
            </w:r>
          </w:p>
        </w:tc>
      </w:tr>
      <w:tr w14:paraId="0597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832" w:type="dxa"/>
            <w:noWrap w:val="0"/>
            <w:vAlign w:val="center"/>
          </w:tcPr>
          <w:p w14:paraId="20D3ADB2">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款</w:t>
            </w:r>
          </w:p>
        </w:tc>
        <w:tc>
          <w:tcPr>
            <w:tcW w:w="1791" w:type="dxa"/>
            <w:noWrap w:val="0"/>
            <w:vAlign w:val="center"/>
          </w:tcPr>
          <w:p w14:paraId="41A55F1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采购方式</w:t>
            </w:r>
          </w:p>
        </w:tc>
        <w:tc>
          <w:tcPr>
            <w:tcW w:w="5133" w:type="dxa"/>
            <w:noWrap w:val="0"/>
            <w:vAlign w:val="center"/>
          </w:tcPr>
          <w:p w14:paraId="0B3F0473">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竞争性磋商的方式</w:t>
            </w:r>
          </w:p>
        </w:tc>
      </w:tr>
      <w:tr w14:paraId="042A9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trPr>
        <w:tc>
          <w:tcPr>
            <w:tcW w:w="1832" w:type="dxa"/>
            <w:noWrap w:val="0"/>
            <w:vAlign w:val="center"/>
          </w:tcPr>
          <w:p w14:paraId="5EEE24C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第二章第3.1</w:t>
            </w:r>
            <w:r>
              <w:rPr>
                <w:rFonts w:hint="eastAsia" w:ascii="宋体" w:hAnsi="宋体" w:eastAsia="宋体" w:cs="宋体"/>
                <w:color w:val="auto"/>
                <w:sz w:val="21"/>
                <w:szCs w:val="21"/>
                <w:lang w:val="zh-CN"/>
              </w:rPr>
              <w:t>款</w:t>
            </w:r>
          </w:p>
        </w:tc>
        <w:tc>
          <w:tcPr>
            <w:tcW w:w="1791" w:type="dxa"/>
            <w:noWrap w:val="0"/>
            <w:vAlign w:val="center"/>
          </w:tcPr>
          <w:p w14:paraId="35F75968">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供应商</w:t>
            </w:r>
            <w:r>
              <w:rPr>
                <w:rFonts w:hint="eastAsia" w:ascii="宋体" w:hAnsi="宋体" w:eastAsia="宋体" w:cs="宋体"/>
                <w:color w:val="auto"/>
                <w:sz w:val="21"/>
                <w:szCs w:val="21"/>
              </w:rPr>
              <w:t>资格条件</w:t>
            </w:r>
          </w:p>
        </w:tc>
        <w:tc>
          <w:tcPr>
            <w:tcW w:w="5133" w:type="dxa"/>
            <w:noWrap w:val="0"/>
            <w:vAlign w:val="center"/>
          </w:tcPr>
          <w:p w14:paraId="117FC6AC">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1、满足《中华人民共和国政府采购法》第二十二条规定；</w:t>
            </w:r>
          </w:p>
          <w:p w14:paraId="02DB0F01">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2、落实政府采购政策需满足的资格要求：</w:t>
            </w:r>
          </w:p>
          <w:p w14:paraId="2F4D1F05">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iCs/>
                <w:color w:val="auto"/>
                <w:kern w:val="0"/>
                <w:sz w:val="21"/>
                <w:szCs w:val="21"/>
              </w:rPr>
              <w:sym w:font="Wingdings" w:char="00FE"/>
            </w:r>
            <w:r>
              <w:rPr>
                <w:rFonts w:hint="eastAsia" w:ascii="宋体" w:hAnsi="宋体" w:eastAsia="宋体" w:cs="宋体"/>
                <w:color w:val="auto"/>
                <w:kern w:val="0"/>
                <w:sz w:val="21"/>
                <w:szCs w:val="21"/>
              </w:rPr>
              <w:t>专门面向：</w:t>
            </w:r>
            <w:r>
              <w:rPr>
                <w:rFonts w:hint="eastAsia" w:ascii="宋体" w:hAnsi="宋体" w:eastAsia="宋体" w:cs="宋体"/>
                <w:iCs/>
                <w:color w:val="auto"/>
                <w:kern w:val="0"/>
                <w:sz w:val="21"/>
                <w:szCs w:val="21"/>
              </w:rPr>
              <w:sym w:font="Wingdings" w:char="00FE"/>
            </w:r>
            <w:r>
              <w:rPr>
                <w:rFonts w:hint="eastAsia" w:ascii="宋体" w:hAnsi="宋体" w:eastAsia="宋体" w:cs="宋体"/>
                <w:color w:val="auto"/>
                <w:kern w:val="0"/>
                <w:sz w:val="21"/>
                <w:szCs w:val="21"/>
              </w:rPr>
              <w:t>中小企业  </w:t>
            </w:r>
            <w:r>
              <w:rPr>
                <w:rFonts w:hint="eastAsia" w:ascii="宋体" w:hAnsi="宋体" w:eastAsia="宋体" w:cs="宋体"/>
                <w:iCs/>
                <w:color w:val="auto"/>
                <w:kern w:val="0"/>
                <w:sz w:val="21"/>
                <w:szCs w:val="21"/>
              </w:rPr>
              <w:sym w:font="Wingdings" w:char="00FE"/>
            </w:r>
            <w:r>
              <w:rPr>
                <w:rFonts w:hint="eastAsia" w:ascii="宋体" w:hAnsi="宋体" w:eastAsia="宋体" w:cs="宋体"/>
                <w:color w:val="auto"/>
                <w:kern w:val="0"/>
                <w:sz w:val="21"/>
                <w:szCs w:val="21"/>
              </w:rPr>
              <w:t>小微企业 </w:t>
            </w:r>
            <w:r>
              <w:rPr>
                <w:rFonts w:hint="eastAsia" w:ascii="宋体" w:hAnsi="宋体" w:eastAsia="宋体" w:cs="宋体"/>
                <w:iCs/>
                <w:color w:val="auto"/>
                <w:kern w:val="0"/>
                <w:sz w:val="21"/>
                <w:szCs w:val="21"/>
              </w:rPr>
              <w:sym w:font="Wingdings" w:char="00A8"/>
            </w:r>
            <w:r>
              <w:rPr>
                <w:rFonts w:hint="eastAsia" w:ascii="宋体" w:hAnsi="宋体" w:eastAsia="宋体" w:cs="宋体"/>
                <w:color w:val="auto"/>
                <w:kern w:val="0"/>
                <w:sz w:val="21"/>
                <w:szCs w:val="21"/>
              </w:rPr>
              <w:t>监狱企业 </w:t>
            </w:r>
            <w:r>
              <w:rPr>
                <w:rFonts w:hint="eastAsia" w:ascii="宋体" w:hAnsi="宋体" w:eastAsia="宋体" w:cs="宋体"/>
                <w:iCs/>
                <w:color w:val="auto"/>
                <w:kern w:val="0"/>
                <w:sz w:val="21"/>
                <w:szCs w:val="21"/>
              </w:rPr>
              <w:sym w:font="Wingdings" w:char="00A8"/>
            </w:r>
            <w:r>
              <w:rPr>
                <w:rFonts w:hint="eastAsia" w:ascii="宋体" w:hAnsi="宋体" w:eastAsia="宋体" w:cs="宋体"/>
                <w:color w:val="auto"/>
                <w:kern w:val="0"/>
                <w:sz w:val="21"/>
                <w:szCs w:val="21"/>
              </w:rPr>
              <w:t>福利性单位。</w:t>
            </w:r>
          </w:p>
          <w:p w14:paraId="16032A8B">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iCs/>
                <w:color w:val="auto"/>
                <w:kern w:val="0"/>
                <w:sz w:val="21"/>
                <w:szCs w:val="21"/>
              </w:rPr>
              <w:sym w:font="Wingdings" w:char="00A8"/>
            </w:r>
            <w:r>
              <w:rPr>
                <w:rFonts w:hint="eastAsia" w:ascii="宋体" w:hAnsi="宋体" w:eastAsia="宋体" w:cs="宋体"/>
                <w:color w:val="auto"/>
                <w:kern w:val="0"/>
                <w:sz w:val="21"/>
                <w:szCs w:val="21"/>
              </w:rPr>
              <w:t>强制分包：大型企业应将采购份额的</w:t>
            </w:r>
            <w:r>
              <w:rPr>
                <w:rFonts w:hint="eastAsia" w:ascii="宋体" w:hAnsi="宋体" w:eastAsia="宋体" w:cs="宋体"/>
                <w:color w:val="auto"/>
                <w:kern w:val="0"/>
                <w:sz w:val="21"/>
                <w:szCs w:val="21"/>
                <w:u w:val="single"/>
              </w:rPr>
              <w:t>  /  </w:t>
            </w:r>
            <w:r>
              <w:rPr>
                <w:rFonts w:hint="eastAsia" w:ascii="宋体" w:hAnsi="宋体" w:eastAsia="宋体" w:cs="宋体"/>
                <w:color w:val="auto"/>
                <w:kern w:val="0"/>
                <w:sz w:val="21"/>
                <w:szCs w:val="21"/>
              </w:rPr>
              <w:t>%分包给中小企业。</w:t>
            </w:r>
          </w:p>
          <w:p w14:paraId="65F3C9D1">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3、本项目的特定资格要求：</w:t>
            </w:r>
          </w:p>
          <w:p w14:paraId="66BB0F6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rPr>
              <w:t>（1）供应商须</w:t>
            </w:r>
            <w:r>
              <w:rPr>
                <w:rFonts w:hint="eastAsia" w:ascii="宋体" w:hAnsi="宋体" w:eastAsia="宋体" w:cs="宋体"/>
                <w:color w:val="000000"/>
                <w:kern w:val="2"/>
                <w:sz w:val="21"/>
                <w:szCs w:val="21"/>
                <w:highlight w:val="none"/>
                <w:lang w:val="en-US" w:eastAsia="zh-CN"/>
              </w:rPr>
              <w:t>具备住房城乡建设主管部门颁发</w:t>
            </w:r>
            <w:r>
              <w:rPr>
                <w:rFonts w:hint="eastAsia" w:ascii="宋体" w:hAnsi="宋体" w:eastAsia="宋体" w:cs="宋体"/>
                <w:color w:val="000000"/>
                <w:kern w:val="2"/>
                <w:sz w:val="21"/>
                <w:szCs w:val="21"/>
                <w:highlight w:val="none"/>
              </w:rPr>
              <w:t>的建筑工程施工总承包三级及以上资质</w:t>
            </w:r>
            <w:r>
              <w:rPr>
                <w:rFonts w:hint="eastAsia" w:ascii="宋体" w:hAnsi="宋体" w:eastAsia="宋体" w:cs="宋体"/>
                <w:color w:val="000000"/>
                <w:kern w:val="2"/>
                <w:sz w:val="21"/>
                <w:szCs w:val="21"/>
                <w:highlight w:val="none"/>
                <w:lang w:val="en-US" w:eastAsia="zh-CN"/>
              </w:rPr>
              <w:t>且处于有效期，企业</w:t>
            </w:r>
            <w:r>
              <w:rPr>
                <w:rFonts w:hint="eastAsia" w:ascii="宋体" w:hAnsi="宋体" w:eastAsia="宋体" w:cs="宋体"/>
                <w:color w:val="000000"/>
                <w:kern w:val="2"/>
                <w:sz w:val="21"/>
                <w:szCs w:val="21"/>
                <w:highlight w:val="none"/>
              </w:rPr>
              <w:t>安全生产许可证</w:t>
            </w:r>
            <w:r>
              <w:rPr>
                <w:rFonts w:hint="eastAsia" w:ascii="宋体" w:hAnsi="宋体" w:eastAsia="宋体" w:cs="宋体"/>
                <w:color w:val="000000"/>
                <w:kern w:val="2"/>
                <w:sz w:val="21"/>
                <w:szCs w:val="21"/>
                <w:highlight w:val="none"/>
                <w:lang w:val="en-US" w:eastAsia="zh-CN"/>
              </w:rPr>
              <w:t>处于有效期</w:t>
            </w:r>
            <w:r>
              <w:rPr>
                <w:rFonts w:hint="eastAsia" w:ascii="宋体" w:hAnsi="宋体" w:eastAsia="宋体" w:cs="宋体"/>
                <w:color w:val="000000"/>
                <w:kern w:val="2"/>
                <w:sz w:val="21"/>
                <w:szCs w:val="21"/>
                <w:highlight w:val="none"/>
              </w:rPr>
              <w:t>；湖南省外企业须按照湘建建【2015】190号文件要求办理省外入湘企业基本情况登记（以“湖南省住房和城乡建设网”查询为准）或具有入湘施工登记证（处于有效期内</w:t>
            </w:r>
            <w:r>
              <w:rPr>
                <w:rFonts w:hint="eastAsia" w:ascii="宋体" w:hAnsi="宋体" w:eastAsia="宋体" w:cs="宋体"/>
                <w:color w:val="000000"/>
                <w:kern w:val="2"/>
                <w:sz w:val="21"/>
                <w:szCs w:val="21"/>
                <w:highlight w:val="none"/>
                <w:lang w:eastAsia="zh-CN"/>
              </w:rPr>
              <w:t>）；</w:t>
            </w:r>
          </w:p>
          <w:p w14:paraId="70138F7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2）项目负责人（项目经理，后同）具有建筑工程二级及以上注册建造师执业资格证书，并且具有有效期内的安全生产考核合格证（B证）；项目负责人必须是本企业在职人员且不得有在建项目（提供缴纳社会保险的证明材料、无在建工程查询截图和无在建承诺书原件，格式自拟）。</w:t>
            </w:r>
          </w:p>
          <w:p w14:paraId="6C40599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rPr>
              <w:t>（3）施工项目部关键岗位其他人员实行承诺制。响应时不要求提供具体人员信息，其中标后按照国家和省有关法律法规、规范标准和湖南省建筑工程施工监理关键岗位人员管理办法（湘建建〔2020〕208号文）规定配备施工项目部关键岗位人员（提供相应承诺书原件，格式自拟）。</w:t>
            </w:r>
          </w:p>
          <w:p w14:paraId="10F1E7D8">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000000"/>
                <w:kern w:val="2"/>
                <w:sz w:val="21"/>
                <w:szCs w:val="21"/>
                <w:highlight w:val="none"/>
              </w:rPr>
              <w:t>注：本项目面向中小企业采购，供应商须提供《湖南省政府采购供应商资格承诺函》和《中小企业声明函》。</w:t>
            </w:r>
          </w:p>
          <w:p w14:paraId="4D0D6FED">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4、单位负责人为同一人或者存在直接控股、管理关系的不同供应商，不得参加同一合同项下的政府采购活动。</w:t>
            </w:r>
          </w:p>
          <w:p w14:paraId="2F6CD08A">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5、为本采购项目提供整体设计、规范编制或者项目管理、监理、检测等服务的，不得再参加此项目的其他采购活动。</w:t>
            </w:r>
          </w:p>
          <w:p w14:paraId="662E1505">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6、列入失信被执行人、重大税收违法失信主体名单、政府采购严重违法失信行为记录名单的，拒绝其参与政府采购活动。</w:t>
            </w:r>
          </w:p>
          <w:p w14:paraId="317EEEA9">
            <w:pPr>
              <w:keepNext w:val="0"/>
              <w:keepLines w:val="0"/>
              <w:pageBreakBefore w:val="0"/>
              <w:widowControl w:val="0"/>
              <w:kinsoku/>
              <w:wordWrap/>
              <w:overflowPunct w:val="0"/>
              <w:topLinePunct w:val="0"/>
              <w:autoSpaceDE/>
              <w:autoSpaceDN/>
              <w:bidi w:val="0"/>
              <w:spacing w:beforeAutospacing="0" w:afterAutospacing="0" w:line="360" w:lineRule="exact"/>
              <w:ind w:left="0" w:righ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7、联合体响应。本次采购</w:t>
            </w:r>
            <w:r>
              <w:rPr>
                <w:rFonts w:hint="eastAsia" w:ascii="宋体" w:hAnsi="宋体" w:eastAsia="宋体" w:cs="宋体"/>
                <w:color w:val="auto"/>
                <w:kern w:val="0"/>
                <w:sz w:val="21"/>
                <w:szCs w:val="21"/>
                <w:u w:val="single"/>
              </w:rPr>
              <w:t> 不接受 </w:t>
            </w:r>
            <w:r>
              <w:rPr>
                <w:rFonts w:hint="eastAsia" w:ascii="宋体" w:hAnsi="宋体" w:eastAsia="宋体" w:cs="宋体"/>
                <w:color w:val="auto"/>
                <w:kern w:val="0"/>
                <w:sz w:val="21"/>
                <w:szCs w:val="21"/>
              </w:rPr>
              <w:t>联合体响应。</w:t>
            </w:r>
          </w:p>
          <w:p w14:paraId="569A06C0">
            <w:pPr>
              <w:keepNext w:val="0"/>
              <w:keepLines w:val="0"/>
              <w:pageBreakBefore w:val="0"/>
              <w:widowControl w:val="0"/>
              <w:kinsoku/>
              <w:wordWrap/>
              <w:overflowPunct w:val="0"/>
              <w:topLinePunct w:val="0"/>
              <w:autoSpaceDE/>
              <w:autoSpaceDN/>
              <w:bidi w:val="0"/>
              <w:spacing w:line="360" w:lineRule="exact"/>
              <w:ind w:left="0" w:leftChars="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rPr>
              <w:t>8、根据《湖南省财政厅关于政府采购促进中小企业发展有关措施的通知》，符合法定条件的供应商凭《湖南省政府采购供应商资格承诺函》，即可参加政府采购活动；也可通过在金融机构办理电子增信取得对应信用星级参与政府采购活动和电子卖场交易，无需提供财务状况、缴纳税收和社会保障资金等资格证明材料。提供虚假承诺的供应商将以虚假资料谋取中标（成交）的违法行为，被列入不良行为记录名单，承担相应的法律责任。</w:t>
            </w:r>
          </w:p>
        </w:tc>
      </w:tr>
      <w:tr w14:paraId="43EBB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1832" w:type="dxa"/>
            <w:noWrap w:val="0"/>
            <w:vAlign w:val="center"/>
          </w:tcPr>
          <w:p w14:paraId="50276EA1">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第二章第6.1款</w:t>
            </w:r>
          </w:p>
        </w:tc>
        <w:tc>
          <w:tcPr>
            <w:tcW w:w="1791" w:type="dxa"/>
            <w:noWrap w:val="0"/>
            <w:vAlign w:val="center"/>
          </w:tcPr>
          <w:p w14:paraId="736B55C4">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联合体形式</w:t>
            </w:r>
          </w:p>
        </w:tc>
        <w:tc>
          <w:tcPr>
            <w:tcW w:w="5133" w:type="dxa"/>
            <w:noWrap w:val="0"/>
            <w:vAlign w:val="center"/>
          </w:tcPr>
          <w:p w14:paraId="3D71C459">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■不接受</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□接受</w:t>
            </w:r>
          </w:p>
        </w:tc>
      </w:tr>
      <w:tr w14:paraId="2B238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832" w:type="dxa"/>
            <w:noWrap w:val="0"/>
            <w:vAlign w:val="center"/>
          </w:tcPr>
          <w:p w14:paraId="40F10946">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第二章第6.2款</w:t>
            </w:r>
          </w:p>
        </w:tc>
        <w:tc>
          <w:tcPr>
            <w:tcW w:w="1791" w:type="dxa"/>
            <w:noWrap w:val="0"/>
            <w:vAlign w:val="center"/>
          </w:tcPr>
          <w:p w14:paraId="40D1D834">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对联合体各方的要求</w:t>
            </w:r>
          </w:p>
        </w:tc>
        <w:tc>
          <w:tcPr>
            <w:tcW w:w="5133" w:type="dxa"/>
            <w:noWrap w:val="0"/>
            <w:vAlign w:val="center"/>
          </w:tcPr>
          <w:p w14:paraId="34EC6F2C">
            <w:pPr>
              <w:pStyle w:val="15"/>
              <w:keepNext w:val="0"/>
              <w:keepLines w:val="0"/>
              <w:pageBreakBefore w:val="0"/>
              <w:widowControl w:val="0"/>
              <w:kinsoku/>
              <w:wordWrap/>
              <w:overflowPunct w:val="0"/>
              <w:topLinePunct w:val="0"/>
              <w:bidi w:val="0"/>
              <w:spacing w:after="0"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6B5B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1832" w:type="dxa"/>
            <w:noWrap w:val="0"/>
            <w:vAlign w:val="center"/>
          </w:tcPr>
          <w:p w14:paraId="33C578E5">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第二章第7.1款</w:t>
            </w:r>
          </w:p>
        </w:tc>
        <w:tc>
          <w:tcPr>
            <w:tcW w:w="1791" w:type="dxa"/>
            <w:noWrap w:val="0"/>
            <w:vAlign w:val="center"/>
          </w:tcPr>
          <w:p w14:paraId="7F2DB5DA">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现场勘察</w:t>
            </w:r>
          </w:p>
        </w:tc>
        <w:tc>
          <w:tcPr>
            <w:tcW w:w="5133" w:type="dxa"/>
            <w:noWrap w:val="0"/>
            <w:vAlign w:val="center"/>
          </w:tcPr>
          <w:p w14:paraId="2297401B">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采购人不统一组织，请供应商自行勘察，</w:t>
            </w:r>
            <w:r>
              <w:rPr>
                <w:rFonts w:hint="eastAsia" w:ascii="宋体" w:hAnsi="宋体" w:eastAsia="宋体" w:cs="宋体"/>
                <w:color w:val="auto"/>
                <w:sz w:val="21"/>
                <w:szCs w:val="21"/>
              </w:rPr>
              <w:t>费用自理</w:t>
            </w:r>
          </w:p>
          <w:p w14:paraId="580EDECE">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采购人组织</w:t>
            </w:r>
          </w:p>
        </w:tc>
      </w:tr>
      <w:tr w14:paraId="18F7A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1832" w:type="dxa"/>
            <w:noWrap w:val="0"/>
            <w:vAlign w:val="center"/>
          </w:tcPr>
          <w:p w14:paraId="7E1834C3">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第二章第8.1款</w:t>
            </w:r>
          </w:p>
        </w:tc>
        <w:tc>
          <w:tcPr>
            <w:tcW w:w="1791" w:type="dxa"/>
            <w:noWrap w:val="0"/>
            <w:vAlign w:val="center"/>
          </w:tcPr>
          <w:p w14:paraId="59368922">
            <w:pPr>
              <w:pStyle w:val="7"/>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采购进口产品</w:t>
            </w:r>
          </w:p>
        </w:tc>
        <w:tc>
          <w:tcPr>
            <w:tcW w:w="5133" w:type="dxa"/>
            <w:noWrap w:val="0"/>
            <w:vAlign w:val="center"/>
          </w:tcPr>
          <w:p w14:paraId="2F1BC471">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本采购项目</w:t>
            </w:r>
            <w:r>
              <w:rPr>
                <w:rFonts w:hint="eastAsia" w:ascii="宋体" w:hAnsi="宋体" w:eastAsia="宋体" w:cs="宋体"/>
                <w:color w:val="auto"/>
                <w:sz w:val="21"/>
                <w:szCs w:val="21"/>
              </w:rPr>
              <w:t>拒绝进口产品参加投标</w:t>
            </w:r>
          </w:p>
          <w:p w14:paraId="32539679">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本采购项目已经</w:t>
            </w:r>
            <w:r>
              <w:rPr>
                <w:rFonts w:hint="eastAsia" w:ascii="宋体" w:hAnsi="宋体" w:eastAsia="宋体" w:cs="宋体"/>
                <w:color w:val="auto"/>
                <w:sz w:val="21"/>
                <w:szCs w:val="21"/>
              </w:rPr>
              <w:t>财政部门审核同意购买进口产品</w:t>
            </w:r>
          </w:p>
        </w:tc>
      </w:tr>
      <w:tr w14:paraId="33FD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1832" w:type="dxa"/>
            <w:noWrap w:val="0"/>
            <w:vAlign w:val="center"/>
          </w:tcPr>
          <w:p w14:paraId="6997C109">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第二章第9.1</w:t>
            </w:r>
            <w:r>
              <w:rPr>
                <w:rFonts w:hint="eastAsia" w:ascii="宋体" w:hAnsi="宋体" w:eastAsia="宋体" w:cs="宋体"/>
                <w:color w:val="auto"/>
                <w:sz w:val="21"/>
                <w:szCs w:val="21"/>
                <w:lang w:val="zh-CN"/>
              </w:rPr>
              <w:t>款</w:t>
            </w:r>
          </w:p>
        </w:tc>
        <w:tc>
          <w:tcPr>
            <w:tcW w:w="1791" w:type="dxa"/>
            <w:noWrap w:val="0"/>
            <w:vAlign w:val="center"/>
          </w:tcPr>
          <w:p w14:paraId="41A9F25D">
            <w:pPr>
              <w:pStyle w:val="7"/>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强制采购节能产品</w:t>
            </w:r>
          </w:p>
        </w:tc>
        <w:tc>
          <w:tcPr>
            <w:tcW w:w="5133" w:type="dxa"/>
            <w:noWrap w:val="0"/>
            <w:vAlign w:val="center"/>
          </w:tcPr>
          <w:p w14:paraId="71C84ACD">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否</w:t>
            </w:r>
          </w:p>
          <w:p w14:paraId="76CB7C22">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是，采购《节能产品政府采购清单》(最新一期)内的产品。</w:t>
            </w:r>
          </w:p>
        </w:tc>
      </w:tr>
      <w:tr w14:paraId="1D8E9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2" w:type="dxa"/>
            <w:noWrap w:val="0"/>
            <w:vAlign w:val="center"/>
          </w:tcPr>
          <w:p w14:paraId="005B533D">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第二章第9.2款</w:t>
            </w:r>
          </w:p>
        </w:tc>
        <w:tc>
          <w:tcPr>
            <w:tcW w:w="1791" w:type="dxa"/>
            <w:noWrap w:val="0"/>
            <w:vAlign w:val="center"/>
          </w:tcPr>
          <w:p w14:paraId="5BF1F002">
            <w:pPr>
              <w:keepNext w:val="0"/>
              <w:keepLines w:val="0"/>
              <w:pageBreakBefore w:val="0"/>
              <w:widowControl w:val="0"/>
              <w:kinsoku/>
              <w:wordWrap/>
              <w:overflowPunct w:val="0"/>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政府采购优先采购：1、非强制采购的节能产品；2、环境标志产品；3、其他；</w:t>
            </w:r>
          </w:p>
        </w:tc>
        <w:tc>
          <w:tcPr>
            <w:tcW w:w="5133" w:type="dxa"/>
            <w:noWrap w:val="0"/>
            <w:vAlign w:val="center"/>
          </w:tcPr>
          <w:p w14:paraId="5D670CCB">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本项目不适用</w:t>
            </w:r>
          </w:p>
        </w:tc>
      </w:tr>
      <w:tr w14:paraId="779B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0" w:hRule="atLeast"/>
        </w:trPr>
        <w:tc>
          <w:tcPr>
            <w:tcW w:w="1832" w:type="dxa"/>
            <w:noWrap w:val="0"/>
            <w:vAlign w:val="center"/>
          </w:tcPr>
          <w:p w14:paraId="59AD896F">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第二章第9.3款</w:t>
            </w:r>
          </w:p>
        </w:tc>
        <w:tc>
          <w:tcPr>
            <w:tcW w:w="1791" w:type="dxa"/>
            <w:noWrap w:val="0"/>
            <w:vAlign w:val="center"/>
          </w:tcPr>
          <w:p w14:paraId="5172588A">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价格评审优惠：</w:t>
            </w:r>
          </w:p>
          <w:p w14:paraId="3EA27B95">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支持</w:t>
            </w:r>
            <w:r>
              <w:rPr>
                <w:rFonts w:hint="eastAsia" w:ascii="宋体" w:hAnsi="宋体" w:eastAsia="宋体" w:cs="宋体"/>
                <w:color w:val="auto"/>
                <w:sz w:val="21"/>
                <w:szCs w:val="21"/>
              </w:rPr>
              <w:t>中小企业发展（包括政府采购支持监狱企业发展、政府采购促进残疾人就业）；</w:t>
            </w:r>
          </w:p>
        </w:tc>
        <w:tc>
          <w:tcPr>
            <w:tcW w:w="5133" w:type="dxa"/>
            <w:noWrap w:val="0"/>
            <w:vAlign w:val="center"/>
          </w:tcPr>
          <w:p w14:paraId="3C31D237">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1、非专门面向中小企业采购，且符合政府采购促进中小企业发展相关规定的：</w:t>
            </w:r>
          </w:p>
          <w:p w14:paraId="251D3B0A">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（1）给予小型和微型企业产品的价格给予6%-10%（工程类）的扣除，用扣除后的价格参与评审，本项目具体扣除比例为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9509A1">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（2）给予联合体2%-3%的价格扣除，用扣除后的价格参与评审，本项目具体扣除比例为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1578F42">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（3）监狱企业、残疾人福利性单位视同小型、微型企业，享受评审中价格扣除等促进中小企业发展的政府采购政策。</w:t>
            </w:r>
          </w:p>
          <w:p w14:paraId="4D6F13A1">
            <w:pPr>
              <w:pStyle w:val="15"/>
              <w:keepNext w:val="0"/>
              <w:keepLines w:val="0"/>
              <w:pageBreakBefore w:val="0"/>
              <w:widowControl w:val="0"/>
              <w:kinsoku/>
              <w:wordWrap/>
              <w:overflowPunct w:val="0"/>
              <w:topLinePunct w:val="0"/>
              <w:bidi w:val="0"/>
              <w:spacing w:after="0"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注：本项目是专门面向中小（微）企业采购的项目，不再执行价格评审优惠扶持政策。</w:t>
            </w:r>
          </w:p>
        </w:tc>
      </w:tr>
      <w:tr w14:paraId="486A9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2" w:type="dxa"/>
            <w:vMerge w:val="restart"/>
            <w:noWrap w:val="0"/>
            <w:vAlign w:val="center"/>
          </w:tcPr>
          <w:p w14:paraId="77811231">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第二章第9.7款</w:t>
            </w:r>
          </w:p>
        </w:tc>
        <w:tc>
          <w:tcPr>
            <w:tcW w:w="1791" w:type="dxa"/>
            <w:noWrap w:val="0"/>
            <w:vAlign w:val="center"/>
          </w:tcPr>
          <w:p w14:paraId="456DAF7F">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政府采购支持中小企业融资</w:t>
            </w:r>
          </w:p>
        </w:tc>
        <w:tc>
          <w:tcPr>
            <w:tcW w:w="5133" w:type="dxa"/>
            <w:noWrap w:val="0"/>
            <w:vAlign w:val="center"/>
          </w:tcPr>
          <w:p w14:paraId="0A5855B3">
            <w:pPr>
              <w:pStyle w:val="7"/>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有融资需求的，可查询中国湖南政府采购网办事指南专栏中相关业务简介。</w:t>
            </w:r>
          </w:p>
        </w:tc>
      </w:tr>
      <w:tr w14:paraId="4918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832" w:type="dxa"/>
            <w:vMerge w:val="continue"/>
            <w:noWrap w:val="0"/>
            <w:vAlign w:val="center"/>
          </w:tcPr>
          <w:p w14:paraId="74BC87CF">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p>
        </w:tc>
        <w:tc>
          <w:tcPr>
            <w:tcW w:w="1791" w:type="dxa"/>
            <w:noWrap w:val="0"/>
            <w:vAlign w:val="center"/>
          </w:tcPr>
          <w:p w14:paraId="08E4A02B">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bCs/>
                <w:color w:val="auto"/>
                <w:sz w:val="21"/>
                <w:szCs w:val="21"/>
              </w:rPr>
              <w:t>政府采购信用担保</w:t>
            </w:r>
          </w:p>
        </w:tc>
        <w:tc>
          <w:tcPr>
            <w:tcW w:w="5133" w:type="dxa"/>
            <w:noWrap w:val="0"/>
            <w:vAlign w:val="center"/>
          </w:tcPr>
          <w:p w14:paraId="57678BEA">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有担保需求的，可查询中国湖南政府采购网办事指南专栏中相关业务简介。</w:t>
            </w:r>
          </w:p>
        </w:tc>
      </w:tr>
      <w:tr w14:paraId="0965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trPr>
        <w:tc>
          <w:tcPr>
            <w:tcW w:w="8756" w:type="dxa"/>
            <w:gridSpan w:val="3"/>
            <w:noWrap w:val="0"/>
            <w:vAlign w:val="center"/>
          </w:tcPr>
          <w:p w14:paraId="0BB56973">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二、磋商文件</w:t>
            </w:r>
          </w:p>
        </w:tc>
      </w:tr>
      <w:tr w14:paraId="19C4A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trPr>
        <w:tc>
          <w:tcPr>
            <w:tcW w:w="1832" w:type="dxa"/>
            <w:noWrap w:val="0"/>
            <w:vAlign w:val="center"/>
          </w:tcPr>
          <w:p w14:paraId="6C8EB055">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第二章第10.2款</w:t>
            </w:r>
          </w:p>
        </w:tc>
        <w:tc>
          <w:tcPr>
            <w:tcW w:w="1791" w:type="dxa"/>
            <w:noWrap w:val="0"/>
            <w:vAlign w:val="center"/>
          </w:tcPr>
          <w:p w14:paraId="3BBA0267">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磋商文件的可能实质性变动内容</w:t>
            </w:r>
          </w:p>
        </w:tc>
        <w:tc>
          <w:tcPr>
            <w:tcW w:w="5133" w:type="dxa"/>
            <w:noWrap w:val="0"/>
            <w:vAlign w:val="center"/>
          </w:tcPr>
          <w:p w14:paraId="6AFA7EC2">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技术、商务或合同草案</w:t>
            </w:r>
          </w:p>
        </w:tc>
      </w:tr>
      <w:tr w14:paraId="16D8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trPr>
        <w:tc>
          <w:tcPr>
            <w:tcW w:w="1832" w:type="dxa"/>
            <w:noWrap w:val="0"/>
            <w:vAlign w:val="center"/>
          </w:tcPr>
          <w:p w14:paraId="7AC58799">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第二章第11.1款</w:t>
            </w:r>
          </w:p>
        </w:tc>
        <w:tc>
          <w:tcPr>
            <w:tcW w:w="1791" w:type="dxa"/>
            <w:noWrap w:val="0"/>
            <w:vAlign w:val="center"/>
          </w:tcPr>
          <w:p w14:paraId="7B2B4E17">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提交首次响应文件的截止时间</w:t>
            </w:r>
          </w:p>
        </w:tc>
        <w:tc>
          <w:tcPr>
            <w:tcW w:w="5133" w:type="dxa"/>
            <w:noWrap w:val="0"/>
            <w:vAlign w:val="center"/>
          </w:tcPr>
          <w:p w14:paraId="7C810EA5">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 xml:space="preserve"> 日</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时00 分</w:t>
            </w:r>
            <w:r>
              <w:rPr>
                <w:rFonts w:hint="eastAsia" w:ascii="宋体" w:hAnsi="宋体" w:eastAsia="宋体" w:cs="宋体"/>
                <w:color w:val="auto"/>
                <w:kern w:val="1"/>
                <w:sz w:val="21"/>
                <w:szCs w:val="21"/>
              </w:rPr>
              <w:t>(北京时间)</w:t>
            </w:r>
          </w:p>
        </w:tc>
      </w:tr>
      <w:tr w14:paraId="3395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756" w:type="dxa"/>
            <w:gridSpan w:val="3"/>
            <w:noWrap w:val="0"/>
            <w:vAlign w:val="center"/>
          </w:tcPr>
          <w:p w14:paraId="2039A47E">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b/>
                <w:color w:val="auto"/>
                <w:kern w:val="1"/>
                <w:sz w:val="21"/>
                <w:szCs w:val="21"/>
              </w:rPr>
              <w:t>三、响应文件的编写</w:t>
            </w:r>
          </w:p>
        </w:tc>
      </w:tr>
      <w:tr w14:paraId="7758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832" w:type="dxa"/>
            <w:noWrap w:val="0"/>
            <w:vAlign w:val="center"/>
          </w:tcPr>
          <w:p w14:paraId="7BE25FC7">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第二章第15.4款</w:t>
            </w:r>
          </w:p>
        </w:tc>
        <w:tc>
          <w:tcPr>
            <w:tcW w:w="1791" w:type="dxa"/>
            <w:noWrap w:val="0"/>
            <w:vAlign w:val="center"/>
          </w:tcPr>
          <w:p w14:paraId="6A1B7731">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采购预算</w:t>
            </w:r>
          </w:p>
        </w:tc>
        <w:tc>
          <w:tcPr>
            <w:tcW w:w="5133" w:type="dxa"/>
            <w:noWrap w:val="0"/>
            <w:vAlign w:val="center"/>
          </w:tcPr>
          <w:p w14:paraId="6BAA7A44">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lang w:eastAsia="zh-CN"/>
              </w:rPr>
            </w:pPr>
            <w:r>
              <w:rPr>
                <w:rFonts w:hint="eastAsia" w:ascii="宋体" w:hAnsi="宋体" w:eastAsia="宋体" w:cs="宋体"/>
                <w:color w:val="auto"/>
                <w:kern w:val="1"/>
                <w:sz w:val="21"/>
                <w:szCs w:val="21"/>
              </w:rPr>
              <w:t>采购预算：</w:t>
            </w:r>
            <w:r>
              <w:rPr>
                <w:rFonts w:hint="eastAsia" w:ascii="宋体" w:hAnsi="宋体" w:cs="宋体"/>
                <w:color w:val="auto"/>
                <w:kern w:val="1"/>
                <w:sz w:val="21"/>
                <w:szCs w:val="21"/>
                <w:lang w:eastAsia="zh-CN"/>
              </w:rPr>
              <w:t>368.599486</w:t>
            </w:r>
            <w:r>
              <w:rPr>
                <w:rFonts w:hint="eastAsia" w:ascii="宋体" w:hAnsi="宋体" w:eastAsia="宋体" w:cs="宋体"/>
                <w:color w:val="auto"/>
                <w:kern w:val="1"/>
                <w:sz w:val="21"/>
                <w:szCs w:val="21"/>
                <w:lang w:eastAsia="zh-CN"/>
              </w:rPr>
              <w:t>万元</w:t>
            </w:r>
          </w:p>
        </w:tc>
      </w:tr>
      <w:tr w14:paraId="3C8A8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 w:hRule="atLeast"/>
        </w:trPr>
        <w:tc>
          <w:tcPr>
            <w:tcW w:w="1832" w:type="dxa"/>
            <w:noWrap w:val="0"/>
            <w:vAlign w:val="center"/>
          </w:tcPr>
          <w:p w14:paraId="2A5C216E">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第二章第17.1款</w:t>
            </w:r>
          </w:p>
        </w:tc>
        <w:tc>
          <w:tcPr>
            <w:tcW w:w="1791" w:type="dxa"/>
            <w:noWrap w:val="0"/>
            <w:vAlign w:val="center"/>
          </w:tcPr>
          <w:p w14:paraId="4B84ABE5">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磋商保证金</w:t>
            </w:r>
          </w:p>
        </w:tc>
        <w:tc>
          <w:tcPr>
            <w:tcW w:w="5133" w:type="dxa"/>
            <w:noWrap w:val="0"/>
            <w:vAlign w:val="center"/>
          </w:tcPr>
          <w:p w14:paraId="2725B960">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不要求提供</w:t>
            </w:r>
          </w:p>
          <w:p w14:paraId="23AEFBBD">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□要求提供，数额为：</w:t>
            </w:r>
            <w:r>
              <w:rPr>
                <w:rFonts w:hint="eastAsia" w:ascii="宋体" w:hAnsi="宋体" w:eastAsia="宋体" w:cs="宋体"/>
                <w:color w:val="auto"/>
                <w:kern w:val="1"/>
                <w:sz w:val="21"/>
                <w:szCs w:val="21"/>
                <w:u w:val="single"/>
              </w:rPr>
              <w:t xml:space="preserve"> / 元</w:t>
            </w:r>
            <w:r>
              <w:rPr>
                <w:rFonts w:hint="eastAsia" w:ascii="宋体" w:hAnsi="宋体" w:eastAsia="宋体" w:cs="宋体"/>
                <w:color w:val="auto"/>
                <w:kern w:val="1"/>
                <w:sz w:val="21"/>
                <w:szCs w:val="21"/>
              </w:rPr>
              <w:t>。缴纳方式：</w:t>
            </w:r>
          </w:p>
          <w:p w14:paraId="17674478">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1、从</w:t>
            </w:r>
            <w:r>
              <w:rPr>
                <w:rFonts w:hint="eastAsia" w:ascii="宋体" w:hAnsi="宋体" w:eastAsia="宋体" w:cs="宋体"/>
                <w:bCs/>
                <w:color w:val="auto"/>
                <w:kern w:val="1"/>
                <w:sz w:val="21"/>
                <w:szCs w:val="21"/>
              </w:rPr>
              <w:t>投标人</w:t>
            </w:r>
            <w:r>
              <w:rPr>
                <w:rFonts w:hint="eastAsia" w:ascii="宋体" w:hAnsi="宋体" w:eastAsia="宋体" w:cs="宋体"/>
                <w:color w:val="auto"/>
                <w:kern w:val="1"/>
                <w:sz w:val="21"/>
                <w:szCs w:val="21"/>
              </w:rPr>
              <w:t>基本帐户以支票、汇票、本票等形式缴入到如下托管帐户，并在进帐单用途栏或备注栏中注明“</w:t>
            </w:r>
            <w:r>
              <w:rPr>
                <w:rFonts w:hint="eastAsia" w:ascii="宋体" w:hAnsi="宋体" w:eastAsia="宋体" w:cs="宋体"/>
                <w:color w:val="auto"/>
                <w:kern w:val="1"/>
                <w:sz w:val="21"/>
                <w:szCs w:val="21"/>
                <w:u w:val="single"/>
              </w:rPr>
              <w:t>/</w:t>
            </w:r>
            <w:r>
              <w:rPr>
                <w:rFonts w:hint="eastAsia" w:ascii="宋体" w:hAnsi="宋体" w:eastAsia="宋体" w:cs="宋体"/>
                <w:color w:val="auto"/>
                <w:kern w:val="1"/>
                <w:sz w:val="21"/>
                <w:szCs w:val="21"/>
              </w:rPr>
              <w:t>”。查询已经到账，视为已缴纳。</w:t>
            </w:r>
          </w:p>
          <w:p w14:paraId="49293598">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账户名称：/</w:t>
            </w:r>
          </w:p>
          <w:p w14:paraId="6BCECD27">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p w14:paraId="396E87FA">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    号：/</w:t>
            </w:r>
          </w:p>
          <w:p w14:paraId="5AF16280">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2、缴纳时间：须在</w:t>
            </w:r>
            <w:r>
              <w:rPr>
                <w:rFonts w:hint="eastAsia" w:ascii="宋体" w:hAnsi="宋体" w:eastAsia="宋体" w:cs="宋体"/>
                <w:color w:val="auto"/>
                <w:kern w:val="1"/>
                <w:sz w:val="21"/>
                <w:szCs w:val="21"/>
              </w:rPr>
              <w:t>提交首次响应文件的截止时间前转入磋商保证金的托管账户，以到账为准，开标时现场查验。</w:t>
            </w:r>
          </w:p>
        </w:tc>
      </w:tr>
      <w:tr w14:paraId="71D2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1832" w:type="dxa"/>
            <w:noWrap w:val="0"/>
            <w:vAlign w:val="center"/>
          </w:tcPr>
          <w:p w14:paraId="064B93A8">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第二章第18.1款</w:t>
            </w:r>
          </w:p>
        </w:tc>
        <w:tc>
          <w:tcPr>
            <w:tcW w:w="1791" w:type="dxa"/>
            <w:noWrap w:val="0"/>
            <w:vAlign w:val="center"/>
          </w:tcPr>
          <w:p w14:paraId="6B6B50DB">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响应文件有效期</w:t>
            </w:r>
          </w:p>
        </w:tc>
        <w:tc>
          <w:tcPr>
            <w:tcW w:w="5133" w:type="dxa"/>
            <w:noWrap w:val="0"/>
            <w:vAlign w:val="center"/>
          </w:tcPr>
          <w:p w14:paraId="7C52DE02">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90日（日历日）</w:t>
            </w:r>
          </w:p>
        </w:tc>
      </w:tr>
      <w:tr w14:paraId="47E36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1832" w:type="dxa"/>
            <w:noWrap w:val="0"/>
            <w:vAlign w:val="center"/>
          </w:tcPr>
          <w:p w14:paraId="51F93F95">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第二章第19.1款</w:t>
            </w:r>
          </w:p>
        </w:tc>
        <w:tc>
          <w:tcPr>
            <w:tcW w:w="1791" w:type="dxa"/>
            <w:noWrap w:val="0"/>
            <w:vAlign w:val="center"/>
          </w:tcPr>
          <w:p w14:paraId="34BD3054">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bCs/>
                <w:color w:val="auto"/>
                <w:kern w:val="1"/>
                <w:sz w:val="21"/>
                <w:szCs w:val="21"/>
              </w:rPr>
              <w:t>响应</w:t>
            </w:r>
            <w:r>
              <w:rPr>
                <w:rFonts w:hint="eastAsia" w:ascii="宋体" w:hAnsi="宋体" w:eastAsia="宋体" w:cs="宋体"/>
                <w:color w:val="auto"/>
                <w:kern w:val="1"/>
                <w:sz w:val="21"/>
                <w:szCs w:val="21"/>
              </w:rPr>
              <w:t>文件副本份数</w:t>
            </w:r>
          </w:p>
        </w:tc>
        <w:tc>
          <w:tcPr>
            <w:tcW w:w="5133" w:type="dxa"/>
            <w:noWrap w:val="0"/>
            <w:vAlign w:val="center"/>
          </w:tcPr>
          <w:p w14:paraId="369692F0">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u w:val="single"/>
              </w:rPr>
            </w:pPr>
            <w:r>
              <w:rPr>
                <w:rFonts w:hint="eastAsia" w:ascii="宋体" w:hAnsi="宋体" w:eastAsia="宋体" w:cs="宋体"/>
                <w:color w:val="auto"/>
                <w:sz w:val="21"/>
                <w:szCs w:val="21"/>
              </w:rPr>
              <w:t>共</w:t>
            </w:r>
            <w:r>
              <w:rPr>
                <w:rFonts w:hint="eastAsia" w:ascii="宋体" w:hAnsi="宋体" w:eastAsia="宋体" w:cs="宋体"/>
                <w:color w:val="auto"/>
                <w:sz w:val="21"/>
                <w:szCs w:val="21"/>
                <w:u w:val="single"/>
                <w:lang w:val="en-US" w:eastAsia="zh-CN"/>
              </w:rPr>
              <w:t>肆</w:t>
            </w:r>
            <w:r>
              <w:rPr>
                <w:rFonts w:hint="eastAsia" w:ascii="宋体" w:hAnsi="宋体" w:eastAsia="宋体" w:cs="宋体"/>
                <w:color w:val="auto"/>
                <w:sz w:val="21"/>
                <w:szCs w:val="21"/>
              </w:rPr>
              <w:t>份，其中正本壹份副本</w:t>
            </w:r>
            <w:r>
              <w:rPr>
                <w:rFonts w:hint="eastAsia" w:ascii="宋体" w:hAnsi="宋体" w:eastAsia="宋体" w:cs="宋体"/>
                <w:color w:val="auto"/>
                <w:sz w:val="21"/>
                <w:szCs w:val="21"/>
                <w:u w:val="single"/>
                <w:lang w:val="en-US" w:eastAsia="zh-CN"/>
              </w:rPr>
              <w:t>叁</w:t>
            </w:r>
            <w:r>
              <w:rPr>
                <w:rFonts w:hint="eastAsia" w:ascii="宋体" w:hAnsi="宋体" w:eastAsia="宋体" w:cs="宋体"/>
                <w:color w:val="auto"/>
                <w:sz w:val="21"/>
                <w:szCs w:val="21"/>
              </w:rPr>
              <w:t>份，电子档响应文件及最后报价壹份。电子版形式：U盘，内容与纸质标书</w:t>
            </w:r>
            <w:r>
              <w:rPr>
                <w:rFonts w:hint="eastAsia" w:ascii="宋体" w:hAnsi="宋体" w:eastAsia="宋体" w:cs="宋体"/>
                <w:color w:val="auto"/>
                <w:sz w:val="21"/>
                <w:szCs w:val="21"/>
                <w:lang w:val="en-US" w:eastAsia="zh-CN"/>
              </w:rPr>
              <w:t>正本</w:t>
            </w:r>
            <w:r>
              <w:rPr>
                <w:rFonts w:hint="eastAsia" w:ascii="宋体" w:hAnsi="宋体" w:eastAsia="宋体" w:cs="宋体"/>
                <w:color w:val="auto"/>
                <w:sz w:val="21"/>
                <w:szCs w:val="21"/>
              </w:rPr>
              <w:t>一致签字盖章版（均以PDF文件格式保存），单独放入一个密封袋中，在封套上标记“响应文件电子版”字样,与响应文件一起提交。最终报价一份、报价工程量清单二份（仅作为最终报价附件，现场报价后同时递交）。</w:t>
            </w:r>
          </w:p>
        </w:tc>
      </w:tr>
      <w:tr w14:paraId="4B6D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756" w:type="dxa"/>
            <w:gridSpan w:val="3"/>
            <w:noWrap w:val="0"/>
            <w:vAlign w:val="center"/>
          </w:tcPr>
          <w:p w14:paraId="10D71B75">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四、响应文件的递交</w:t>
            </w:r>
          </w:p>
        </w:tc>
      </w:tr>
      <w:tr w14:paraId="43B7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 w:hRule="atLeast"/>
        </w:trPr>
        <w:tc>
          <w:tcPr>
            <w:tcW w:w="1832" w:type="dxa"/>
            <w:noWrap w:val="0"/>
            <w:vAlign w:val="center"/>
          </w:tcPr>
          <w:p w14:paraId="3DEF647A">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第二章第20.2款</w:t>
            </w:r>
          </w:p>
        </w:tc>
        <w:tc>
          <w:tcPr>
            <w:tcW w:w="1791" w:type="dxa"/>
            <w:noWrap w:val="0"/>
            <w:vAlign w:val="center"/>
          </w:tcPr>
          <w:p w14:paraId="373DD91A">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封套上应载明的信息</w:t>
            </w:r>
          </w:p>
        </w:tc>
        <w:tc>
          <w:tcPr>
            <w:tcW w:w="5133" w:type="dxa"/>
            <w:noWrap w:val="0"/>
            <w:vAlign w:val="center"/>
          </w:tcPr>
          <w:p w14:paraId="26A877D6">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u w:val="single"/>
              </w:rPr>
              <w:t xml:space="preserve"> </w:t>
            </w:r>
            <w:r>
              <w:rPr>
                <w:rFonts w:hint="eastAsia" w:ascii="宋体" w:hAnsi="宋体" w:eastAsia="宋体" w:cs="宋体"/>
                <w:color w:val="auto"/>
                <w:kern w:val="1"/>
                <w:sz w:val="21"/>
                <w:szCs w:val="21"/>
                <w:u w:val="single"/>
                <w:lang w:val="en-US" w:eastAsia="zh-CN"/>
              </w:rPr>
              <w:t xml:space="preserve">                 </w:t>
            </w:r>
            <w:r>
              <w:rPr>
                <w:rFonts w:hint="eastAsia" w:ascii="宋体" w:hAnsi="宋体" w:eastAsia="宋体" w:cs="宋体"/>
                <w:color w:val="auto"/>
                <w:kern w:val="1"/>
                <w:sz w:val="21"/>
                <w:szCs w:val="21"/>
                <w:u w:val="single"/>
              </w:rPr>
              <w:t xml:space="preserve"> </w:t>
            </w:r>
            <w:r>
              <w:rPr>
                <w:rFonts w:hint="eastAsia" w:ascii="宋体" w:hAnsi="宋体" w:eastAsia="宋体" w:cs="宋体"/>
                <w:color w:val="auto"/>
                <w:kern w:val="1"/>
                <w:sz w:val="21"/>
                <w:szCs w:val="21"/>
              </w:rPr>
              <w:t>响应文件</w:t>
            </w:r>
          </w:p>
          <w:p w14:paraId="1F0FFA82">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政府采购编号：</w:t>
            </w:r>
          </w:p>
          <w:p w14:paraId="3AF91073">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xml:space="preserve">委托代理编号：    </w:t>
            </w:r>
          </w:p>
          <w:p w14:paraId="3888B4F1">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u w:val="single"/>
              </w:rPr>
            </w:pPr>
            <w:r>
              <w:rPr>
                <w:rFonts w:hint="eastAsia" w:ascii="宋体" w:hAnsi="宋体" w:eastAsia="宋体" w:cs="宋体"/>
                <w:color w:val="auto"/>
                <w:kern w:val="1"/>
                <w:sz w:val="21"/>
                <w:szCs w:val="21"/>
              </w:rPr>
              <w:t>供应商名称：</w:t>
            </w:r>
          </w:p>
          <w:p w14:paraId="5CAAC103">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法定代表人或其授权委托人：</w:t>
            </w:r>
            <w:r>
              <w:rPr>
                <w:rFonts w:hint="eastAsia" w:ascii="宋体" w:hAnsi="宋体" w:eastAsia="宋体" w:cs="宋体"/>
                <w:color w:val="auto"/>
                <w:kern w:val="1"/>
                <w:sz w:val="21"/>
                <w:szCs w:val="21"/>
                <w:u w:val="single"/>
              </w:rPr>
              <w:t>（签字或盖章）</w:t>
            </w:r>
          </w:p>
          <w:p w14:paraId="6E99DC6B">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在</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lang w:eastAsia="zh-CN"/>
              </w:rPr>
              <w:t>年</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lang w:eastAsia="zh-CN"/>
              </w:rPr>
              <w:t xml:space="preserve">月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lang w:eastAsia="zh-CN"/>
              </w:rPr>
              <w:t xml:space="preserve"> 日</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时</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 xml:space="preserve"> 分之前不得启封</w:t>
            </w:r>
          </w:p>
        </w:tc>
      </w:tr>
      <w:tr w14:paraId="1ECE4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 w:hRule="atLeast"/>
        </w:trPr>
        <w:tc>
          <w:tcPr>
            <w:tcW w:w="1832" w:type="dxa"/>
            <w:noWrap w:val="0"/>
            <w:vAlign w:val="center"/>
          </w:tcPr>
          <w:p w14:paraId="41E0B61B">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第二章第22.1款</w:t>
            </w:r>
          </w:p>
        </w:tc>
        <w:tc>
          <w:tcPr>
            <w:tcW w:w="1791" w:type="dxa"/>
            <w:noWrap w:val="0"/>
            <w:vAlign w:val="center"/>
          </w:tcPr>
          <w:p w14:paraId="0802F323">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响应文件的递交地点</w:t>
            </w:r>
          </w:p>
        </w:tc>
        <w:tc>
          <w:tcPr>
            <w:tcW w:w="5133" w:type="dxa"/>
            <w:noWrap w:val="0"/>
            <w:vAlign w:val="center"/>
          </w:tcPr>
          <w:p w14:paraId="49EEAC19">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kern w:val="0"/>
                <w:szCs w:val="21"/>
                <w:u w:val="single"/>
                <w:lang w:bidi="ar"/>
              </w:rPr>
              <w:t>湖南</w:t>
            </w:r>
            <w:r>
              <w:rPr>
                <w:rFonts w:hint="eastAsia" w:ascii="宋体" w:hAnsi="宋体" w:eastAsia="宋体" w:cs="宋体"/>
                <w:kern w:val="0"/>
                <w:szCs w:val="21"/>
                <w:u w:val="single"/>
                <w:lang w:eastAsia="zh-CN" w:bidi="ar"/>
              </w:rPr>
              <w:t>涛鑫咨询</w:t>
            </w:r>
            <w:r>
              <w:rPr>
                <w:rFonts w:hint="eastAsia" w:ascii="宋体" w:hAnsi="宋体" w:eastAsia="宋体" w:cs="宋体"/>
                <w:kern w:val="0"/>
                <w:szCs w:val="21"/>
                <w:u w:val="single"/>
                <w:lang w:bidi="ar"/>
              </w:rPr>
              <w:t>有限公司</w:t>
            </w:r>
            <w:r>
              <w:rPr>
                <w:rFonts w:hint="eastAsia" w:ascii="宋体" w:hAnsi="宋体" w:eastAsia="宋体" w:cs="宋体"/>
                <w:kern w:val="0"/>
                <w:szCs w:val="21"/>
                <w:u w:val="single"/>
                <w:lang w:val="en-US" w:eastAsia="zh-CN" w:bidi="ar"/>
              </w:rPr>
              <w:t xml:space="preserve"> </w:t>
            </w:r>
            <w:r>
              <w:rPr>
                <w:rFonts w:hint="eastAsia" w:ascii="Times New Roman" w:hAnsi="Times New Roman" w:eastAsia="宋体" w:cs="Times New Roman"/>
                <w:sz w:val="21"/>
                <w:szCs w:val="21"/>
                <w:u w:val="single"/>
                <w:lang w:val="en-US" w:eastAsia="zh-CN"/>
              </w:rPr>
              <w:t>慈利县零阳街道笔架东路2栋121-131（印象管家二楼）</w:t>
            </w:r>
          </w:p>
        </w:tc>
      </w:tr>
      <w:tr w14:paraId="2F795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756" w:type="dxa"/>
            <w:gridSpan w:val="3"/>
            <w:noWrap w:val="0"/>
            <w:vAlign w:val="center"/>
          </w:tcPr>
          <w:p w14:paraId="4D6C0E53">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五、响应文件的磋商与评审</w:t>
            </w:r>
          </w:p>
        </w:tc>
      </w:tr>
      <w:tr w14:paraId="155E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832" w:type="dxa"/>
            <w:noWrap w:val="0"/>
            <w:vAlign w:val="center"/>
          </w:tcPr>
          <w:p w14:paraId="76EEBEF7">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第二章第29.2款</w:t>
            </w:r>
          </w:p>
        </w:tc>
        <w:tc>
          <w:tcPr>
            <w:tcW w:w="1791" w:type="dxa"/>
            <w:noWrap w:val="0"/>
            <w:vAlign w:val="center"/>
          </w:tcPr>
          <w:p w14:paraId="21AC6BAD">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评审因素和标准</w:t>
            </w:r>
          </w:p>
        </w:tc>
        <w:tc>
          <w:tcPr>
            <w:tcW w:w="5133" w:type="dxa"/>
            <w:noWrap w:val="0"/>
            <w:vAlign w:val="center"/>
          </w:tcPr>
          <w:p w14:paraId="4F279F12">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见附页1。</w:t>
            </w:r>
          </w:p>
        </w:tc>
      </w:tr>
      <w:tr w14:paraId="6395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832" w:type="dxa"/>
            <w:noWrap w:val="0"/>
            <w:vAlign w:val="center"/>
          </w:tcPr>
          <w:p w14:paraId="651B2FD6">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w:t>
            </w:r>
          </w:p>
          <w:p w14:paraId="49622A4A">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第29.3款</w:t>
            </w:r>
          </w:p>
        </w:tc>
        <w:tc>
          <w:tcPr>
            <w:tcW w:w="1791" w:type="dxa"/>
            <w:noWrap w:val="0"/>
            <w:vAlign w:val="center"/>
          </w:tcPr>
          <w:p w14:paraId="6B4078BF">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sz w:val="21"/>
                <w:szCs w:val="21"/>
              </w:rPr>
              <w:t>最后报价调整</w:t>
            </w:r>
          </w:p>
        </w:tc>
        <w:tc>
          <w:tcPr>
            <w:tcW w:w="5133" w:type="dxa"/>
            <w:noWrap w:val="0"/>
            <w:vAlign w:val="center"/>
          </w:tcPr>
          <w:p w14:paraId="227D645B">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bCs/>
                <w:color w:val="auto"/>
                <w:sz w:val="21"/>
                <w:szCs w:val="21"/>
              </w:rPr>
              <w:t>政府采购支持中小企业发展（货物类供应商和产品制造商应同时满足小型、微型企业的条件）：小型或微型企业，最后报价扣除比例为</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rPr>
              <w:t>％；评审时，用扣除后的最后报价计算价格分。</w:t>
            </w:r>
          </w:p>
        </w:tc>
      </w:tr>
      <w:tr w14:paraId="48AA1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832" w:type="dxa"/>
            <w:noWrap w:val="0"/>
            <w:vAlign w:val="center"/>
          </w:tcPr>
          <w:p w14:paraId="625C2598">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第二章第29.6款</w:t>
            </w:r>
          </w:p>
        </w:tc>
        <w:tc>
          <w:tcPr>
            <w:tcW w:w="1791" w:type="dxa"/>
            <w:noWrap w:val="0"/>
            <w:vAlign w:val="center"/>
          </w:tcPr>
          <w:p w14:paraId="2506AA10">
            <w:pPr>
              <w:keepNext w:val="0"/>
              <w:keepLines w:val="0"/>
              <w:pageBreakBefore w:val="0"/>
              <w:widowControl w:val="0"/>
              <w:kinsoku/>
              <w:wordWrap/>
              <w:overflowPunct w:val="0"/>
              <w:topLinePunct w:val="0"/>
              <w:bidi w:val="0"/>
              <w:adjustRightInd w:val="0"/>
              <w:snapToGrid w:val="0"/>
              <w:spacing w:line="400" w:lineRule="exact"/>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多处或部分获得政府采购政策优惠的计算方法</w:t>
            </w:r>
          </w:p>
        </w:tc>
        <w:tc>
          <w:tcPr>
            <w:tcW w:w="5133" w:type="dxa"/>
            <w:noWrap w:val="0"/>
            <w:vAlign w:val="center"/>
          </w:tcPr>
          <w:p w14:paraId="73136284">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1、供应商同时符合小型、微型企业及监狱企业、残疾人福利性单位要求的，评审时只有一种类型享受价格评审优惠政策；</w:t>
            </w:r>
          </w:p>
          <w:p w14:paraId="27C0DB43">
            <w:pPr>
              <w:keepNext w:val="0"/>
              <w:keepLines w:val="0"/>
              <w:pageBreakBefore w:val="0"/>
              <w:widowControl w:val="0"/>
              <w:kinsoku/>
              <w:wordWrap/>
              <w:overflowPunct w:val="0"/>
              <w:topLinePunct w:val="0"/>
              <w:bidi w:val="0"/>
              <w:spacing w:line="400" w:lineRule="exact"/>
              <w:ind w:left="0" w:leftChars="0" w:firstLine="0" w:firstLineChars="0"/>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同一项目中小型、微型企业的供应商提供部分小型、微型企业制造的产品，以及部分产品属于优先采购政策的，评审时只对该部分产品的报价实行价格扣除或加分（按该部分产品的报价占总报价的百分比调整）。</w:t>
            </w:r>
          </w:p>
        </w:tc>
      </w:tr>
      <w:tr w14:paraId="14F8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756" w:type="dxa"/>
            <w:gridSpan w:val="3"/>
            <w:noWrap w:val="0"/>
            <w:vAlign w:val="center"/>
          </w:tcPr>
          <w:p w14:paraId="44FA68DB">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b/>
                <w:color w:val="auto"/>
                <w:kern w:val="1"/>
                <w:sz w:val="21"/>
                <w:szCs w:val="21"/>
              </w:rPr>
              <w:t>六、成交结果信息公布与授予合同</w:t>
            </w:r>
          </w:p>
        </w:tc>
      </w:tr>
      <w:tr w14:paraId="1CF06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832" w:type="dxa"/>
            <w:noWrap w:val="0"/>
            <w:vAlign w:val="center"/>
          </w:tcPr>
          <w:p w14:paraId="7CAEE033">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第二章第35.1款</w:t>
            </w:r>
          </w:p>
        </w:tc>
        <w:tc>
          <w:tcPr>
            <w:tcW w:w="1791" w:type="dxa"/>
            <w:noWrap w:val="0"/>
            <w:vAlign w:val="center"/>
          </w:tcPr>
          <w:p w14:paraId="386935CB">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财政部门指定的媒体</w:t>
            </w:r>
          </w:p>
        </w:tc>
        <w:tc>
          <w:tcPr>
            <w:tcW w:w="5133" w:type="dxa"/>
            <w:noWrap w:val="0"/>
            <w:vAlign w:val="center"/>
          </w:tcPr>
          <w:p w14:paraId="3102D603">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u w:val="single"/>
              </w:rPr>
            </w:pPr>
            <w:r>
              <w:rPr>
                <w:rFonts w:hint="eastAsia" w:ascii="宋体" w:hAnsi="宋体" w:eastAsia="宋体" w:cs="宋体"/>
                <w:color w:val="auto"/>
                <w:sz w:val="21"/>
                <w:szCs w:val="21"/>
              </w:rPr>
              <w:t>湖南</w:t>
            </w:r>
            <w:r>
              <w:rPr>
                <w:rFonts w:hint="eastAsia" w:ascii="宋体" w:hAnsi="宋体" w:eastAsia="宋体" w:cs="宋体"/>
                <w:color w:val="auto"/>
                <w:kern w:val="1"/>
                <w:sz w:val="21"/>
                <w:szCs w:val="21"/>
              </w:rPr>
              <w:t>政府采购网http://www.ccgp-hunan.gov.cn</w:t>
            </w:r>
          </w:p>
        </w:tc>
      </w:tr>
      <w:tr w14:paraId="38EC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832" w:type="dxa"/>
            <w:noWrap w:val="0"/>
            <w:vAlign w:val="center"/>
          </w:tcPr>
          <w:p w14:paraId="047D81E9">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第二章第37.3款</w:t>
            </w:r>
          </w:p>
        </w:tc>
        <w:tc>
          <w:tcPr>
            <w:tcW w:w="1791" w:type="dxa"/>
            <w:noWrap w:val="0"/>
            <w:vAlign w:val="center"/>
          </w:tcPr>
          <w:p w14:paraId="044AB779">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履约担保</w:t>
            </w:r>
          </w:p>
        </w:tc>
        <w:tc>
          <w:tcPr>
            <w:tcW w:w="5133" w:type="dxa"/>
            <w:noWrap w:val="0"/>
            <w:vAlign w:val="center"/>
          </w:tcPr>
          <w:p w14:paraId="73A7951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kern w:val="2"/>
                <w:szCs w:val="21"/>
              </w:rPr>
            </w:pPr>
            <w:r>
              <w:rPr>
                <w:rFonts w:hint="eastAsia" w:ascii="宋体" w:hAnsi="宋体" w:eastAsia="宋体" w:cs="宋体"/>
                <w:kern w:val="2"/>
                <w:szCs w:val="21"/>
                <w:lang w:eastAsia="zh-CN"/>
              </w:rPr>
              <w:t>□</w:t>
            </w:r>
            <w:r>
              <w:rPr>
                <w:rFonts w:hint="eastAsia" w:ascii="宋体" w:hAnsi="宋体" w:eastAsia="宋体" w:cs="宋体"/>
                <w:kern w:val="2"/>
                <w:szCs w:val="21"/>
              </w:rPr>
              <w:t>不要求提供</w:t>
            </w:r>
          </w:p>
          <w:p w14:paraId="4DADDAAD">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1"/>
                <w:sz w:val="21"/>
                <w:szCs w:val="21"/>
              </w:rPr>
            </w:pPr>
            <w:r>
              <w:rPr>
                <w:rFonts w:hint="eastAsia" w:ascii="宋体" w:hAnsi="宋体" w:eastAsia="宋体" w:cs="宋体"/>
                <w:kern w:val="2"/>
                <w:sz w:val="21"/>
                <w:szCs w:val="21"/>
                <w:lang w:val="en-US" w:eastAsia="zh-CN" w:bidi="ar-SA"/>
              </w:rPr>
              <w:t>■要求提供，履约担保的金额为：</w:t>
            </w:r>
            <w:r>
              <w:rPr>
                <w:rFonts w:hint="eastAsia" w:ascii="宋体" w:hAnsi="宋体" w:eastAsia="宋体" w:cs="Times New Roman"/>
                <w:iCs/>
                <w:color w:val="000000"/>
                <w:kern w:val="2"/>
                <w:sz w:val="21"/>
                <w:szCs w:val="21"/>
                <w:u w:val="single"/>
                <w:lang w:val="en-US" w:eastAsia="zh-CN" w:bidi="ar-SA"/>
              </w:rPr>
              <w:t>中标、成交金额降价幅度不超过采购预算10% 的，履约保证金为中标、成交金额的10%;中标、成交金额降价幅度超过采购预算10%以上的，履约保证金为采购预算减去中标、成交金额的差额（只接受银行保函或现金转账）</w:t>
            </w:r>
            <w:r>
              <w:rPr>
                <w:rFonts w:hint="eastAsia" w:ascii="宋体" w:hAnsi="宋体" w:eastAsia="宋体" w:cs="Times New Roman"/>
                <w:color w:val="000000"/>
                <w:kern w:val="2"/>
                <w:sz w:val="21"/>
                <w:szCs w:val="21"/>
                <w:u w:val="single"/>
                <w:lang w:val="en-US" w:eastAsia="zh-CN" w:bidi="ar-SA"/>
              </w:rPr>
              <w:t>；</w:t>
            </w:r>
            <w:r>
              <w:rPr>
                <w:rFonts w:hint="eastAsia" w:ascii="宋体" w:hAnsi="宋体" w:eastAsia="宋体" w:cs="Times New Roman"/>
                <w:iCs/>
                <w:color w:val="000000"/>
                <w:kern w:val="2"/>
                <w:sz w:val="21"/>
                <w:szCs w:val="21"/>
                <w:u w:val="single"/>
                <w:lang w:val="en-US" w:eastAsia="zh-CN" w:bidi="ar-SA"/>
              </w:rPr>
              <w:t>供应商提交的银行保函，在项目交付使用前不可撤销、不可转让、见索即付，履约担保责任至对应项目交付使用之日终止。银行保函应当是投标人注册地或者项目所在地市域内的银行出具的保函；供应商自领取中标、成交通知书后7个工作日内提交履约保证金。</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kern w:val="2"/>
                <w:sz w:val="21"/>
                <w:szCs w:val="21"/>
                <w:u w:val="single"/>
                <w:lang w:val="en-US" w:eastAsia="zh-CN" w:bidi="ar-SA"/>
              </w:rPr>
              <w:t xml:space="preserve">   </w:t>
            </w:r>
          </w:p>
        </w:tc>
      </w:tr>
      <w:tr w14:paraId="49EC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8756" w:type="dxa"/>
            <w:gridSpan w:val="3"/>
            <w:noWrap w:val="0"/>
            <w:vAlign w:val="center"/>
          </w:tcPr>
          <w:p w14:paraId="052CE882">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七、其他规定</w:t>
            </w:r>
          </w:p>
        </w:tc>
      </w:tr>
      <w:tr w14:paraId="7870F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832" w:type="dxa"/>
            <w:noWrap w:val="0"/>
            <w:vAlign w:val="center"/>
          </w:tcPr>
          <w:p w14:paraId="5E992704">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第二章第40.1款</w:t>
            </w:r>
          </w:p>
        </w:tc>
        <w:tc>
          <w:tcPr>
            <w:tcW w:w="1791" w:type="dxa"/>
            <w:noWrap w:val="0"/>
            <w:vAlign w:val="center"/>
          </w:tcPr>
          <w:p w14:paraId="69E87178">
            <w:pPr>
              <w:keepNext w:val="0"/>
              <w:keepLines w:val="0"/>
              <w:pageBreakBefore w:val="0"/>
              <w:widowControl w:val="0"/>
              <w:kinsoku/>
              <w:wordWrap/>
              <w:overflowPunct w:val="0"/>
              <w:topLinePunct w:val="0"/>
              <w:bidi w:val="0"/>
              <w:spacing w:line="400" w:lineRule="exact"/>
              <w:ind w:left="0" w:leftChars="0" w:firstLine="0" w:firstLineChars="0"/>
              <w:jc w:val="center"/>
              <w:textAlignment w:val="auto"/>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其他规定</w:t>
            </w:r>
          </w:p>
        </w:tc>
        <w:tc>
          <w:tcPr>
            <w:tcW w:w="5133" w:type="dxa"/>
            <w:noWrap w:val="0"/>
            <w:vAlign w:val="center"/>
          </w:tcPr>
          <w:p w14:paraId="29B7C151">
            <w:pPr>
              <w:pStyle w:val="7"/>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1．对列入失信被执行人、重大税收违法失信主体、政府采购严重违法失信行为记录名单及其他不符合《中华人民共和国政府采购法》第二十二条规定条件的供应商，将拒绝其参与政府采购活动。</w:t>
            </w:r>
          </w:p>
          <w:p w14:paraId="25F9C6FD">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2．投标人未被“信用中国”（www.creditchina.gov.cn）、中国政府采购网（https://www.ccgp.gov.cn）列入失信被执行人、重大税收违法失信主体、政府采购严重违法失信行为记录名单，并提交截图证明</w:t>
            </w:r>
            <w:r>
              <w:rPr>
                <w:rFonts w:hint="eastAsia" w:ascii="宋体" w:hAnsi="宋体" w:eastAsia="宋体" w:cs="宋体"/>
                <w:bCs/>
                <w:color w:val="auto"/>
                <w:sz w:val="21"/>
                <w:szCs w:val="21"/>
                <w:lang w:val="en-US" w:eastAsia="zh-CN"/>
              </w:rPr>
              <w:t>且查询日期不得早于本项目公告发布之日</w:t>
            </w:r>
            <w:r>
              <w:rPr>
                <w:rFonts w:hint="eastAsia" w:ascii="宋体" w:hAnsi="宋体" w:eastAsia="宋体" w:cs="宋体"/>
                <w:bCs/>
                <w:color w:val="auto"/>
                <w:sz w:val="21"/>
                <w:szCs w:val="21"/>
              </w:rPr>
              <w:t>。</w:t>
            </w:r>
          </w:p>
          <w:p w14:paraId="0D46C309">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3．信用信息查询的截止时点：至本项目投标截止时间止（或至本项目响应文件提交截止时间止）。</w:t>
            </w:r>
          </w:p>
          <w:p w14:paraId="3DC70A3C">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w:t>
            </w:r>
            <w:r>
              <w:rPr>
                <w:rFonts w:hint="eastAsia" w:ascii="宋体" w:hAnsi="宋体" w:eastAsia="宋体" w:cs="宋体"/>
                <w:color w:val="auto"/>
                <w:sz w:val="21"/>
                <w:szCs w:val="21"/>
              </w:rPr>
              <w:t>．</w:t>
            </w:r>
            <w:r>
              <w:rPr>
                <w:rFonts w:hint="eastAsia" w:ascii="宋体" w:hAnsi="宋体" w:eastAsia="宋体" w:cs="宋体"/>
                <w:b/>
                <w:color w:val="auto"/>
                <w:sz w:val="21"/>
                <w:szCs w:val="21"/>
              </w:rPr>
              <w:t>信用信息查询记录证据留存的具体方式：查询记录的网页打印件。</w:t>
            </w:r>
          </w:p>
          <w:p w14:paraId="434995BF">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信用信息的使用规则：对列入失信被执行人、重大税收违法失信主体、政府采购严重违法失信行为记录名单及其他不符合《中华人民共和国政府采购法》第二十二条规定条件的供应商，将拒绝其参与政府采购活动。”</w:t>
            </w:r>
          </w:p>
          <w:p w14:paraId="2071D277">
            <w:pPr>
              <w:keepNext w:val="0"/>
              <w:keepLines w:val="0"/>
              <w:pageBreakBefore w:val="0"/>
              <w:widowControl w:val="0"/>
              <w:kinsoku/>
              <w:wordWrap/>
              <w:overflowPunct w:val="0"/>
              <w:topLinePunct w:val="0"/>
              <w:autoSpaceDE/>
              <w:autoSpaceDN/>
              <w:bidi w:val="0"/>
              <w:adjustRightInd/>
              <w:snapToGrid/>
              <w:spacing w:line="360" w:lineRule="exact"/>
              <w:ind w:left="0" w:leftChars="0" w:firstLine="0" w:firstLine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供应商须派法定代表人或者委托代理人持法人代表资格证明、授权委托书及本人身份证等原件参加磋商会。</w:t>
            </w:r>
          </w:p>
        </w:tc>
      </w:tr>
    </w:tbl>
    <w:p w14:paraId="09FD1DD1">
      <w:pPr>
        <w:pageBreakBefore w:val="0"/>
        <w:widowControl w:val="0"/>
        <w:kinsoku/>
        <w:wordWrap/>
        <w:overflowPunct w:val="0"/>
        <w:bidi w:val="0"/>
        <w:jc w:val="both"/>
        <w:textAlignment w:val="auto"/>
        <w:rPr>
          <w:rFonts w:ascii="宋体" w:hAnsi="宋体" w:eastAsia="宋体" w:cs="宋体"/>
          <w:b/>
          <w:color w:val="auto"/>
          <w:kern w:val="1"/>
          <w:sz w:val="28"/>
          <w:szCs w:val="28"/>
        </w:rPr>
      </w:pPr>
      <w:r>
        <w:rPr>
          <w:rFonts w:ascii="Times New Roman" w:hAnsi="Times New Roman" w:eastAsia="宋体" w:cs="Times New Roman"/>
          <w:color w:val="auto"/>
        </w:rPr>
        <w:br w:type="page"/>
      </w:r>
      <w:r>
        <w:rPr>
          <w:rFonts w:hint="eastAsia" w:ascii="宋体" w:hAnsi="宋体" w:eastAsia="宋体" w:cs="宋体"/>
          <w:b/>
          <w:bCs/>
          <w:color w:val="auto"/>
          <w:kern w:val="1"/>
          <w:sz w:val="28"/>
          <w:szCs w:val="28"/>
        </w:rPr>
        <w:t>附页1</w:t>
      </w:r>
    </w:p>
    <w:p w14:paraId="6E579F5D">
      <w:pPr>
        <w:pStyle w:val="7"/>
        <w:pageBreakBefore w:val="0"/>
        <w:widowControl w:val="0"/>
        <w:kinsoku/>
        <w:wordWrap/>
        <w:overflowPunct w:val="0"/>
        <w:bidi w:val="0"/>
        <w:jc w:val="center"/>
        <w:textAlignment w:val="auto"/>
        <w:outlineLvl w:val="1"/>
        <w:rPr>
          <w:rFonts w:hint="eastAsia" w:ascii="宋体" w:hAnsi="宋体" w:eastAsia="宋体" w:cs="宋体"/>
          <w:b/>
          <w:color w:val="auto"/>
          <w:sz w:val="32"/>
          <w:szCs w:val="32"/>
        </w:rPr>
      </w:pPr>
      <w:bookmarkStart w:id="23" w:name="_Toc19119"/>
      <w:r>
        <w:rPr>
          <w:rFonts w:hint="eastAsia" w:ascii="宋体" w:hAnsi="宋体" w:eastAsia="宋体" w:cs="宋体"/>
          <w:b/>
          <w:color w:val="auto"/>
          <w:sz w:val="32"/>
          <w:szCs w:val="32"/>
        </w:rPr>
        <w:t>评审因素和标准</w:t>
      </w:r>
      <w:bookmarkEnd w:id="23"/>
    </w:p>
    <w:p w14:paraId="57132F52">
      <w:pPr>
        <w:pageBreakBefore w:val="0"/>
        <w:widowControl w:val="0"/>
        <w:kinsoku/>
        <w:wordWrap/>
        <w:overflowPunct w:val="0"/>
        <w:bidi w:val="0"/>
        <w:ind w:firstLine="420"/>
        <w:jc w:val="both"/>
        <w:textAlignment w:val="auto"/>
        <w:rPr>
          <w:rFonts w:hint="eastAsia" w:ascii="Times New Roman" w:hAnsi="Times New Roman" w:eastAsia="宋体" w:cs="宋体"/>
          <w:b/>
          <w:color w:val="auto"/>
          <w:sz w:val="24"/>
          <w:lang w:eastAsia="zh-CN"/>
        </w:rPr>
      </w:pPr>
      <w:r>
        <w:rPr>
          <w:rFonts w:hint="eastAsia" w:ascii="宋体" w:hAnsi="宋体" w:eastAsia="宋体" w:cs="宋体"/>
          <w:color w:val="auto"/>
          <w:szCs w:val="21"/>
        </w:rPr>
        <w:t>本采购项目采用综合评分法，满分1分。</w:t>
      </w:r>
      <w:r>
        <w:rPr>
          <w:rFonts w:hint="eastAsia" w:ascii="宋体" w:hAnsi="宋体" w:cs="宋体"/>
          <w:color w:val="auto"/>
          <w:szCs w:val="21"/>
          <w:lang w:eastAsia="zh-CN"/>
        </w:rPr>
        <w:t>（得分权重：报价得分权重 + 技术得分权重 + 商务得分权重 = 1）</w:t>
      </w:r>
    </w:p>
    <w:tbl>
      <w:tblPr>
        <w:tblStyle w:val="16"/>
        <w:tblW w:w="8955" w:type="dxa"/>
        <w:jc w:val="center"/>
        <w:tblLayout w:type="fixed"/>
        <w:tblCellMar>
          <w:top w:w="0" w:type="dxa"/>
          <w:left w:w="108" w:type="dxa"/>
          <w:bottom w:w="0" w:type="dxa"/>
          <w:right w:w="108" w:type="dxa"/>
        </w:tblCellMar>
      </w:tblPr>
      <w:tblGrid>
        <w:gridCol w:w="3862"/>
        <w:gridCol w:w="5093"/>
      </w:tblGrid>
      <w:tr w14:paraId="5641B2D7">
        <w:tblPrEx>
          <w:tblCellMar>
            <w:top w:w="0" w:type="dxa"/>
            <w:left w:w="108" w:type="dxa"/>
            <w:bottom w:w="0" w:type="dxa"/>
            <w:right w:w="108" w:type="dxa"/>
          </w:tblCellMar>
        </w:tblPrEx>
        <w:trPr>
          <w:trHeight w:val="518" w:hRule="exact"/>
          <w:jc w:val="center"/>
        </w:trPr>
        <w:tc>
          <w:tcPr>
            <w:tcW w:w="8955"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DBC6480">
            <w:pPr>
              <w:keepNext w:val="0"/>
              <w:keepLines w:val="0"/>
              <w:pageBreakBefore w:val="0"/>
              <w:widowControl w:val="0"/>
              <w:kinsoku/>
              <w:wordWrap/>
              <w:overflowPunct w:val="0"/>
              <w:topLinePunct w:val="0"/>
              <w:autoSpaceDE/>
              <w:autoSpaceDN/>
              <w:bidi w:val="0"/>
              <w:adjustRightInd w:val="0"/>
              <w:snapToGrid w:val="0"/>
              <w:spacing w:line="240" w:lineRule="auto"/>
              <w:ind w:left="628" w:leftChars="0" w:hanging="626"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评审因素及权值</w:t>
            </w:r>
          </w:p>
        </w:tc>
      </w:tr>
      <w:tr w14:paraId="387E8C67">
        <w:tblPrEx>
          <w:tblCellMar>
            <w:top w:w="0" w:type="dxa"/>
            <w:left w:w="108" w:type="dxa"/>
            <w:bottom w:w="0" w:type="dxa"/>
            <w:right w:w="108" w:type="dxa"/>
          </w:tblCellMar>
        </w:tblPrEx>
        <w:trPr>
          <w:trHeight w:val="426" w:hRule="exact"/>
          <w:jc w:val="center"/>
        </w:trPr>
        <w:tc>
          <w:tcPr>
            <w:tcW w:w="386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24E0DFB">
            <w:pPr>
              <w:keepNext w:val="0"/>
              <w:keepLines w:val="0"/>
              <w:pageBreakBefore w:val="0"/>
              <w:widowControl w:val="0"/>
              <w:kinsoku/>
              <w:wordWrap/>
              <w:overflowPunct w:val="0"/>
              <w:topLinePunct w:val="0"/>
              <w:autoSpaceDE/>
              <w:autoSpaceDN/>
              <w:bidi w:val="0"/>
              <w:adjustRightInd w:val="0"/>
              <w:snapToGrid w:val="0"/>
              <w:spacing w:line="240" w:lineRule="auto"/>
              <w:ind w:left="628" w:leftChars="0" w:hanging="626"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509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4F35626">
            <w:pPr>
              <w:keepNext w:val="0"/>
              <w:keepLines w:val="0"/>
              <w:pageBreakBefore w:val="0"/>
              <w:widowControl w:val="0"/>
              <w:kinsoku/>
              <w:wordWrap/>
              <w:overflowPunct w:val="0"/>
              <w:topLinePunct w:val="0"/>
              <w:autoSpaceDE/>
              <w:autoSpaceDN/>
              <w:bidi w:val="0"/>
              <w:adjustRightInd w:val="0"/>
              <w:snapToGrid w:val="0"/>
              <w:spacing w:line="240" w:lineRule="auto"/>
              <w:ind w:left="628" w:leftChars="0" w:hanging="626"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权值范围</w:t>
            </w:r>
          </w:p>
        </w:tc>
      </w:tr>
      <w:tr w14:paraId="2C677783">
        <w:tblPrEx>
          <w:tblCellMar>
            <w:top w:w="0" w:type="dxa"/>
            <w:left w:w="108" w:type="dxa"/>
            <w:bottom w:w="0" w:type="dxa"/>
            <w:right w:w="108" w:type="dxa"/>
          </w:tblCellMar>
        </w:tblPrEx>
        <w:trPr>
          <w:trHeight w:val="411" w:hRule="exact"/>
          <w:jc w:val="center"/>
        </w:trPr>
        <w:tc>
          <w:tcPr>
            <w:tcW w:w="386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9129700">
            <w:pPr>
              <w:keepNext w:val="0"/>
              <w:keepLines w:val="0"/>
              <w:pageBreakBefore w:val="0"/>
              <w:widowControl w:val="0"/>
              <w:kinsoku/>
              <w:wordWrap/>
              <w:overflowPunct w:val="0"/>
              <w:topLinePunct w:val="0"/>
              <w:autoSpaceDE/>
              <w:autoSpaceDN/>
              <w:bidi w:val="0"/>
              <w:adjustRightInd w:val="0"/>
              <w:snapToGrid w:val="0"/>
              <w:spacing w:line="240" w:lineRule="auto"/>
              <w:ind w:left="625" w:leftChars="0" w:hanging="623"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w:t>
            </w:r>
          </w:p>
        </w:tc>
        <w:tc>
          <w:tcPr>
            <w:tcW w:w="509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6CD5EBB">
            <w:pPr>
              <w:keepNext w:val="0"/>
              <w:keepLines w:val="0"/>
              <w:pageBreakBefore w:val="0"/>
              <w:widowControl w:val="0"/>
              <w:kinsoku/>
              <w:wordWrap/>
              <w:overflowPunct w:val="0"/>
              <w:topLinePunct w:val="0"/>
              <w:autoSpaceDE/>
              <w:autoSpaceDN/>
              <w:bidi w:val="0"/>
              <w:adjustRightInd w:val="0"/>
              <w:snapToGrid w:val="0"/>
              <w:spacing w:line="240" w:lineRule="auto"/>
              <w:ind w:left="625" w:leftChars="0" w:hanging="623" w:firstLineChars="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A1=</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15</w:t>
            </w:r>
          </w:p>
        </w:tc>
      </w:tr>
      <w:tr w14:paraId="28EC5927">
        <w:tblPrEx>
          <w:tblCellMar>
            <w:top w:w="0" w:type="dxa"/>
            <w:left w:w="108" w:type="dxa"/>
            <w:bottom w:w="0" w:type="dxa"/>
            <w:right w:w="108" w:type="dxa"/>
          </w:tblCellMar>
        </w:tblPrEx>
        <w:trPr>
          <w:trHeight w:val="418" w:hRule="exact"/>
          <w:jc w:val="center"/>
        </w:trPr>
        <w:tc>
          <w:tcPr>
            <w:tcW w:w="386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A02B56A">
            <w:pPr>
              <w:keepNext w:val="0"/>
              <w:keepLines w:val="0"/>
              <w:pageBreakBefore w:val="0"/>
              <w:widowControl w:val="0"/>
              <w:kinsoku/>
              <w:wordWrap/>
              <w:overflowPunct w:val="0"/>
              <w:topLinePunct w:val="0"/>
              <w:autoSpaceDE/>
              <w:autoSpaceDN/>
              <w:bidi w:val="0"/>
              <w:adjustRightInd w:val="0"/>
              <w:snapToGrid w:val="0"/>
              <w:spacing w:line="240" w:lineRule="auto"/>
              <w:ind w:left="625" w:leftChars="0" w:hanging="623"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技术部分</w:t>
            </w:r>
          </w:p>
        </w:tc>
        <w:tc>
          <w:tcPr>
            <w:tcW w:w="509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C28AAA8">
            <w:pPr>
              <w:keepNext w:val="0"/>
              <w:keepLines w:val="0"/>
              <w:pageBreakBefore w:val="0"/>
              <w:widowControl w:val="0"/>
              <w:kinsoku/>
              <w:wordWrap/>
              <w:overflowPunct w:val="0"/>
              <w:topLinePunct w:val="0"/>
              <w:autoSpaceDE/>
              <w:autoSpaceDN/>
              <w:bidi w:val="0"/>
              <w:adjustRightInd w:val="0"/>
              <w:snapToGrid w:val="0"/>
              <w:spacing w:line="240" w:lineRule="auto"/>
              <w:ind w:left="625" w:leftChars="0" w:hanging="623"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A2=</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rPr>
              <w:t>75</w:t>
            </w:r>
          </w:p>
        </w:tc>
      </w:tr>
      <w:tr w14:paraId="6BD22BF7">
        <w:tblPrEx>
          <w:tblCellMar>
            <w:top w:w="0" w:type="dxa"/>
            <w:left w:w="108" w:type="dxa"/>
            <w:bottom w:w="0" w:type="dxa"/>
            <w:right w:w="108" w:type="dxa"/>
          </w:tblCellMar>
        </w:tblPrEx>
        <w:trPr>
          <w:trHeight w:val="423" w:hRule="exact"/>
          <w:jc w:val="center"/>
        </w:trPr>
        <w:tc>
          <w:tcPr>
            <w:tcW w:w="3862"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6CE4AE0">
            <w:pPr>
              <w:keepNext w:val="0"/>
              <w:keepLines w:val="0"/>
              <w:pageBreakBefore w:val="0"/>
              <w:widowControl w:val="0"/>
              <w:kinsoku/>
              <w:wordWrap/>
              <w:overflowPunct w:val="0"/>
              <w:topLinePunct w:val="0"/>
              <w:autoSpaceDE/>
              <w:autoSpaceDN/>
              <w:bidi w:val="0"/>
              <w:adjustRightInd w:val="0"/>
              <w:snapToGrid w:val="0"/>
              <w:spacing w:line="240" w:lineRule="auto"/>
              <w:ind w:left="625" w:leftChars="0" w:hanging="623"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商务部分</w:t>
            </w:r>
          </w:p>
        </w:tc>
        <w:tc>
          <w:tcPr>
            <w:tcW w:w="5093"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2E1FE44">
            <w:pPr>
              <w:keepNext w:val="0"/>
              <w:keepLines w:val="0"/>
              <w:pageBreakBefore w:val="0"/>
              <w:widowControl w:val="0"/>
              <w:kinsoku/>
              <w:wordWrap/>
              <w:overflowPunct w:val="0"/>
              <w:topLinePunct w:val="0"/>
              <w:autoSpaceDE/>
              <w:autoSpaceDN/>
              <w:bidi w:val="0"/>
              <w:adjustRightInd w:val="0"/>
              <w:snapToGrid w:val="0"/>
              <w:spacing w:line="240" w:lineRule="auto"/>
              <w:ind w:left="625" w:leftChars="0" w:hanging="623" w:firstLineChars="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A3=</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1</w:t>
            </w:r>
          </w:p>
        </w:tc>
      </w:tr>
    </w:tbl>
    <w:p w14:paraId="46D05D04">
      <w:pPr>
        <w:pageBreakBefore w:val="0"/>
        <w:widowControl w:val="0"/>
        <w:kinsoku/>
        <w:wordWrap/>
        <w:overflowPunct w:val="0"/>
        <w:bidi w:val="0"/>
        <w:jc w:val="both"/>
        <w:textAlignment w:val="auto"/>
        <w:rPr>
          <w:rFonts w:ascii="Times New Roman" w:hAnsi="Times New Roman" w:eastAsia="宋体" w:cs="Times New Roman"/>
          <w:vanish/>
          <w:color w:val="auto"/>
        </w:rPr>
      </w:pPr>
    </w:p>
    <w:p w14:paraId="39BE2BE0">
      <w:pPr>
        <w:pageBreakBefore w:val="0"/>
        <w:widowControl w:val="0"/>
        <w:kinsoku/>
        <w:wordWrap/>
        <w:overflowPunct w:val="0"/>
        <w:bidi w:val="0"/>
        <w:adjustRightInd w:val="0"/>
        <w:snapToGrid w:val="0"/>
        <w:spacing w:before="156" w:beforeLines="50"/>
        <w:jc w:val="both"/>
        <w:textAlignment w:val="auto"/>
        <w:rPr>
          <w:rFonts w:hint="eastAsia" w:ascii="黑体" w:hAnsi="黑体" w:eastAsia="黑体" w:cs="Times New Roman"/>
          <w:b/>
          <w:color w:val="auto"/>
          <w:sz w:val="28"/>
          <w:szCs w:val="28"/>
        </w:rPr>
      </w:pPr>
    </w:p>
    <w:p w14:paraId="098917DD">
      <w:pPr>
        <w:keepNext w:val="0"/>
        <w:keepLines w:val="0"/>
        <w:pageBreakBefore w:val="0"/>
        <w:widowControl w:val="0"/>
        <w:kinsoku/>
        <w:wordWrap/>
        <w:overflowPunct w:val="0"/>
        <w:topLinePunct w:val="0"/>
        <w:autoSpaceDE/>
        <w:autoSpaceDN/>
        <w:bidi w:val="0"/>
        <w:adjustRightInd w:val="0"/>
        <w:snapToGrid w:val="0"/>
        <w:spacing w:before="156" w:beforeLines="50"/>
        <w:jc w:val="center"/>
        <w:textAlignment w:val="auto"/>
        <w:outlineLvl w:val="1"/>
        <w:rPr>
          <w:rFonts w:hint="eastAsia" w:ascii="宋体" w:hAnsi="宋体" w:eastAsia="宋体" w:cs="宋体"/>
          <w:b/>
          <w:color w:val="auto"/>
          <w:sz w:val="32"/>
          <w:szCs w:val="32"/>
        </w:rPr>
      </w:pPr>
      <w:bookmarkStart w:id="24" w:name="_Toc652"/>
      <w:r>
        <w:rPr>
          <w:rFonts w:hint="eastAsia" w:ascii="宋体" w:hAnsi="宋体" w:eastAsia="宋体" w:cs="宋体"/>
          <w:b/>
          <w:color w:val="auto"/>
          <w:sz w:val="32"/>
          <w:szCs w:val="32"/>
        </w:rPr>
        <w:t>评标方法及标准</w:t>
      </w:r>
      <w:bookmarkEnd w:id="24"/>
    </w:p>
    <w:tbl>
      <w:tblPr>
        <w:tblStyle w:val="16"/>
        <w:tblW w:w="5051" w:type="pct"/>
        <w:tblInd w:w="-201" w:type="dxa"/>
        <w:tblLayout w:type="autofit"/>
        <w:tblCellMar>
          <w:top w:w="0" w:type="dxa"/>
          <w:left w:w="108" w:type="dxa"/>
          <w:bottom w:w="0" w:type="dxa"/>
          <w:right w:w="108" w:type="dxa"/>
        </w:tblCellMar>
      </w:tblPr>
      <w:tblGrid>
        <w:gridCol w:w="998"/>
        <w:gridCol w:w="996"/>
        <w:gridCol w:w="825"/>
        <w:gridCol w:w="6220"/>
      </w:tblGrid>
      <w:tr w14:paraId="2AF36985">
        <w:tblPrEx>
          <w:tblCellMar>
            <w:top w:w="0" w:type="dxa"/>
            <w:left w:w="108" w:type="dxa"/>
            <w:bottom w:w="0" w:type="dxa"/>
            <w:right w:w="108" w:type="dxa"/>
          </w:tblCellMar>
        </w:tblPrEx>
        <w:trPr>
          <w:trHeight w:val="4666" w:hRule="atLeast"/>
        </w:trPr>
        <w:tc>
          <w:tcPr>
            <w:tcW w:w="552" w:type="pct"/>
            <w:tcBorders>
              <w:top w:val="single" w:color="auto" w:sz="4" w:space="0"/>
              <w:left w:val="single" w:color="auto" w:sz="4" w:space="0"/>
              <w:bottom w:val="single" w:color="auto" w:sz="4" w:space="0"/>
              <w:right w:val="single" w:color="auto" w:sz="4" w:space="0"/>
            </w:tcBorders>
            <w:noWrap w:val="0"/>
            <w:vAlign w:val="center"/>
          </w:tcPr>
          <w:p w14:paraId="40D5ED1F">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价格部分（</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c>
          <w:tcPr>
            <w:tcW w:w="551" w:type="pct"/>
            <w:tcBorders>
              <w:top w:val="single" w:color="auto" w:sz="4" w:space="0"/>
              <w:left w:val="nil"/>
              <w:bottom w:val="single" w:color="auto" w:sz="4" w:space="0"/>
              <w:right w:val="single" w:color="auto" w:sz="4" w:space="0"/>
            </w:tcBorders>
            <w:noWrap w:val="0"/>
            <w:vAlign w:val="center"/>
          </w:tcPr>
          <w:p w14:paraId="10C55E9F">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456" w:type="pct"/>
            <w:tcBorders>
              <w:top w:val="single" w:color="auto" w:sz="4" w:space="0"/>
              <w:left w:val="nil"/>
              <w:bottom w:val="single" w:color="auto" w:sz="4" w:space="0"/>
              <w:right w:val="single" w:color="auto" w:sz="4" w:space="0"/>
            </w:tcBorders>
            <w:noWrap w:val="0"/>
            <w:vAlign w:val="center"/>
          </w:tcPr>
          <w:p w14:paraId="45AEC157">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100</w:t>
            </w:r>
            <w:r>
              <w:rPr>
                <w:rFonts w:hint="eastAsia" w:ascii="宋体" w:hAnsi="宋体" w:eastAsia="宋体" w:cs="宋体"/>
                <w:color w:val="auto"/>
                <w:sz w:val="21"/>
                <w:szCs w:val="21"/>
              </w:rPr>
              <w:t>分</w:t>
            </w:r>
          </w:p>
        </w:tc>
        <w:tc>
          <w:tcPr>
            <w:tcW w:w="3440" w:type="pct"/>
            <w:tcBorders>
              <w:top w:val="single" w:color="auto" w:sz="4" w:space="0"/>
              <w:left w:val="nil"/>
              <w:bottom w:val="single" w:color="auto" w:sz="4" w:space="0"/>
              <w:right w:val="single" w:color="auto" w:sz="4" w:space="0"/>
            </w:tcBorders>
            <w:noWrap w:val="0"/>
            <w:vAlign w:val="center"/>
          </w:tcPr>
          <w:p w14:paraId="72A7DF0A">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contextualSpacing/>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以经评委会一致认定满足招标文件要求且最后报价最低的供应商的价格为评标基准价，其价格得分计</w:t>
            </w:r>
            <w:r>
              <w:rPr>
                <w:rFonts w:hint="eastAsia" w:ascii="宋体" w:hAnsi="宋体" w:cs="宋体"/>
                <w:color w:val="auto"/>
                <w:sz w:val="21"/>
                <w:szCs w:val="21"/>
                <w:lang w:val="en-US" w:eastAsia="zh-CN"/>
              </w:rPr>
              <w:t>100</w:t>
            </w:r>
            <w:r>
              <w:rPr>
                <w:rFonts w:hint="eastAsia" w:ascii="宋体" w:hAnsi="宋体" w:eastAsia="宋体" w:cs="宋体"/>
                <w:color w:val="auto"/>
                <w:sz w:val="21"/>
                <w:szCs w:val="21"/>
              </w:rPr>
              <w:t>分。其他投标人的价格得分统一按公式计算：投标报价得分=(评标基准价/投标报价)×价格权值×100。</w:t>
            </w:r>
          </w:p>
          <w:p w14:paraId="0E26612E">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contextualSpacing/>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注：报价得分精确到小数点后两位；无效投标的报价不计入价格分值的计算。</w:t>
            </w:r>
          </w:p>
          <w:p w14:paraId="3BDAC29D">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为了防止恶意投标，投标人报价明显低于其他投标人报价的，使得其投标报价可能低于本招标项目成本的，有可能影响项目质量或不能诚信履约的，给委托方带来严重风险的，投标人应按评标委员会要求作出书面说明并提供相关证明材料，不做说明、不能合理说明或不能提供相关证明材料的，将被认定为恶意低价竞标并作无效投标处理。</w:t>
            </w:r>
          </w:p>
        </w:tc>
      </w:tr>
      <w:tr w14:paraId="1A99CFCE">
        <w:tblPrEx>
          <w:tblCellMar>
            <w:top w:w="0" w:type="dxa"/>
            <w:left w:w="108" w:type="dxa"/>
            <w:bottom w:w="0" w:type="dxa"/>
            <w:right w:w="108" w:type="dxa"/>
          </w:tblCellMar>
        </w:tblPrEx>
        <w:trPr>
          <w:trHeight w:val="3083" w:hRule="atLeast"/>
        </w:trPr>
        <w:tc>
          <w:tcPr>
            <w:tcW w:w="552" w:type="pct"/>
            <w:vMerge w:val="restart"/>
            <w:tcBorders>
              <w:top w:val="single" w:color="auto" w:sz="4" w:space="0"/>
              <w:left w:val="single" w:color="auto" w:sz="4" w:space="0"/>
              <w:right w:val="single" w:color="auto" w:sz="4" w:space="0"/>
            </w:tcBorders>
            <w:noWrap w:val="0"/>
            <w:vAlign w:val="center"/>
          </w:tcPr>
          <w:p w14:paraId="71EB409E">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75分）</w:t>
            </w:r>
          </w:p>
        </w:tc>
        <w:tc>
          <w:tcPr>
            <w:tcW w:w="551" w:type="pct"/>
            <w:tcBorders>
              <w:top w:val="single" w:color="auto" w:sz="4" w:space="0"/>
              <w:left w:val="nil"/>
              <w:bottom w:val="single" w:color="auto" w:sz="4" w:space="0"/>
              <w:right w:val="single" w:color="auto" w:sz="4" w:space="0"/>
            </w:tcBorders>
            <w:noWrap w:val="0"/>
            <w:vAlign w:val="center"/>
          </w:tcPr>
          <w:p w14:paraId="6BF9D6D7">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总体方案</w:t>
            </w:r>
          </w:p>
        </w:tc>
        <w:tc>
          <w:tcPr>
            <w:tcW w:w="456" w:type="pct"/>
            <w:tcBorders>
              <w:top w:val="single" w:color="auto" w:sz="4" w:space="0"/>
              <w:left w:val="nil"/>
              <w:bottom w:val="single" w:color="auto" w:sz="4" w:space="0"/>
              <w:right w:val="single" w:color="auto" w:sz="4" w:space="0"/>
            </w:tcBorders>
            <w:noWrap w:val="0"/>
            <w:vAlign w:val="center"/>
          </w:tcPr>
          <w:p w14:paraId="2418F59E">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3440" w:type="pct"/>
            <w:tcBorders>
              <w:top w:val="single" w:color="auto" w:sz="4" w:space="0"/>
              <w:left w:val="nil"/>
              <w:bottom w:val="single" w:color="auto" w:sz="4" w:space="0"/>
              <w:right w:val="single" w:color="auto" w:sz="4" w:space="0"/>
            </w:tcBorders>
            <w:noWrap w:val="0"/>
            <w:vAlign w:val="center"/>
          </w:tcPr>
          <w:p w14:paraId="1EACEC49">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文件中需提供详细的总体方案，包含不限于以下5项内容：1、项目的总体规划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2、项目的组织管理机构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3、项目进度计划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4、项目的重难点分析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5、项目的合理化建议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评判标准：包含以上所有内容且方案思路清晰、明确，对工作目标和任务的理解充分、准确并符合本项目实际情况的得20分，对项目对项目总体方案理解不完整或有缺陷的每处扣2分；未提供不得分。</w:t>
            </w:r>
          </w:p>
        </w:tc>
      </w:tr>
      <w:tr w14:paraId="37021A0F">
        <w:tblPrEx>
          <w:tblCellMar>
            <w:top w:w="0" w:type="dxa"/>
            <w:left w:w="108" w:type="dxa"/>
            <w:bottom w:w="0" w:type="dxa"/>
            <w:right w:w="108" w:type="dxa"/>
          </w:tblCellMar>
        </w:tblPrEx>
        <w:trPr>
          <w:trHeight w:val="1993" w:hRule="atLeast"/>
        </w:trPr>
        <w:tc>
          <w:tcPr>
            <w:tcW w:w="552" w:type="pct"/>
            <w:vMerge w:val="continue"/>
            <w:tcBorders>
              <w:left w:val="single" w:color="auto" w:sz="4" w:space="0"/>
              <w:bottom w:val="single" w:color="auto" w:sz="4" w:space="0"/>
              <w:right w:val="single" w:color="auto" w:sz="4" w:space="0"/>
            </w:tcBorders>
            <w:noWrap w:val="0"/>
            <w:vAlign w:val="center"/>
          </w:tcPr>
          <w:p w14:paraId="77BA954B">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p>
        </w:tc>
        <w:tc>
          <w:tcPr>
            <w:tcW w:w="551" w:type="pct"/>
            <w:tcBorders>
              <w:top w:val="single" w:color="auto" w:sz="4" w:space="0"/>
              <w:left w:val="nil"/>
              <w:bottom w:val="single" w:color="auto" w:sz="4" w:space="0"/>
              <w:right w:val="single" w:color="auto" w:sz="4" w:space="0"/>
            </w:tcBorders>
            <w:noWrap w:val="0"/>
            <w:vAlign w:val="center"/>
          </w:tcPr>
          <w:p w14:paraId="139D6F57">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施工方案与措施</w:t>
            </w:r>
          </w:p>
        </w:tc>
        <w:tc>
          <w:tcPr>
            <w:tcW w:w="456" w:type="pct"/>
            <w:tcBorders>
              <w:top w:val="single" w:color="auto" w:sz="4" w:space="0"/>
              <w:left w:val="nil"/>
              <w:bottom w:val="single" w:color="auto" w:sz="4" w:space="0"/>
              <w:right w:val="single" w:color="auto" w:sz="4" w:space="0"/>
            </w:tcBorders>
            <w:noWrap w:val="0"/>
            <w:vAlign w:val="center"/>
          </w:tcPr>
          <w:p w14:paraId="4DE0E7A5">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3440" w:type="pct"/>
            <w:tcBorders>
              <w:top w:val="single" w:color="auto" w:sz="4" w:space="0"/>
              <w:left w:val="nil"/>
              <w:bottom w:val="single" w:color="auto" w:sz="4" w:space="0"/>
              <w:right w:val="single" w:color="auto" w:sz="4" w:space="0"/>
            </w:tcBorders>
            <w:noWrap w:val="0"/>
            <w:vAlign w:val="center"/>
          </w:tcPr>
          <w:p w14:paraId="5580428D">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需要针对项目采购需求给出项目具体的实施方案：</w:t>
            </w:r>
            <w:r>
              <w:rPr>
                <w:rFonts w:hint="eastAsia" w:ascii="宋体" w:hAnsi="宋体" w:eastAsia="宋体" w:cs="宋体"/>
                <w:color w:val="auto"/>
                <w:sz w:val="21"/>
                <w:szCs w:val="21"/>
                <w:lang w:val="en-US" w:eastAsia="zh-CN"/>
              </w:rPr>
              <w:t>实施方案科学合理、工作流程清晰、时间及人员安排满足总体计划要求，制定项目实施进度表具体、合理的得20分，施工方案与措施不完整或有缺陷的每处扣2分，扣完为止，未提供方案不计分。</w:t>
            </w:r>
          </w:p>
        </w:tc>
      </w:tr>
      <w:tr w14:paraId="2C4A5946">
        <w:tblPrEx>
          <w:tblCellMar>
            <w:top w:w="0" w:type="dxa"/>
            <w:left w:w="108" w:type="dxa"/>
            <w:bottom w:w="0" w:type="dxa"/>
            <w:right w:w="108" w:type="dxa"/>
          </w:tblCellMar>
        </w:tblPrEx>
        <w:trPr>
          <w:trHeight w:val="1911" w:hRule="atLeast"/>
        </w:trPr>
        <w:tc>
          <w:tcPr>
            <w:tcW w:w="552" w:type="pct"/>
            <w:vMerge w:val="continue"/>
            <w:tcBorders>
              <w:left w:val="single" w:color="auto" w:sz="4" w:space="0"/>
              <w:bottom w:val="single" w:color="auto" w:sz="4" w:space="0"/>
              <w:right w:val="single" w:color="auto" w:sz="4" w:space="0"/>
            </w:tcBorders>
            <w:noWrap w:val="0"/>
            <w:vAlign w:val="center"/>
          </w:tcPr>
          <w:p w14:paraId="0FC0CE24">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p>
        </w:tc>
        <w:tc>
          <w:tcPr>
            <w:tcW w:w="551" w:type="pct"/>
            <w:tcBorders>
              <w:top w:val="single" w:color="auto" w:sz="4" w:space="0"/>
              <w:left w:val="nil"/>
              <w:bottom w:val="single" w:color="auto" w:sz="4" w:space="0"/>
              <w:right w:val="single" w:color="auto" w:sz="4" w:space="0"/>
            </w:tcBorders>
            <w:noWrap w:val="0"/>
            <w:vAlign w:val="center"/>
          </w:tcPr>
          <w:p w14:paraId="2BE7D6BC">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质量保证措施</w:t>
            </w:r>
          </w:p>
        </w:tc>
        <w:tc>
          <w:tcPr>
            <w:tcW w:w="456" w:type="pct"/>
            <w:tcBorders>
              <w:top w:val="single" w:color="auto" w:sz="4" w:space="0"/>
              <w:left w:val="nil"/>
              <w:bottom w:val="single" w:color="auto" w:sz="4" w:space="0"/>
              <w:right w:val="single" w:color="auto" w:sz="4" w:space="0"/>
            </w:tcBorders>
            <w:noWrap w:val="0"/>
            <w:vAlign w:val="center"/>
          </w:tcPr>
          <w:p w14:paraId="4D5F7432">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tc>
        <w:tc>
          <w:tcPr>
            <w:tcW w:w="3440" w:type="pct"/>
            <w:tcBorders>
              <w:top w:val="single" w:color="auto" w:sz="4" w:space="0"/>
              <w:left w:val="nil"/>
              <w:bottom w:val="single" w:color="auto" w:sz="4" w:space="0"/>
              <w:right w:val="single" w:color="auto" w:sz="4" w:space="0"/>
            </w:tcBorders>
            <w:noWrap w:val="0"/>
            <w:vAlign w:val="top"/>
          </w:tcPr>
          <w:p w14:paraId="17329A90">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需提供完整、合理、操作性强的质量控制措施，</w:t>
            </w:r>
            <w:r>
              <w:rPr>
                <w:rFonts w:hint="eastAsia" w:ascii="宋体" w:hAnsi="宋体" w:eastAsia="宋体" w:cs="宋体"/>
                <w:color w:val="auto"/>
                <w:sz w:val="21"/>
                <w:szCs w:val="21"/>
                <w:lang w:val="en-US" w:eastAsia="zh-CN"/>
              </w:rPr>
              <w:t>包括不限于</w:t>
            </w:r>
            <w:r>
              <w:rPr>
                <w:rFonts w:hint="eastAsia" w:ascii="宋体" w:hAnsi="宋体" w:eastAsia="宋体" w:cs="宋体"/>
                <w:color w:val="auto"/>
                <w:sz w:val="21"/>
                <w:szCs w:val="21"/>
              </w:rPr>
              <w:t>①质量管理目标、②质量管理制度、③质量控制保证措施等内容对检查标准和检查内容作出详细介绍，质量</w:t>
            </w:r>
            <w:r>
              <w:rPr>
                <w:rFonts w:hint="eastAsia" w:ascii="宋体" w:hAnsi="宋体" w:eastAsia="宋体" w:cs="宋体"/>
                <w:color w:val="auto"/>
                <w:sz w:val="21"/>
                <w:szCs w:val="21"/>
                <w:lang w:val="en-US" w:eastAsia="zh-CN"/>
              </w:rPr>
              <w:t>保证</w:t>
            </w:r>
            <w:r>
              <w:rPr>
                <w:rFonts w:hint="eastAsia" w:ascii="宋体" w:hAnsi="宋体" w:eastAsia="宋体" w:cs="宋体"/>
                <w:color w:val="auto"/>
                <w:sz w:val="21"/>
                <w:szCs w:val="21"/>
              </w:rPr>
              <w:t>措施简便易行，并可生成详细检查结果记录。给出清晰、准确、完整的描述得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分，质量保证措施不完整或有缺陷的每处扣2分，扣完为止，未提供方案不计分。</w:t>
            </w:r>
          </w:p>
        </w:tc>
      </w:tr>
      <w:tr w14:paraId="3DE59ACB">
        <w:tblPrEx>
          <w:tblCellMar>
            <w:top w:w="0" w:type="dxa"/>
            <w:left w:w="108" w:type="dxa"/>
            <w:bottom w:w="0" w:type="dxa"/>
            <w:right w:w="108" w:type="dxa"/>
          </w:tblCellMar>
        </w:tblPrEx>
        <w:trPr>
          <w:trHeight w:val="1219" w:hRule="atLeast"/>
        </w:trPr>
        <w:tc>
          <w:tcPr>
            <w:tcW w:w="552" w:type="pct"/>
            <w:vMerge w:val="continue"/>
            <w:tcBorders>
              <w:left w:val="single" w:color="auto" w:sz="4" w:space="0"/>
              <w:bottom w:val="single" w:color="auto" w:sz="4" w:space="0"/>
              <w:right w:val="single" w:color="auto" w:sz="4" w:space="0"/>
            </w:tcBorders>
            <w:noWrap w:val="0"/>
            <w:vAlign w:val="center"/>
          </w:tcPr>
          <w:p w14:paraId="2E497CD6">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p>
        </w:tc>
        <w:tc>
          <w:tcPr>
            <w:tcW w:w="551" w:type="pct"/>
            <w:tcBorders>
              <w:top w:val="single" w:color="auto" w:sz="4" w:space="0"/>
              <w:left w:val="nil"/>
              <w:bottom w:val="single" w:color="auto" w:sz="4" w:space="0"/>
              <w:right w:val="single" w:color="auto" w:sz="4" w:space="0"/>
            </w:tcBorders>
            <w:noWrap w:val="0"/>
            <w:vAlign w:val="center"/>
          </w:tcPr>
          <w:p w14:paraId="5714882D">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安全管理体系与措施</w:t>
            </w:r>
          </w:p>
        </w:tc>
        <w:tc>
          <w:tcPr>
            <w:tcW w:w="456" w:type="pct"/>
            <w:tcBorders>
              <w:top w:val="single" w:color="auto" w:sz="4" w:space="0"/>
              <w:left w:val="nil"/>
              <w:bottom w:val="single" w:color="auto" w:sz="4" w:space="0"/>
              <w:right w:val="single" w:color="auto" w:sz="4" w:space="0"/>
            </w:tcBorders>
            <w:noWrap w:val="0"/>
            <w:vAlign w:val="center"/>
          </w:tcPr>
          <w:p w14:paraId="6EA4FD39">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tc>
        <w:tc>
          <w:tcPr>
            <w:tcW w:w="3440" w:type="pct"/>
            <w:tcBorders>
              <w:top w:val="single" w:color="auto" w:sz="4" w:space="0"/>
              <w:left w:val="nil"/>
              <w:bottom w:val="single" w:color="auto" w:sz="4" w:space="0"/>
              <w:right w:val="single" w:color="auto" w:sz="4" w:space="0"/>
            </w:tcBorders>
            <w:noWrap w:val="0"/>
            <w:vAlign w:val="center"/>
          </w:tcPr>
          <w:p w14:paraId="24B5C0A1">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磋商小组从安全管理体系和工作制度的完整性、风险预防和应急处置措施等方面进行综合评价。安全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体系不科学的每处扣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分，扣完为止，未提供方案不计分。</w:t>
            </w:r>
          </w:p>
        </w:tc>
      </w:tr>
      <w:tr w14:paraId="02F116F5">
        <w:tblPrEx>
          <w:tblCellMar>
            <w:top w:w="0" w:type="dxa"/>
            <w:left w:w="108" w:type="dxa"/>
            <w:bottom w:w="0" w:type="dxa"/>
            <w:right w:w="108" w:type="dxa"/>
          </w:tblCellMar>
        </w:tblPrEx>
        <w:trPr>
          <w:trHeight w:val="447" w:hRule="atLeast"/>
        </w:trPr>
        <w:tc>
          <w:tcPr>
            <w:tcW w:w="552" w:type="pct"/>
            <w:vMerge w:val="continue"/>
            <w:tcBorders>
              <w:left w:val="single" w:color="auto" w:sz="4" w:space="0"/>
              <w:bottom w:val="single" w:color="auto" w:sz="4" w:space="0"/>
              <w:right w:val="single" w:color="auto" w:sz="4" w:space="0"/>
            </w:tcBorders>
            <w:noWrap w:val="0"/>
            <w:vAlign w:val="center"/>
          </w:tcPr>
          <w:p w14:paraId="508B92AF">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p>
        </w:tc>
        <w:tc>
          <w:tcPr>
            <w:tcW w:w="551" w:type="pct"/>
            <w:tcBorders>
              <w:top w:val="single" w:color="auto" w:sz="4" w:space="0"/>
              <w:left w:val="nil"/>
              <w:bottom w:val="single" w:color="auto" w:sz="4" w:space="0"/>
              <w:right w:val="single" w:color="auto" w:sz="4" w:space="0"/>
            </w:tcBorders>
            <w:noWrap w:val="0"/>
            <w:vAlign w:val="center"/>
          </w:tcPr>
          <w:p w14:paraId="326CE9A6">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环境保护管理体系与措施</w:t>
            </w:r>
          </w:p>
        </w:tc>
        <w:tc>
          <w:tcPr>
            <w:tcW w:w="456" w:type="pct"/>
            <w:tcBorders>
              <w:top w:val="single" w:color="auto" w:sz="4" w:space="0"/>
              <w:left w:val="nil"/>
              <w:bottom w:val="single" w:color="auto" w:sz="4" w:space="0"/>
              <w:right w:val="single" w:color="auto" w:sz="4" w:space="0"/>
            </w:tcBorders>
            <w:noWrap w:val="0"/>
            <w:vAlign w:val="center"/>
          </w:tcPr>
          <w:p w14:paraId="6A3D7BDA">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3440" w:type="pct"/>
            <w:tcBorders>
              <w:top w:val="single" w:color="auto" w:sz="4" w:space="0"/>
              <w:left w:val="nil"/>
              <w:bottom w:val="single" w:color="auto" w:sz="4" w:space="0"/>
              <w:right w:val="single" w:color="auto" w:sz="4" w:space="0"/>
            </w:tcBorders>
            <w:noWrap w:val="0"/>
            <w:vAlign w:val="center"/>
          </w:tcPr>
          <w:p w14:paraId="6E7542C2">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磋商小组从环境保护角度出发，对现场噪音控制、污水控制、扬尘控制，材料堆放、人员管理等环保方案进行评价。环保体系及措施科学合理、可行性高，计</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分；环境保护管理体系与措施不完整或有缺陷的每处扣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分，扣完为止，未提供方案不计分。</w:t>
            </w:r>
          </w:p>
        </w:tc>
      </w:tr>
      <w:tr w14:paraId="51409C03">
        <w:tblPrEx>
          <w:tblCellMar>
            <w:top w:w="0" w:type="dxa"/>
            <w:left w:w="108" w:type="dxa"/>
            <w:bottom w:w="0" w:type="dxa"/>
            <w:right w:w="108" w:type="dxa"/>
          </w:tblCellMar>
        </w:tblPrEx>
        <w:trPr>
          <w:trHeight w:val="994" w:hRule="atLeast"/>
        </w:trPr>
        <w:tc>
          <w:tcPr>
            <w:tcW w:w="552" w:type="pct"/>
            <w:vMerge w:val="continue"/>
            <w:tcBorders>
              <w:left w:val="single" w:color="auto" w:sz="4" w:space="0"/>
              <w:bottom w:val="single" w:color="auto" w:sz="4" w:space="0"/>
              <w:right w:val="single" w:color="auto" w:sz="4" w:space="0"/>
            </w:tcBorders>
            <w:noWrap w:val="0"/>
            <w:vAlign w:val="center"/>
          </w:tcPr>
          <w:p w14:paraId="5635E9C1">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p>
        </w:tc>
        <w:tc>
          <w:tcPr>
            <w:tcW w:w="551" w:type="pct"/>
            <w:tcBorders>
              <w:top w:val="single" w:color="auto" w:sz="4" w:space="0"/>
              <w:left w:val="nil"/>
              <w:bottom w:val="single" w:color="auto" w:sz="4" w:space="0"/>
              <w:right w:val="single" w:color="auto" w:sz="4" w:space="0"/>
            </w:tcBorders>
            <w:noWrap w:val="0"/>
            <w:vAlign w:val="center"/>
          </w:tcPr>
          <w:p w14:paraId="070F447F">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资源配备计划</w:t>
            </w:r>
          </w:p>
        </w:tc>
        <w:tc>
          <w:tcPr>
            <w:tcW w:w="456" w:type="pct"/>
            <w:tcBorders>
              <w:top w:val="single" w:color="auto" w:sz="4" w:space="0"/>
              <w:left w:val="nil"/>
              <w:bottom w:val="single" w:color="auto" w:sz="4" w:space="0"/>
              <w:right w:val="single" w:color="auto" w:sz="4" w:space="0"/>
            </w:tcBorders>
            <w:noWrap w:val="0"/>
            <w:vAlign w:val="center"/>
          </w:tcPr>
          <w:p w14:paraId="10E42EEA">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3440" w:type="pct"/>
            <w:tcBorders>
              <w:top w:val="single" w:color="auto" w:sz="4" w:space="0"/>
              <w:left w:val="nil"/>
              <w:bottom w:val="single" w:color="auto" w:sz="4" w:space="0"/>
              <w:right w:val="single" w:color="auto" w:sz="4" w:space="0"/>
            </w:tcBorders>
            <w:noWrap w:val="0"/>
            <w:vAlign w:val="center"/>
          </w:tcPr>
          <w:p w14:paraId="346353B5">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磋商小组从资源配备计划情况出发进行综合评价：资源配备计划不科学的每处扣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分，扣完为止，未提供方案不计分。</w:t>
            </w:r>
          </w:p>
        </w:tc>
      </w:tr>
      <w:tr w14:paraId="7F728125">
        <w:tblPrEx>
          <w:tblCellMar>
            <w:top w:w="0" w:type="dxa"/>
            <w:left w:w="108" w:type="dxa"/>
            <w:bottom w:w="0" w:type="dxa"/>
            <w:right w:w="108" w:type="dxa"/>
          </w:tblCellMar>
        </w:tblPrEx>
        <w:trPr>
          <w:trHeight w:val="972" w:hRule="atLeast"/>
        </w:trPr>
        <w:tc>
          <w:tcPr>
            <w:tcW w:w="552" w:type="pct"/>
            <w:tcBorders>
              <w:top w:val="single" w:color="auto" w:sz="4" w:space="0"/>
              <w:left w:val="single" w:color="auto" w:sz="4" w:space="0"/>
              <w:bottom w:val="single" w:color="auto" w:sz="4" w:space="0"/>
              <w:right w:val="single" w:color="auto" w:sz="4" w:space="0"/>
            </w:tcBorders>
            <w:noWrap w:val="0"/>
            <w:vAlign w:val="center"/>
          </w:tcPr>
          <w:p w14:paraId="216DCCE8">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tc>
        <w:tc>
          <w:tcPr>
            <w:tcW w:w="551" w:type="pct"/>
            <w:tcBorders>
              <w:top w:val="single" w:color="auto" w:sz="4" w:space="0"/>
              <w:left w:val="nil"/>
              <w:bottom w:val="single" w:color="auto" w:sz="4" w:space="0"/>
              <w:right w:val="single" w:color="auto" w:sz="4" w:space="0"/>
            </w:tcBorders>
            <w:noWrap w:val="0"/>
            <w:vAlign w:val="center"/>
          </w:tcPr>
          <w:p w14:paraId="1FE574DA">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456" w:type="pct"/>
            <w:tcBorders>
              <w:top w:val="single" w:color="auto" w:sz="4" w:space="0"/>
              <w:left w:val="nil"/>
              <w:bottom w:val="single" w:color="auto" w:sz="4" w:space="0"/>
              <w:right w:val="single" w:color="auto" w:sz="4" w:space="0"/>
            </w:tcBorders>
            <w:noWrap w:val="0"/>
            <w:vAlign w:val="center"/>
          </w:tcPr>
          <w:p w14:paraId="1FB279FB">
            <w:pPr>
              <w:keepNext w:val="0"/>
              <w:keepLines w:val="0"/>
              <w:pageBreakBefore w:val="0"/>
              <w:widowControl w:val="0"/>
              <w:kinsoku/>
              <w:wordWrap/>
              <w:overflowPunct w:val="0"/>
              <w:topLinePunct w:val="0"/>
              <w:autoSpaceDE/>
              <w:autoSpaceDN/>
              <w:bidi w:val="0"/>
              <w:adjustRightInd/>
              <w:snapToGrid/>
              <w:spacing w:line="360" w:lineRule="exact"/>
              <w:ind w:leftChars="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cs="宋体"/>
                <w:color w:val="auto"/>
                <w:sz w:val="21"/>
                <w:szCs w:val="21"/>
                <w:lang w:val="en-US" w:eastAsia="zh-CN"/>
              </w:rPr>
              <w:t>0</w:t>
            </w:r>
            <w:bookmarkStart w:id="590" w:name="_GoBack"/>
            <w:bookmarkEnd w:id="590"/>
            <w:r>
              <w:rPr>
                <w:rFonts w:hint="eastAsia" w:ascii="宋体" w:hAnsi="宋体" w:eastAsia="宋体" w:cs="宋体"/>
                <w:color w:val="auto"/>
                <w:sz w:val="21"/>
                <w:szCs w:val="21"/>
              </w:rPr>
              <w:t>分</w:t>
            </w:r>
          </w:p>
        </w:tc>
        <w:tc>
          <w:tcPr>
            <w:tcW w:w="3440" w:type="pct"/>
            <w:tcBorders>
              <w:top w:val="single" w:color="auto" w:sz="4" w:space="0"/>
              <w:left w:val="nil"/>
              <w:bottom w:val="single" w:color="auto" w:sz="4" w:space="0"/>
              <w:right w:val="single" w:color="auto" w:sz="4" w:space="0"/>
            </w:tcBorders>
            <w:noWrap w:val="0"/>
            <w:vAlign w:val="center"/>
          </w:tcPr>
          <w:p w14:paraId="12657177">
            <w:pPr>
              <w:keepNext w:val="0"/>
              <w:keepLines w:val="0"/>
              <w:pageBreakBefore w:val="0"/>
              <w:widowControl w:val="0"/>
              <w:kinsoku/>
              <w:wordWrap/>
              <w:overflowPunct w:val="0"/>
              <w:topLinePunct w:val="0"/>
              <w:autoSpaceDE/>
              <w:autoSpaceDN/>
              <w:bidi w:val="0"/>
              <w:adjustRightInd/>
              <w:snapToGrid/>
              <w:spacing w:line="360" w:lineRule="exact"/>
              <w:ind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投标人近三年以来具有类似项目业绩每个计</w:t>
            </w: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分，最多计</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分。提供施工合同复印件加盖公章，否则不计分。</w:t>
            </w:r>
          </w:p>
        </w:tc>
      </w:tr>
    </w:tbl>
    <w:p w14:paraId="2CEE285B">
      <w:pPr>
        <w:keepNext w:val="0"/>
        <w:keepLines w:val="0"/>
        <w:pageBreakBefore w:val="0"/>
        <w:widowControl w:val="0"/>
        <w:kinsoku/>
        <w:wordWrap/>
        <w:overflowPunct w:val="0"/>
        <w:topLinePunct w:val="0"/>
        <w:autoSpaceDE/>
        <w:autoSpaceDN/>
        <w:bidi w:val="0"/>
        <w:adjustRightInd/>
        <w:snapToGrid/>
        <w:spacing w:line="360" w:lineRule="exact"/>
        <w:ind w:firstLine="422" w:firstLineChars="200"/>
        <w:jc w:val="both"/>
        <w:textAlignment w:val="auto"/>
        <w:rPr>
          <w:rFonts w:ascii="宋体" w:hAnsi="宋体" w:eastAsia="宋体" w:cs="宋体"/>
          <w:b/>
          <w:bCs/>
          <w:color w:val="auto"/>
          <w:sz w:val="21"/>
          <w:szCs w:val="21"/>
        </w:rPr>
      </w:pPr>
      <w:r>
        <w:rPr>
          <w:rFonts w:hint="eastAsia" w:ascii="宋体" w:hAnsi="宋体" w:eastAsia="宋体" w:cs="宋体"/>
          <w:b/>
          <w:bCs/>
          <w:color w:val="auto"/>
          <w:sz w:val="21"/>
          <w:szCs w:val="21"/>
        </w:rPr>
        <w:t>其他说明：</w:t>
      </w:r>
    </w:p>
    <w:p w14:paraId="14137DC1">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1、供应商的综合得分为：所有磋商小组成员对其评审的综合得分。</w:t>
      </w:r>
    </w:p>
    <w:p w14:paraId="3F5F0076">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2、计算过程中，算术平均值保留2位小数（百分比亦取2位小数），第三位小数四舍五入。</w:t>
      </w:r>
    </w:p>
    <w:p w14:paraId="15E3557D">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3、评审结果按评审后得分由高到低顺序排列。</w:t>
      </w:r>
      <w:r>
        <w:rPr>
          <w:rFonts w:hint="eastAsia" w:ascii="宋体" w:hAnsi="宋体" w:eastAsia="宋体" w:cs="Times New Roman"/>
          <w:bCs/>
          <w:color w:val="auto"/>
          <w:sz w:val="21"/>
          <w:szCs w:val="21"/>
        </w:rPr>
        <w:t>评审得分相同的，按照最后报价由低到高的顺序推荐。评审得分且最后报价相同的，按照技术指标优劣顺序推荐</w:t>
      </w:r>
      <w:r>
        <w:rPr>
          <w:rFonts w:hint="eastAsia" w:ascii="宋体" w:hAnsi="宋体" w:eastAsia="宋体" w:cs="宋体"/>
          <w:color w:val="auto"/>
          <w:sz w:val="21"/>
          <w:szCs w:val="21"/>
        </w:rPr>
        <w:t>排名第一的成交候选人。</w:t>
      </w:r>
    </w:p>
    <w:p w14:paraId="299114FB">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4、凡评委评分项牵涉到的证明文件、数据、承诺，投标文件中未提供、或已提供但是字迹模糊无法辨认、语义模糊易造成误解、前后文件内容不一致的则该评分项计0分处理。</w:t>
      </w:r>
    </w:p>
    <w:p w14:paraId="438F2594">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5、竞争性磋商文件中要求查验的原件应当在投标截止时间之前递交至响应文件递交地点。</w:t>
      </w:r>
    </w:p>
    <w:p w14:paraId="349F8D0D">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6、若提交的相关证明材料无法得到核实或未在规定的时间内提交，评委会将对其所对应的评分项记0分。相关证明资料需提供复印件加盖公章，提供虚假资料的供应商将取消磋商资格。</w:t>
      </w:r>
    </w:p>
    <w:p w14:paraId="42C799F0">
      <w:pPr>
        <w:keepNext w:val="0"/>
        <w:keepLines w:val="0"/>
        <w:pageBreakBefore w:val="0"/>
        <w:widowControl w:val="0"/>
        <w:kinsoku/>
        <w:wordWrap/>
        <w:overflowPunct w:val="0"/>
        <w:topLinePunct w:val="0"/>
        <w:autoSpaceDE/>
        <w:autoSpaceDN/>
        <w:bidi w:val="0"/>
        <w:adjustRightInd/>
        <w:snapToGrid/>
        <w:spacing w:line="360" w:lineRule="exact"/>
        <w:ind w:firstLine="420" w:firstLineChars="200"/>
        <w:jc w:val="both"/>
        <w:textAlignment w:val="auto"/>
        <w:rPr>
          <w:rFonts w:ascii="宋体" w:hAnsi="宋体" w:eastAsia="宋体" w:cs="宋体"/>
          <w:color w:val="auto"/>
          <w:sz w:val="21"/>
          <w:szCs w:val="21"/>
        </w:rPr>
      </w:pPr>
      <w:r>
        <w:rPr>
          <w:rFonts w:hint="eastAsia" w:ascii="宋体" w:hAnsi="宋体" w:eastAsia="宋体" w:cs="宋体"/>
          <w:color w:val="auto"/>
          <w:sz w:val="21"/>
          <w:szCs w:val="21"/>
        </w:rPr>
        <w:t>7</w:t>
      </w:r>
      <w:r>
        <w:rPr>
          <w:rFonts w:ascii="宋体" w:hAnsi="宋体" w:eastAsia="宋体" w:cs="宋体"/>
          <w:color w:val="auto"/>
          <w:sz w:val="21"/>
          <w:szCs w:val="21"/>
        </w:rPr>
        <w:t>、所有复印件均需要加盖</w:t>
      </w:r>
      <w:r>
        <w:rPr>
          <w:rFonts w:hint="eastAsia" w:ascii="宋体" w:hAnsi="宋体" w:eastAsia="宋体" w:cs="宋体"/>
          <w:color w:val="auto"/>
          <w:sz w:val="21"/>
          <w:szCs w:val="21"/>
        </w:rPr>
        <w:t>供应商单位</w:t>
      </w:r>
      <w:r>
        <w:rPr>
          <w:rFonts w:ascii="宋体" w:hAnsi="宋体" w:eastAsia="宋体" w:cs="宋体"/>
          <w:color w:val="auto"/>
          <w:sz w:val="21"/>
          <w:szCs w:val="21"/>
        </w:rPr>
        <w:t>公章。</w:t>
      </w:r>
    </w:p>
    <w:p w14:paraId="0169375E">
      <w:pPr>
        <w:pStyle w:val="7"/>
        <w:pageBreakBefore w:val="0"/>
        <w:widowControl w:val="0"/>
        <w:kinsoku/>
        <w:wordWrap/>
        <w:overflowPunct w:val="0"/>
        <w:bidi w:val="0"/>
        <w:jc w:val="center"/>
        <w:textAlignment w:val="auto"/>
        <w:outlineLvl w:val="1"/>
        <w:rPr>
          <w:rFonts w:eastAsia="宋体" w:cs="宋体"/>
          <w:b/>
          <w:color w:val="auto"/>
          <w:sz w:val="32"/>
          <w:szCs w:val="32"/>
        </w:rPr>
      </w:pPr>
      <w:r>
        <w:rPr>
          <w:rFonts w:eastAsia="宋体" w:cs="宋体"/>
          <w:color w:val="auto"/>
        </w:rPr>
        <w:br w:type="page"/>
      </w:r>
      <w:bookmarkStart w:id="25" w:name="_Toc29658"/>
      <w:r>
        <w:rPr>
          <w:rFonts w:hint="eastAsia" w:eastAsia="宋体" w:cs="宋体"/>
          <w:b/>
          <w:color w:val="auto"/>
          <w:sz w:val="32"/>
          <w:szCs w:val="32"/>
        </w:rPr>
        <w:t>磋商须知正文</w:t>
      </w:r>
      <w:bookmarkEnd w:id="25"/>
    </w:p>
    <w:p w14:paraId="1D8A240F">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outlineLvl w:val="2"/>
        <w:rPr>
          <w:rFonts w:hint="eastAsia" w:ascii="黑体" w:hAnsi="黑体" w:eastAsia="黑体" w:cs="黑体"/>
          <w:b/>
          <w:bCs/>
          <w:color w:val="auto"/>
          <w:spacing w:val="0"/>
          <w:kern w:val="1"/>
          <w:sz w:val="24"/>
          <w:szCs w:val="24"/>
        </w:rPr>
      </w:pPr>
      <w:bookmarkStart w:id="26" w:name="_Toc11891"/>
      <w:r>
        <w:rPr>
          <w:rFonts w:hint="eastAsia" w:ascii="黑体" w:hAnsi="黑体" w:eastAsia="黑体" w:cs="黑体"/>
          <w:b/>
          <w:bCs/>
          <w:color w:val="auto"/>
          <w:spacing w:val="0"/>
          <w:kern w:val="1"/>
          <w:sz w:val="24"/>
          <w:szCs w:val="24"/>
        </w:rPr>
        <w:t>一、说明</w:t>
      </w:r>
      <w:bookmarkEnd w:id="26"/>
    </w:p>
    <w:p w14:paraId="72B564DD">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1.适用范围</w:t>
      </w:r>
    </w:p>
    <w:p w14:paraId="2EE904A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1.1本磋商文件仅适用于磋商须知前附表(以下简称【</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中所叙述的采购项目。</w:t>
      </w:r>
    </w:p>
    <w:p w14:paraId="756BAD55">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2.定义</w:t>
      </w:r>
    </w:p>
    <w:p w14:paraId="6E450AF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color w:val="auto"/>
          <w:spacing w:val="0"/>
          <w:kern w:val="1"/>
          <w:sz w:val="24"/>
          <w:szCs w:val="24"/>
        </w:rPr>
        <w:t>2.1“采购人”是指依法进行政府采购的国家机关、事业单位、团体组织。本次政府采购的采购人名称、地址、电话、联系人见</w:t>
      </w:r>
      <w:r>
        <w:rPr>
          <w:rFonts w:hint="eastAsia" w:ascii="宋体" w:hAnsi="宋体" w:eastAsia="宋体" w:cs="宋体"/>
          <w:b/>
          <w:color w:val="auto"/>
          <w:spacing w:val="0"/>
          <w:kern w:val="1"/>
          <w:sz w:val="24"/>
          <w:szCs w:val="24"/>
        </w:rPr>
        <w:t>【</w:t>
      </w:r>
      <w:r>
        <w:rPr>
          <w:rFonts w:hint="eastAsia" w:ascii="宋体" w:hAnsi="宋体" w:eastAsia="宋体" w:cs="宋体"/>
          <w:color w:val="auto"/>
          <w:spacing w:val="0"/>
          <w:kern w:val="1"/>
          <w:sz w:val="24"/>
          <w:szCs w:val="24"/>
        </w:rPr>
        <w:t>磋商邀请</w:t>
      </w:r>
      <w:r>
        <w:rPr>
          <w:rFonts w:hint="eastAsia" w:ascii="宋体" w:hAnsi="宋体" w:eastAsia="宋体" w:cs="宋体"/>
          <w:b/>
          <w:color w:val="auto"/>
          <w:spacing w:val="0"/>
          <w:kern w:val="1"/>
          <w:sz w:val="24"/>
          <w:szCs w:val="24"/>
        </w:rPr>
        <w:t>】</w:t>
      </w:r>
      <w:r>
        <w:rPr>
          <w:rFonts w:hint="eastAsia" w:ascii="宋体" w:hAnsi="宋体" w:eastAsia="宋体" w:cs="宋体"/>
          <w:color w:val="auto"/>
          <w:spacing w:val="0"/>
          <w:kern w:val="1"/>
          <w:sz w:val="24"/>
          <w:szCs w:val="24"/>
        </w:rPr>
        <w:t>。</w:t>
      </w:r>
    </w:p>
    <w:p w14:paraId="5FEEB99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color w:val="auto"/>
          <w:spacing w:val="0"/>
          <w:kern w:val="1"/>
          <w:sz w:val="24"/>
          <w:szCs w:val="24"/>
        </w:rPr>
        <w:t>2.2“采购代理机构”是指接受采购人委托，代理采购项目的集中采购机构和其他采购代理机构。本次政府采购的采购代理机构名称、地址、电话、联系人见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pacing w:val="0"/>
          <w:kern w:val="1"/>
          <w:sz w:val="24"/>
          <w:szCs w:val="24"/>
        </w:rPr>
        <w:t>【</w:t>
      </w:r>
      <w:r>
        <w:rPr>
          <w:rFonts w:hint="eastAsia" w:ascii="宋体" w:hAnsi="宋体" w:eastAsia="宋体" w:cs="宋体"/>
          <w:color w:val="auto"/>
          <w:spacing w:val="0"/>
          <w:kern w:val="1"/>
          <w:sz w:val="24"/>
          <w:szCs w:val="24"/>
        </w:rPr>
        <w:t>磋商邀请</w:t>
      </w:r>
      <w:r>
        <w:rPr>
          <w:rFonts w:hint="eastAsia" w:ascii="宋体" w:hAnsi="宋体" w:eastAsia="宋体" w:cs="宋体"/>
          <w:b/>
          <w:color w:val="auto"/>
          <w:spacing w:val="0"/>
          <w:kern w:val="1"/>
          <w:sz w:val="24"/>
          <w:szCs w:val="24"/>
        </w:rPr>
        <w:t>】。</w:t>
      </w:r>
    </w:p>
    <w:p w14:paraId="3866196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1"/>
          <w:sz w:val="24"/>
          <w:szCs w:val="24"/>
        </w:rPr>
        <w:t>2.3</w:t>
      </w:r>
      <w:r>
        <w:rPr>
          <w:rFonts w:hint="eastAsia" w:ascii="宋体" w:hAnsi="宋体" w:eastAsia="宋体" w:cs="宋体"/>
          <w:color w:val="auto"/>
          <w:spacing w:val="0"/>
          <w:sz w:val="24"/>
          <w:szCs w:val="24"/>
        </w:rPr>
        <w:t>“供应商”是指响应磋商文件要求、参加竞争性磋商采购的法人、其他组织或者自然人。本次政府采购项目采用</w:t>
      </w:r>
      <w:r>
        <w:rPr>
          <w:rFonts w:hint="eastAsia" w:ascii="宋体" w:hAnsi="宋体" w:eastAsia="宋体" w:cs="宋体"/>
          <w:b/>
          <w:color w:val="auto"/>
          <w:spacing w:val="0"/>
          <w:sz w:val="24"/>
          <w:szCs w:val="24"/>
        </w:rPr>
        <w:t>【</w:t>
      </w:r>
      <w:r>
        <w:rPr>
          <w:rFonts w:hint="eastAsia" w:ascii="宋体" w:hAnsi="宋体" w:eastAsia="宋体" w:cs="宋体"/>
          <w:color w:val="auto"/>
          <w:spacing w:val="0"/>
          <w:kern w:val="1"/>
          <w:sz w:val="24"/>
          <w:szCs w:val="24"/>
        </w:rPr>
        <w:t>磋商邀请</w:t>
      </w:r>
      <w:r>
        <w:rPr>
          <w:rFonts w:hint="eastAsia" w:ascii="宋体" w:hAnsi="宋体" w:eastAsia="宋体" w:cs="宋体"/>
          <w:b/>
          <w:color w:val="auto"/>
          <w:spacing w:val="0"/>
          <w:sz w:val="24"/>
          <w:szCs w:val="24"/>
        </w:rPr>
        <w:t>】</w:t>
      </w:r>
      <w:r>
        <w:rPr>
          <w:rFonts w:hint="eastAsia" w:ascii="宋体" w:hAnsi="宋体" w:eastAsia="宋体" w:cs="宋体"/>
          <w:color w:val="auto"/>
          <w:spacing w:val="0"/>
          <w:sz w:val="24"/>
          <w:szCs w:val="24"/>
        </w:rPr>
        <w:t>所述方式，邀请符合资格条件的供应商参与竞争性磋商采购活动。供应商应持</w:t>
      </w:r>
      <w:r>
        <w:rPr>
          <w:rFonts w:hint="eastAsia" w:ascii="宋体" w:hAnsi="宋体" w:eastAsia="宋体" w:cs="宋体"/>
          <w:b/>
          <w:color w:val="auto"/>
          <w:spacing w:val="0"/>
          <w:sz w:val="24"/>
          <w:szCs w:val="24"/>
        </w:rPr>
        <w:t>【</w:t>
      </w:r>
      <w:r>
        <w:rPr>
          <w:rFonts w:hint="eastAsia" w:ascii="宋体" w:hAnsi="宋体" w:eastAsia="宋体" w:cs="宋体"/>
          <w:color w:val="auto"/>
          <w:spacing w:val="0"/>
          <w:kern w:val="1"/>
          <w:sz w:val="24"/>
          <w:szCs w:val="24"/>
        </w:rPr>
        <w:t>磋商邀请</w:t>
      </w:r>
      <w:r>
        <w:rPr>
          <w:rFonts w:hint="eastAsia" w:ascii="宋体" w:hAnsi="宋体" w:eastAsia="宋体" w:cs="宋体"/>
          <w:b/>
          <w:color w:val="auto"/>
          <w:spacing w:val="0"/>
          <w:sz w:val="24"/>
          <w:szCs w:val="24"/>
        </w:rPr>
        <w:t>】</w:t>
      </w:r>
      <w:r>
        <w:rPr>
          <w:rFonts w:hint="eastAsia" w:ascii="宋体" w:hAnsi="宋体" w:eastAsia="宋体" w:cs="宋体"/>
          <w:color w:val="auto"/>
          <w:spacing w:val="0"/>
          <w:sz w:val="24"/>
          <w:szCs w:val="24"/>
        </w:rPr>
        <w:t>规定的资料购买磋商文件。</w:t>
      </w:r>
    </w:p>
    <w:p w14:paraId="0EB6608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1"/>
          <w:sz w:val="24"/>
          <w:szCs w:val="24"/>
        </w:rPr>
        <w:t>2.4“磋商小组”是指</w:t>
      </w:r>
      <w:r>
        <w:rPr>
          <w:rFonts w:hint="eastAsia" w:ascii="宋体" w:hAnsi="宋体" w:eastAsia="宋体" w:cs="宋体"/>
          <w:color w:val="auto"/>
          <w:spacing w:val="0"/>
          <w:sz w:val="24"/>
          <w:szCs w:val="24"/>
        </w:rPr>
        <w:t>依据财政部</w:t>
      </w:r>
      <w:r>
        <w:rPr>
          <w:rFonts w:hint="eastAsia" w:ascii="宋体" w:hAnsi="宋体" w:eastAsia="宋体" w:cs="宋体"/>
          <w:bCs/>
          <w:color w:val="auto"/>
          <w:spacing w:val="0"/>
          <w:sz w:val="24"/>
          <w:szCs w:val="24"/>
        </w:rPr>
        <w:t>《政府采购竞争性磋商采购方式管理暂行办法》有关规定组建，依法依规</w:t>
      </w:r>
      <w:r>
        <w:rPr>
          <w:rFonts w:hint="eastAsia" w:ascii="宋体" w:hAnsi="宋体" w:eastAsia="宋体" w:cs="宋体"/>
          <w:color w:val="auto"/>
          <w:spacing w:val="0"/>
          <w:sz w:val="24"/>
          <w:szCs w:val="24"/>
        </w:rPr>
        <w:t>履行其职责和义务的机构。</w:t>
      </w:r>
    </w:p>
    <w:p w14:paraId="40B3C36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2.5“货物”是指各种形态和种类的物品，包括原资料、燃料、设备、产品等，详见《政府采购品目分类目录》(财库[2013]189号)。</w:t>
      </w:r>
    </w:p>
    <w:p w14:paraId="4FA35B0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2.6“工程”是指建设工程，包括建筑物和构筑物的新建、改建、扩建、装修、拆除、修缮等，详见《政府采购品目分类目录》(财库[2013]189号)。</w:t>
      </w:r>
    </w:p>
    <w:p w14:paraId="232F976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2.7“服务”是指除货物和工程以外的其他政府采购对象，详见《政府采购品目分类目录》(财库[2013]189号)。</w:t>
      </w:r>
    </w:p>
    <w:p w14:paraId="153F290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sz w:val="24"/>
          <w:szCs w:val="24"/>
        </w:rPr>
        <w:t>2.8</w:t>
      </w:r>
      <w:r>
        <w:rPr>
          <w:rFonts w:hint="eastAsia" w:ascii="宋体" w:hAnsi="宋体" w:eastAsia="宋体" w:cs="宋体"/>
          <w:color w:val="auto"/>
          <w:spacing w:val="0"/>
          <w:kern w:val="1"/>
          <w:sz w:val="24"/>
          <w:szCs w:val="24"/>
        </w:rPr>
        <w:t>“节能产品”或者“环保产品”是指财政部发布的《节能产品政府采购清单》或者《环境标志产品政府采购清单》的产品。</w:t>
      </w:r>
    </w:p>
    <w:p w14:paraId="261B55C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2.9</w:t>
      </w:r>
      <w:r>
        <w:rPr>
          <w:rFonts w:hint="eastAsia" w:ascii="宋体" w:hAnsi="宋体" w:eastAsia="宋体" w:cs="宋体"/>
          <w:color w:val="auto"/>
          <w:spacing w:val="0"/>
          <w:sz w:val="24"/>
          <w:szCs w:val="24"/>
        </w:rPr>
        <w:t>“进口产品”是指通过中国海关报关验放进入中国境内且产自关境外的产品，详见《关于政府采购进口产品管理有关问题的通知》(财库[2007]119号)。</w:t>
      </w:r>
    </w:p>
    <w:p w14:paraId="3AFD15C8">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3.供应商的资格要求</w:t>
      </w:r>
    </w:p>
    <w:p w14:paraId="1B6686A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3.1供应商应当符合</w:t>
      </w:r>
      <w:r>
        <w:rPr>
          <w:rFonts w:hint="eastAsia" w:ascii="宋体" w:hAnsi="宋体" w:eastAsia="宋体" w:cs="宋体"/>
          <w:b/>
          <w:color w:val="auto"/>
          <w:spacing w:val="0"/>
          <w:kern w:val="1"/>
          <w:sz w:val="24"/>
          <w:szCs w:val="24"/>
        </w:rPr>
        <w:t>【</w:t>
      </w:r>
      <w:r>
        <w:rPr>
          <w:rFonts w:hint="eastAsia" w:ascii="宋体" w:hAnsi="宋体" w:eastAsia="宋体" w:cs="宋体"/>
          <w:color w:val="auto"/>
          <w:spacing w:val="0"/>
          <w:kern w:val="1"/>
          <w:sz w:val="24"/>
          <w:szCs w:val="24"/>
        </w:rPr>
        <w:t>磋商邀请</w:t>
      </w:r>
      <w:r>
        <w:rPr>
          <w:rFonts w:hint="eastAsia" w:ascii="宋体" w:hAnsi="宋体" w:eastAsia="宋体" w:cs="宋体"/>
          <w:b/>
          <w:color w:val="auto"/>
          <w:spacing w:val="0"/>
          <w:kern w:val="1"/>
          <w:sz w:val="24"/>
          <w:szCs w:val="24"/>
        </w:rPr>
        <w:t>】</w:t>
      </w:r>
      <w:r>
        <w:rPr>
          <w:rFonts w:hint="eastAsia" w:ascii="宋体" w:hAnsi="宋体" w:eastAsia="宋体" w:cs="宋体"/>
          <w:color w:val="auto"/>
          <w:spacing w:val="0"/>
          <w:kern w:val="1"/>
          <w:sz w:val="24"/>
          <w:szCs w:val="24"/>
        </w:rPr>
        <w:t>中规定的资格条件要求。</w:t>
      </w:r>
    </w:p>
    <w:p w14:paraId="3BDB0BF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3.2供应商为联合体形式的，除应满足本章第3.1款资格条件要求及第3.3款规定外，还应遵守以下规定：</w:t>
      </w:r>
    </w:p>
    <w:p w14:paraId="262EE264">
      <w:pPr>
        <w:keepNext w:val="0"/>
        <w:keepLines w:val="0"/>
        <w:pageBreakBefore w:val="0"/>
        <w:widowControl w:val="0"/>
        <w:numPr>
          <w:ilvl w:val="0"/>
          <w:numId w:val="1"/>
        </w:numPr>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sz w:val="24"/>
          <w:szCs w:val="24"/>
          <w:lang w:val="zh-CN"/>
        </w:rPr>
        <w:t>联合体各方应按磋商文件提供的格式签订联合体协议书，明确联合体牵头人和各方权利义务(含承担工作及工作量比例)；</w:t>
      </w:r>
    </w:p>
    <w:p w14:paraId="1A2F7727">
      <w:pPr>
        <w:keepNext w:val="0"/>
        <w:keepLines w:val="0"/>
        <w:pageBreakBefore w:val="0"/>
        <w:widowControl w:val="0"/>
        <w:numPr>
          <w:ilvl w:val="0"/>
          <w:numId w:val="1"/>
        </w:numPr>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kern w:val="1"/>
          <w:sz w:val="24"/>
          <w:szCs w:val="24"/>
        </w:rPr>
        <w:t>联合体各方均应当符合本章第3.1</w:t>
      </w:r>
      <w:r>
        <w:rPr>
          <w:rFonts w:hint="eastAsia" w:ascii="宋体" w:hAnsi="宋体" w:eastAsia="宋体" w:cs="宋体"/>
          <w:color w:val="auto"/>
          <w:spacing w:val="0"/>
          <w:kern w:val="1"/>
          <w:sz w:val="24"/>
          <w:szCs w:val="24"/>
          <w:lang w:val="zh-CN"/>
        </w:rPr>
        <w:t>款</w:t>
      </w:r>
      <w:r>
        <w:rPr>
          <w:rFonts w:hint="eastAsia" w:ascii="宋体" w:hAnsi="宋体" w:eastAsia="宋体" w:cs="宋体"/>
          <w:color w:val="auto"/>
          <w:spacing w:val="0"/>
          <w:kern w:val="1"/>
          <w:sz w:val="24"/>
          <w:szCs w:val="24"/>
        </w:rPr>
        <w:t>规定的供应商基本资格条件；</w:t>
      </w:r>
    </w:p>
    <w:p w14:paraId="23B928BD">
      <w:pPr>
        <w:keepNext w:val="0"/>
        <w:keepLines w:val="0"/>
        <w:pageBreakBefore w:val="0"/>
        <w:widowControl w:val="0"/>
        <w:numPr>
          <w:ilvl w:val="0"/>
          <w:numId w:val="1"/>
        </w:numPr>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sz w:val="24"/>
          <w:szCs w:val="24"/>
          <w:lang w:val="zh-CN"/>
        </w:rPr>
        <w:t>除</w:t>
      </w:r>
      <w:r>
        <w:rPr>
          <w:rFonts w:hint="eastAsia" w:ascii="宋体" w:hAnsi="宋体" w:eastAsia="宋体" w:cs="宋体"/>
          <w:b/>
          <w:bCs/>
          <w:color w:val="auto"/>
          <w:spacing w:val="0"/>
          <w:sz w:val="24"/>
          <w:szCs w:val="24"/>
          <w:lang w:val="zh-CN"/>
        </w:rPr>
        <w:t>【磋商须知前附表】</w:t>
      </w:r>
      <w:r>
        <w:rPr>
          <w:rFonts w:hint="eastAsia" w:ascii="宋体" w:hAnsi="宋体" w:eastAsia="宋体" w:cs="宋体"/>
          <w:color w:val="auto"/>
          <w:spacing w:val="0"/>
          <w:sz w:val="24"/>
          <w:szCs w:val="24"/>
          <w:lang w:val="zh-CN"/>
        </w:rPr>
        <w:t>中另有规定，联合体各方中至少有一方应当符合本章第3.1款规定的供应商特定资格条件；</w:t>
      </w:r>
    </w:p>
    <w:p w14:paraId="19DC976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sz w:val="24"/>
          <w:szCs w:val="24"/>
          <w:lang w:val="zh-CN"/>
        </w:rPr>
        <w:t>（</w:t>
      </w:r>
      <w:r>
        <w:rPr>
          <w:rFonts w:hint="eastAsia" w:ascii="宋体" w:hAnsi="宋体" w:eastAsia="宋体" w:cs="宋体"/>
          <w:color w:val="auto"/>
          <w:spacing w:val="0"/>
          <w:sz w:val="24"/>
          <w:szCs w:val="24"/>
        </w:rPr>
        <w:t>4</w:t>
      </w:r>
      <w:r>
        <w:rPr>
          <w:rFonts w:hint="eastAsia" w:ascii="宋体" w:hAnsi="宋体" w:eastAsia="宋体" w:cs="宋体"/>
          <w:color w:val="auto"/>
          <w:spacing w:val="0"/>
          <w:sz w:val="24"/>
          <w:szCs w:val="24"/>
          <w:lang w:val="zh-CN"/>
        </w:rPr>
        <w:t>）联合体中有同类资质的供应商按照联合体分工承担相同工作的，应当按照资质等级较低的供应商确定资质等级；</w:t>
      </w:r>
    </w:p>
    <w:p w14:paraId="3F15CF6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sz w:val="24"/>
          <w:szCs w:val="24"/>
          <w:lang w:val="zh-CN"/>
        </w:rPr>
        <w:t>（</w:t>
      </w:r>
      <w:r>
        <w:rPr>
          <w:rFonts w:hint="eastAsia" w:ascii="宋体" w:hAnsi="宋体" w:eastAsia="宋体" w:cs="宋体"/>
          <w:color w:val="auto"/>
          <w:spacing w:val="0"/>
          <w:sz w:val="24"/>
          <w:szCs w:val="24"/>
        </w:rPr>
        <w:t>5</w:t>
      </w:r>
      <w:r>
        <w:rPr>
          <w:rFonts w:hint="eastAsia" w:ascii="宋体" w:hAnsi="宋体" w:eastAsia="宋体" w:cs="宋体"/>
          <w:color w:val="auto"/>
          <w:spacing w:val="0"/>
          <w:sz w:val="24"/>
          <w:szCs w:val="24"/>
          <w:lang w:val="zh-CN"/>
        </w:rPr>
        <w:t>）以联合体形式参加政府采购活动的，联合体各方不得再单独参加或者与其他供应商另外组成联合体参加同一合同项下的政府采购活动。</w:t>
      </w:r>
    </w:p>
    <w:p w14:paraId="3DFC4E0C">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3.3供应商不得存在下列情形之一：</w:t>
      </w:r>
    </w:p>
    <w:p w14:paraId="5AE3AFF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（l）与采购人、采购代理机构存在</w:t>
      </w:r>
      <w:r>
        <w:rPr>
          <w:rFonts w:hint="eastAsia" w:ascii="宋体" w:hAnsi="宋体" w:eastAsia="宋体" w:cs="宋体"/>
          <w:bCs/>
          <w:color w:val="auto"/>
          <w:spacing w:val="0"/>
          <w:kern w:val="1"/>
          <w:sz w:val="24"/>
          <w:szCs w:val="24"/>
        </w:rPr>
        <w:t>隶属关系或者其他利害关系</w:t>
      </w:r>
      <w:r>
        <w:rPr>
          <w:rFonts w:hint="eastAsia" w:ascii="宋体" w:hAnsi="宋体" w:eastAsia="宋体" w:cs="宋体"/>
          <w:color w:val="auto"/>
          <w:spacing w:val="0"/>
          <w:kern w:val="1"/>
          <w:sz w:val="24"/>
          <w:szCs w:val="24"/>
        </w:rPr>
        <w:t>。</w:t>
      </w:r>
    </w:p>
    <w:p w14:paraId="068DC63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（2）与其他供应商的法定代表人（或者负责人）为同一人，或者与其他供应商存在控股、关联关系。</w:t>
      </w:r>
    </w:p>
    <w:p w14:paraId="3BA9D58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（3）为采购项目提供整体设计、规范编制或者项目管理、监理、检测等服务的供应商。</w:t>
      </w:r>
    </w:p>
    <w:p w14:paraId="7DF21BF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（4）列入失信被执行人、重大税收违法案件当事人名单、政府采购严重违法失信行为记录名单及其他不符合《中华人民共和国政府采购法》第二十二条规定条件</w:t>
      </w:r>
      <w:r>
        <w:rPr>
          <w:rFonts w:hint="eastAsia" w:ascii="宋体" w:hAnsi="宋体" w:eastAsia="宋体" w:cs="宋体"/>
          <w:b/>
          <w:bCs/>
          <w:color w:val="auto"/>
          <w:spacing w:val="0"/>
          <w:kern w:val="1"/>
          <w:sz w:val="24"/>
          <w:szCs w:val="24"/>
        </w:rPr>
        <w:t>（联合体形式投标的，联合体成员存在不良信用记录，视同联合体存在不良信用记录）</w:t>
      </w:r>
      <w:r>
        <w:rPr>
          <w:rFonts w:hint="eastAsia" w:ascii="宋体" w:hAnsi="宋体" w:eastAsia="宋体" w:cs="宋体"/>
          <w:color w:val="auto"/>
          <w:spacing w:val="0"/>
          <w:kern w:val="1"/>
          <w:sz w:val="24"/>
          <w:szCs w:val="24"/>
        </w:rPr>
        <w:t>。</w:t>
      </w:r>
    </w:p>
    <w:p w14:paraId="2C365CA5">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4.参与磋商的费用</w:t>
      </w:r>
    </w:p>
    <w:p w14:paraId="0DC6B45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4.1无论磋商的结果如何，供应商应自行承担所有与竞争性磋商采购活动有关的全部费用。</w:t>
      </w:r>
    </w:p>
    <w:p w14:paraId="3354DBB5">
      <w:pPr>
        <w:pStyle w:val="7"/>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5．授权委托</w:t>
      </w:r>
    </w:p>
    <w:p w14:paraId="3D6CF939">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5.1供应商代表为供应商法定代表人的，应持有法定代表人身份证明。供应商代表不是供应商法定代表人的，应持有法定代表人授权书，并附法定代表人身份证明。</w:t>
      </w:r>
    </w:p>
    <w:p w14:paraId="034A403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6．联合体形式</w:t>
      </w:r>
    </w:p>
    <w:p w14:paraId="6BF3792E">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6.1除</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中另有规定，本次谈判采购不接受为联合体形式的供应商。</w:t>
      </w:r>
    </w:p>
    <w:p w14:paraId="215D622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6.2供应商为联合体形式的，除应符合本章第3条规定外，还应遵守以下规定：</w:t>
      </w:r>
    </w:p>
    <w:p w14:paraId="3629167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（l）联合体各方必须签订联合体协议书，明确联合体牵头人和各方的义务、工作、合同工作量比例；</w:t>
      </w:r>
    </w:p>
    <w:p w14:paraId="04996D4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（2）联合体各方均应当符合本章第3.1</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规定的供应商基本资格条件；</w:t>
      </w:r>
    </w:p>
    <w:p w14:paraId="7FA72FF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（3）除</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中另有规定，联合体各方中至少有一方应当符合本章第3.1</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规定的供应商特定资格条件；</w:t>
      </w:r>
    </w:p>
    <w:p w14:paraId="197324F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kern w:val="1"/>
          <w:sz w:val="24"/>
          <w:szCs w:val="24"/>
        </w:rPr>
        <w:t>（4）</w:t>
      </w:r>
      <w:r>
        <w:rPr>
          <w:rFonts w:hint="eastAsia" w:ascii="宋体" w:hAnsi="宋体" w:eastAsia="宋体" w:cs="宋体"/>
          <w:color w:val="auto"/>
          <w:spacing w:val="0"/>
          <w:sz w:val="24"/>
          <w:szCs w:val="24"/>
          <w:lang w:val="zh-CN"/>
        </w:rPr>
        <w:t>联合体各方不得再单独或与其他供应商组成新的联合体参加同一项目的采购活动。</w:t>
      </w:r>
    </w:p>
    <w:p w14:paraId="520FDF49">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7.现场勘察</w:t>
      </w:r>
    </w:p>
    <w:p w14:paraId="39DFF8D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7.1供应商应按</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中规定对采购项目现场和周围环境的现场考察。</w:t>
      </w:r>
    </w:p>
    <w:p w14:paraId="7CA503F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7.2勘察现场的费用由供应商自己承担，勘察期间所发生的人身伤害及财产损失由供应商自己负责。</w:t>
      </w:r>
    </w:p>
    <w:p w14:paraId="4DB1F75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color w:val="auto"/>
          <w:spacing w:val="0"/>
          <w:kern w:val="1"/>
          <w:sz w:val="24"/>
          <w:szCs w:val="24"/>
        </w:rPr>
        <w:t>7.3采购人不对供应商据此而做出的推论、理解和结论负责。一旦成交，供应商不得以任何借口，提出额外补偿，或延长合同期限的要求。</w:t>
      </w:r>
    </w:p>
    <w:p w14:paraId="5B97A254">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8.采购进口产品</w:t>
      </w:r>
    </w:p>
    <w:p w14:paraId="69E8FE6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1"/>
          <w:sz w:val="24"/>
          <w:szCs w:val="24"/>
        </w:rPr>
        <w:t>8.1除</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另有规定外，本项目</w:t>
      </w:r>
      <w:r>
        <w:rPr>
          <w:rFonts w:hint="eastAsia" w:ascii="宋体" w:hAnsi="宋体" w:eastAsia="宋体" w:cs="宋体"/>
          <w:color w:val="auto"/>
          <w:spacing w:val="0"/>
          <w:sz w:val="24"/>
          <w:szCs w:val="24"/>
        </w:rPr>
        <w:t>拒绝进口产品参加</w:t>
      </w:r>
      <w:r>
        <w:rPr>
          <w:rFonts w:hint="eastAsia" w:ascii="宋体" w:hAnsi="宋体" w:eastAsia="宋体" w:cs="宋体"/>
          <w:color w:val="auto"/>
          <w:spacing w:val="0"/>
          <w:kern w:val="1"/>
          <w:sz w:val="24"/>
          <w:szCs w:val="24"/>
        </w:rPr>
        <w:t>竞争性磋商采购活动</w:t>
      </w:r>
      <w:r>
        <w:rPr>
          <w:rFonts w:hint="eastAsia" w:ascii="宋体" w:hAnsi="宋体" w:eastAsia="宋体" w:cs="宋体"/>
          <w:color w:val="auto"/>
          <w:spacing w:val="0"/>
          <w:sz w:val="24"/>
          <w:szCs w:val="24"/>
        </w:rPr>
        <w:t>。</w:t>
      </w:r>
    </w:p>
    <w:p w14:paraId="11EC63D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8.2</w:t>
      </w:r>
      <w:r>
        <w:rPr>
          <w:rFonts w:hint="eastAsia" w:ascii="宋体" w:hAnsi="宋体" w:eastAsia="宋体" w:cs="宋体"/>
          <w:color w:val="auto"/>
          <w:spacing w:val="0"/>
          <w:kern w:val="1"/>
          <w:sz w:val="24"/>
          <w:szCs w:val="24"/>
        </w:rPr>
        <w:t>本章第8.1</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w:t>
      </w:r>
      <w:r>
        <w:rPr>
          <w:rFonts w:hint="eastAsia" w:ascii="宋体" w:hAnsi="宋体" w:eastAsia="宋体" w:cs="宋体"/>
          <w:color w:val="auto"/>
          <w:spacing w:val="0"/>
          <w:sz w:val="24"/>
          <w:szCs w:val="24"/>
        </w:rPr>
        <w:t>同意购买进口产品的，</w:t>
      </w:r>
      <w:r>
        <w:rPr>
          <w:rFonts w:hint="eastAsia" w:ascii="宋体" w:hAnsi="宋体" w:eastAsia="宋体" w:cs="宋体"/>
          <w:color w:val="auto"/>
          <w:spacing w:val="0"/>
          <w:kern w:val="1"/>
          <w:sz w:val="24"/>
          <w:szCs w:val="24"/>
        </w:rPr>
        <w:t>本项目</w:t>
      </w:r>
      <w:r>
        <w:rPr>
          <w:rFonts w:hint="eastAsia" w:ascii="宋体" w:hAnsi="宋体" w:eastAsia="宋体" w:cs="宋体"/>
          <w:color w:val="auto"/>
          <w:spacing w:val="0"/>
          <w:sz w:val="24"/>
          <w:szCs w:val="24"/>
          <w:lang w:val="zh-CN"/>
        </w:rPr>
        <w:t>采购活动</w:t>
      </w:r>
      <w:r>
        <w:rPr>
          <w:rFonts w:hint="eastAsia" w:ascii="宋体" w:hAnsi="宋体" w:eastAsia="宋体" w:cs="宋体"/>
          <w:color w:val="auto"/>
          <w:spacing w:val="0"/>
          <w:sz w:val="24"/>
          <w:szCs w:val="24"/>
        </w:rPr>
        <w:t>不限制满足</w:t>
      </w:r>
      <w:r>
        <w:rPr>
          <w:rFonts w:hint="eastAsia" w:ascii="宋体" w:hAnsi="宋体" w:eastAsia="宋体" w:cs="宋体"/>
          <w:color w:val="auto"/>
          <w:spacing w:val="0"/>
          <w:kern w:val="1"/>
          <w:sz w:val="24"/>
          <w:szCs w:val="24"/>
        </w:rPr>
        <w:t>磋商文件要求</w:t>
      </w:r>
      <w:r>
        <w:rPr>
          <w:rFonts w:hint="eastAsia" w:ascii="宋体" w:hAnsi="宋体" w:eastAsia="宋体" w:cs="宋体"/>
          <w:color w:val="auto"/>
          <w:spacing w:val="0"/>
          <w:sz w:val="24"/>
          <w:szCs w:val="24"/>
        </w:rPr>
        <w:t>的国内产品参与</w:t>
      </w:r>
      <w:r>
        <w:rPr>
          <w:rFonts w:hint="eastAsia" w:ascii="宋体" w:hAnsi="宋体" w:eastAsia="宋体" w:cs="宋体"/>
          <w:color w:val="auto"/>
          <w:spacing w:val="0"/>
          <w:kern w:val="1"/>
          <w:sz w:val="24"/>
          <w:szCs w:val="24"/>
        </w:rPr>
        <w:t>竞争性磋商</w:t>
      </w:r>
      <w:r>
        <w:rPr>
          <w:rFonts w:hint="eastAsia" w:ascii="宋体" w:hAnsi="宋体" w:eastAsia="宋体" w:cs="宋体"/>
          <w:color w:val="auto"/>
          <w:spacing w:val="0"/>
          <w:sz w:val="24"/>
          <w:szCs w:val="24"/>
        </w:rPr>
        <w:t>。</w:t>
      </w:r>
    </w:p>
    <w:p w14:paraId="5EE5DD6C">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bCs/>
          <w:color w:val="auto"/>
          <w:spacing w:val="0"/>
          <w:kern w:val="1"/>
          <w:sz w:val="24"/>
          <w:szCs w:val="24"/>
        </w:rPr>
        <w:t>9.</w:t>
      </w:r>
      <w:r>
        <w:rPr>
          <w:rFonts w:hint="eastAsia" w:ascii="宋体" w:hAnsi="宋体" w:eastAsia="宋体" w:cs="宋体"/>
          <w:b/>
          <w:color w:val="auto"/>
          <w:spacing w:val="0"/>
          <w:kern w:val="1"/>
          <w:sz w:val="24"/>
          <w:szCs w:val="24"/>
        </w:rPr>
        <w:t>政府采购政策支持</w:t>
      </w:r>
    </w:p>
    <w:p w14:paraId="481CC43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color w:val="auto"/>
          <w:spacing w:val="0"/>
          <w:sz w:val="24"/>
          <w:szCs w:val="24"/>
        </w:rPr>
        <w:t>【磋商须知前附表】。</w:t>
      </w:r>
    </w:p>
    <w:p w14:paraId="5E693268">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color w:val="auto"/>
          <w:spacing w:val="0"/>
          <w:kern w:val="0"/>
          <w:sz w:val="24"/>
          <w:szCs w:val="24"/>
        </w:rPr>
        <w:t>9.2对列入财政部、国家发展改革委发布的《节能产品政府采购清单》的“非强制采购节能产品”，财政部、环境保护部发布的《环境标志产品政府采购清单》的“环境标志产品”，实行优先采购，按照省级以上财政部门有关政策规定，评审时进行价格扣除或加分。实行政府采购优先采购的优惠率见</w:t>
      </w:r>
      <w:r>
        <w:rPr>
          <w:rFonts w:hint="eastAsia" w:ascii="宋体" w:hAnsi="宋体" w:eastAsia="宋体" w:cs="宋体"/>
          <w:b/>
          <w:color w:val="auto"/>
          <w:spacing w:val="0"/>
          <w:kern w:val="0"/>
          <w:sz w:val="24"/>
          <w:szCs w:val="24"/>
        </w:rPr>
        <w:t>【磋商须知前附表】。</w:t>
      </w:r>
    </w:p>
    <w:p w14:paraId="7654EDB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9.3价格评审优惠：（1）供应商为小型、微型企业，且提供本企业生产的货物或者提供其他小型、微型企业生产的货物，价格按</w:t>
      </w:r>
      <w:r>
        <w:rPr>
          <w:rFonts w:hint="eastAsia" w:ascii="宋体" w:hAnsi="宋体" w:eastAsia="宋体" w:cs="宋体"/>
          <w:b/>
          <w:bCs/>
          <w:color w:val="auto"/>
          <w:spacing w:val="0"/>
          <w:sz w:val="24"/>
          <w:szCs w:val="24"/>
        </w:rPr>
        <w:t>【磋商须知前附表】</w:t>
      </w:r>
      <w:r>
        <w:rPr>
          <w:rFonts w:hint="eastAsia" w:ascii="宋体" w:hAnsi="宋体" w:eastAsia="宋体" w:cs="宋体"/>
          <w:color w:val="auto"/>
          <w:spacing w:val="0"/>
          <w:sz w:val="24"/>
          <w:szCs w:val="24"/>
        </w:rPr>
        <w:t>规定给予价格折扣，用扣除后的价格参与评审。本项所称货物不包括使用大型企业注册商标的货物；</w:t>
      </w:r>
    </w:p>
    <w:p w14:paraId="5F3E6BF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（2）小型、微型企业参加联合体并在联合体协议中明确其在合同金额占联合体合同总金额30%以上的，该联合体价格按</w:t>
      </w:r>
      <w:r>
        <w:rPr>
          <w:rFonts w:hint="eastAsia" w:ascii="宋体" w:hAnsi="宋体" w:eastAsia="宋体" w:cs="宋体"/>
          <w:b/>
          <w:bCs/>
          <w:color w:val="auto"/>
          <w:spacing w:val="0"/>
          <w:sz w:val="24"/>
          <w:szCs w:val="24"/>
        </w:rPr>
        <w:t>【磋商须知前附表】</w:t>
      </w:r>
      <w:r>
        <w:rPr>
          <w:rFonts w:hint="eastAsia" w:ascii="宋体" w:hAnsi="宋体" w:eastAsia="宋体" w:cs="宋体"/>
          <w:color w:val="auto"/>
          <w:spacing w:val="0"/>
          <w:sz w:val="24"/>
          <w:szCs w:val="24"/>
        </w:rPr>
        <w:t>规定给予价格折扣，用扣除后的价格参与评审。联合体各方均为小型、微型企业的，联合体视同为小型、微型企业；</w:t>
      </w:r>
    </w:p>
    <w:p w14:paraId="1E35E72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Cs/>
          <w:color w:val="auto"/>
          <w:spacing w:val="0"/>
          <w:sz w:val="24"/>
          <w:szCs w:val="24"/>
        </w:rPr>
      </w:pPr>
      <w:r>
        <w:rPr>
          <w:rFonts w:hint="eastAsia" w:ascii="宋体" w:hAnsi="宋体" w:eastAsia="宋体" w:cs="宋体"/>
          <w:color w:val="auto"/>
          <w:spacing w:val="0"/>
          <w:sz w:val="24"/>
          <w:szCs w:val="24"/>
        </w:rPr>
        <w:t>（3）监狱企业、残疾人福利性单位视同小型、微型企业，享受评审中价格扣除等促进中小企业发展的政府采购政策。</w:t>
      </w:r>
    </w:p>
    <w:p w14:paraId="41CE274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9.4产品同时属于“非强制采购节能产品”、“环境标志产品”的，评审时只有其中一项能享受优先待遇(供应商自行选择，并在报价文件中并填报相关信息及数据)；供应商同时符合小型、微型企业及监狱企业、残疾人福利性单位要求的，评审时只有一种类型享受价格评审优惠政策；小型、微型企业可以与同时属于“非强制采购节能产品”、“环境标志产品”中的一项重复计算。</w:t>
      </w:r>
    </w:p>
    <w:p w14:paraId="7B09E7A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9.5同一项目中</w:t>
      </w:r>
      <w:r>
        <w:rPr>
          <w:rFonts w:hint="eastAsia" w:ascii="宋体" w:hAnsi="宋体" w:eastAsia="宋体" w:cs="宋体"/>
          <w:color w:val="auto"/>
          <w:spacing w:val="0"/>
          <w:sz w:val="24"/>
          <w:szCs w:val="24"/>
        </w:rPr>
        <w:t>小型、微型企业的供应商提供部分小型、微型企业制造的产品，以及</w:t>
      </w:r>
      <w:r>
        <w:rPr>
          <w:rFonts w:hint="eastAsia" w:ascii="宋体" w:hAnsi="宋体" w:eastAsia="宋体" w:cs="宋体"/>
          <w:color w:val="auto"/>
          <w:spacing w:val="0"/>
          <w:kern w:val="1"/>
          <w:sz w:val="24"/>
          <w:szCs w:val="24"/>
        </w:rPr>
        <w:t>部分产品属于优先采购政策的，评审时只对该部分产品的报价实行价格扣除及加分。</w:t>
      </w:r>
    </w:p>
    <w:p w14:paraId="3424860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9.6符合本章第9.1</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第9.2</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第9.3</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规定的，应提供相关证明资料。</w:t>
      </w:r>
    </w:p>
    <w:p w14:paraId="215091F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（1）节能产品、环境标志产品：提供国家确定的认证机构出具的、处于有效期之内的节能产品、环境标志产品认证证书（复印件）。</w:t>
      </w:r>
    </w:p>
    <w:p w14:paraId="4A64616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（2）中小企业：按《关于印发＜政府采购促进中小企业发展暂行办法＞的通知》(财库[2011]181号)规定，提供《小型、微型企业声明函》（格式）。</w:t>
      </w:r>
    </w:p>
    <w:p w14:paraId="3D3743C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（3）监狱企业：按《关于政府采购支持监狱企业发展有关问题的通知》(财库〔2014〕68号)文件规定提供证明文件（复印件）。</w:t>
      </w:r>
    </w:p>
    <w:p w14:paraId="2BA7B86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（4）残疾人福利性单位：按《关于促进残疾人就业政府采购政策的通知》(财库〔2017〕141号)文件规定提供《残疾人福利性单位声明函》（格式）。</w:t>
      </w:r>
    </w:p>
    <w:p w14:paraId="1236C9B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9.7供应商有融资、担保需求的，具体办理流程可可登陆中国湖南政府采购网查询。</w:t>
      </w:r>
    </w:p>
    <w:p w14:paraId="6B040FD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2"/>
        <w:rPr>
          <w:rFonts w:hint="eastAsia" w:ascii="黑体" w:hAnsi="黑体" w:eastAsia="黑体" w:cs="黑体"/>
          <w:color w:val="auto"/>
          <w:spacing w:val="0"/>
          <w:kern w:val="1"/>
          <w:sz w:val="24"/>
          <w:szCs w:val="24"/>
        </w:rPr>
      </w:pPr>
      <w:bookmarkStart w:id="27" w:name="_Toc1936"/>
      <w:r>
        <w:rPr>
          <w:rFonts w:hint="eastAsia" w:ascii="黑体" w:hAnsi="黑体" w:eastAsia="黑体" w:cs="黑体"/>
          <w:color w:val="auto"/>
          <w:spacing w:val="0"/>
          <w:kern w:val="1"/>
          <w:sz w:val="24"/>
          <w:szCs w:val="24"/>
        </w:rPr>
        <w:t>二、磋商文件</w:t>
      </w:r>
      <w:bookmarkEnd w:id="27"/>
    </w:p>
    <w:p w14:paraId="0E9BAF02">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10．磋商文件的组成</w:t>
      </w:r>
    </w:p>
    <w:p w14:paraId="49B11B80">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10.1磋商文件由下列文件组成：</w:t>
      </w:r>
    </w:p>
    <w:p w14:paraId="76BFCFB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第一章磋商邀请</w:t>
      </w:r>
    </w:p>
    <w:p w14:paraId="681DFF6F">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第二章磋商须知</w:t>
      </w:r>
    </w:p>
    <w:p w14:paraId="39DC3542">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第三章政府采购合同格式条款</w:t>
      </w:r>
    </w:p>
    <w:p w14:paraId="6D369E8C">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第四章采购需求</w:t>
      </w:r>
    </w:p>
    <w:p w14:paraId="186B2A57">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第五章响应文件组成</w:t>
      </w:r>
    </w:p>
    <w:p w14:paraId="3594DFCC">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sz w:val="24"/>
          <w:szCs w:val="24"/>
        </w:rPr>
        <w:t>10.2</w:t>
      </w:r>
      <w:r>
        <w:rPr>
          <w:rFonts w:hint="eastAsia" w:ascii="宋体" w:hAnsi="宋体" w:eastAsia="宋体" w:cs="宋体"/>
          <w:color w:val="auto"/>
          <w:spacing w:val="0"/>
          <w:kern w:val="0"/>
          <w:sz w:val="24"/>
          <w:szCs w:val="24"/>
        </w:rPr>
        <w:t>磋商小组根据与供应商磋商情况可能实质性变动的内容，包括采购需求中的技术、服务要求以及合同条款，</w:t>
      </w:r>
      <w:r>
        <w:rPr>
          <w:rFonts w:hint="eastAsia" w:ascii="宋体" w:hAnsi="宋体" w:eastAsia="宋体" w:cs="宋体"/>
          <w:color w:val="auto"/>
          <w:spacing w:val="0"/>
          <w:sz w:val="24"/>
          <w:szCs w:val="24"/>
        </w:rPr>
        <w:t>在</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中明确。</w:t>
      </w:r>
    </w:p>
    <w:p w14:paraId="5BFE8BE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10.3供应商应仔细阅读</w:t>
      </w:r>
      <w:r>
        <w:rPr>
          <w:rFonts w:hint="eastAsia" w:ascii="宋体" w:hAnsi="宋体" w:eastAsia="宋体" w:cs="宋体"/>
          <w:bCs/>
          <w:color w:val="auto"/>
          <w:spacing w:val="0"/>
          <w:kern w:val="1"/>
          <w:sz w:val="24"/>
          <w:szCs w:val="24"/>
        </w:rPr>
        <w:t>磋商</w:t>
      </w:r>
      <w:r>
        <w:rPr>
          <w:rFonts w:hint="eastAsia" w:ascii="宋体" w:hAnsi="宋体" w:eastAsia="宋体" w:cs="宋体"/>
          <w:color w:val="auto"/>
          <w:spacing w:val="0"/>
          <w:kern w:val="1"/>
          <w:sz w:val="24"/>
          <w:szCs w:val="24"/>
        </w:rPr>
        <w:t>文件的全部内容，按照</w:t>
      </w:r>
      <w:r>
        <w:rPr>
          <w:rFonts w:hint="eastAsia" w:ascii="宋体" w:hAnsi="宋体" w:eastAsia="宋体" w:cs="宋体"/>
          <w:bCs/>
          <w:color w:val="auto"/>
          <w:spacing w:val="0"/>
          <w:kern w:val="1"/>
          <w:sz w:val="24"/>
          <w:szCs w:val="24"/>
        </w:rPr>
        <w:t>磋商</w:t>
      </w:r>
      <w:r>
        <w:rPr>
          <w:rFonts w:hint="eastAsia" w:ascii="宋体" w:hAnsi="宋体" w:eastAsia="宋体" w:cs="宋体"/>
          <w:color w:val="auto"/>
          <w:spacing w:val="0"/>
          <w:kern w:val="1"/>
          <w:sz w:val="24"/>
          <w:szCs w:val="24"/>
        </w:rPr>
        <w:t>文件要求编制响应文件。任何对</w:t>
      </w:r>
      <w:r>
        <w:rPr>
          <w:rFonts w:hint="eastAsia" w:ascii="宋体" w:hAnsi="宋体" w:eastAsia="宋体" w:cs="宋体"/>
          <w:bCs/>
          <w:color w:val="auto"/>
          <w:spacing w:val="0"/>
          <w:kern w:val="1"/>
          <w:sz w:val="24"/>
          <w:szCs w:val="24"/>
        </w:rPr>
        <w:t>磋商</w:t>
      </w:r>
      <w:r>
        <w:rPr>
          <w:rFonts w:hint="eastAsia" w:ascii="宋体" w:hAnsi="宋体" w:eastAsia="宋体" w:cs="宋体"/>
          <w:color w:val="auto"/>
          <w:spacing w:val="0"/>
          <w:kern w:val="1"/>
          <w:sz w:val="24"/>
          <w:szCs w:val="24"/>
        </w:rPr>
        <w:t>文件的忽略或误解不能作为响应文件存在缺陷或瑕疵的理由，其风险由供应商承担。</w:t>
      </w:r>
    </w:p>
    <w:p w14:paraId="6BCB5BB2">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b/>
          <w:color w:val="auto"/>
          <w:spacing w:val="0"/>
          <w:kern w:val="1"/>
          <w:sz w:val="24"/>
          <w:szCs w:val="24"/>
        </w:rPr>
        <w:t>11.</w:t>
      </w:r>
      <w:r>
        <w:rPr>
          <w:rFonts w:hint="eastAsia" w:ascii="宋体" w:hAnsi="宋体" w:eastAsia="宋体" w:cs="宋体"/>
          <w:b/>
          <w:color w:val="auto"/>
          <w:spacing w:val="0"/>
          <w:sz w:val="24"/>
          <w:szCs w:val="24"/>
        </w:rPr>
        <w:t>提交首次响应文件</w:t>
      </w:r>
      <w:r>
        <w:rPr>
          <w:rFonts w:hint="eastAsia" w:ascii="宋体" w:hAnsi="宋体" w:eastAsia="宋体" w:cs="宋体"/>
          <w:b/>
          <w:color w:val="auto"/>
          <w:spacing w:val="0"/>
          <w:kern w:val="1"/>
          <w:sz w:val="24"/>
          <w:szCs w:val="24"/>
        </w:rPr>
        <w:t>的</w:t>
      </w:r>
      <w:r>
        <w:rPr>
          <w:rFonts w:hint="eastAsia" w:ascii="宋体" w:hAnsi="宋体" w:eastAsia="宋体" w:cs="宋体"/>
          <w:b/>
          <w:color w:val="auto"/>
          <w:spacing w:val="0"/>
          <w:sz w:val="24"/>
          <w:szCs w:val="24"/>
        </w:rPr>
        <w:t>截止</w:t>
      </w:r>
      <w:r>
        <w:rPr>
          <w:rFonts w:hint="eastAsia" w:ascii="宋体" w:hAnsi="宋体" w:eastAsia="宋体" w:cs="宋体"/>
          <w:b/>
          <w:color w:val="auto"/>
          <w:spacing w:val="0"/>
          <w:kern w:val="1"/>
          <w:sz w:val="24"/>
          <w:szCs w:val="24"/>
        </w:rPr>
        <w:t>时间</w:t>
      </w:r>
    </w:p>
    <w:p w14:paraId="09E3B9F1">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11.1</w:t>
      </w:r>
      <w:r>
        <w:rPr>
          <w:rFonts w:hint="eastAsia" w:ascii="宋体" w:hAnsi="宋体" w:eastAsia="宋体" w:cs="宋体"/>
          <w:color w:val="auto"/>
          <w:spacing w:val="0"/>
          <w:kern w:val="0"/>
          <w:sz w:val="24"/>
          <w:szCs w:val="24"/>
        </w:rPr>
        <w:t>供应商提交首次响应文件截止</w:t>
      </w:r>
      <w:r>
        <w:rPr>
          <w:rFonts w:hint="eastAsia" w:ascii="宋体" w:hAnsi="宋体" w:eastAsia="宋体" w:cs="宋体"/>
          <w:color w:val="auto"/>
          <w:spacing w:val="0"/>
          <w:sz w:val="24"/>
          <w:szCs w:val="24"/>
        </w:rPr>
        <w:t>时间见</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w:t>
      </w:r>
    </w:p>
    <w:p w14:paraId="35085B0D">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12.磋商文件的澄清</w:t>
      </w:r>
      <w:r>
        <w:rPr>
          <w:rFonts w:hint="eastAsia" w:ascii="宋体" w:hAnsi="宋体" w:eastAsia="宋体" w:cs="宋体"/>
          <w:b/>
          <w:color w:val="auto"/>
          <w:spacing w:val="0"/>
          <w:sz w:val="24"/>
          <w:szCs w:val="24"/>
          <w:lang w:val="zh-CN"/>
        </w:rPr>
        <w:t>或者</w:t>
      </w:r>
      <w:r>
        <w:rPr>
          <w:rFonts w:hint="eastAsia" w:ascii="宋体" w:hAnsi="宋体" w:eastAsia="宋体" w:cs="宋体"/>
          <w:b/>
          <w:color w:val="auto"/>
          <w:spacing w:val="0"/>
          <w:kern w:val="1"/>
          <w:sz w:val="24"/>
          <w:szCs w:val="24"/>
        </w:rPr>
        <w:t>修改</w:t>
      </w:r>
    </w:p>
    <w:p w14:paraId="1B9C586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1"/>
          <w:sz w:val="24"/>
          <w:szCs w:val="24"/>
        </w:rPr>
        <w:t>12.1在</w:t>
      </w:r>
      <w:r>
        <w:rPr>
          <w:rFonts w:hint="eastAsia" w:ascii="宋体" w:hAnsi="宋体" w:eastAsia="宋体" w:cs="宋体"/>
          <w:color w:val="auto"/>
          <w:spacing w:val="0"/>
          <w:sz w:val="24"/>
          <w:szCs w:val="24"/>
        </w:rPr>
        <w:t>提交首次响应文件截止之日前，采购人、采购代理机构可以对已发出的磋商文件进行必要的澄清或者修改。</w:t>
      </w:r>
    </w:p>
    <w:p w14:paraId="23C9E06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1"/>
          <w:sz w:val="24"/>
          <w:szCs w:val="24"/>
        </w:rPr>
        <w:t>12.2</w:t>
      </w:r>
      <w:r>
        <w:rPr>
          <w:rFonts w:hint="eastAsia" w:ascii="宋体" w:hAnsi="宋体" w:eastAsia="宋体" w:cs="宋体"/>
          <w:color w:val="auto"/>
          <w:spacing w:val="0"/>
          <w:sz w:val="24"/>
          <w:szCs w:val="24"/>
        </w:rPr>
        <w:t>澄清或者修改的内容可能影响响应文件编制的，采购人、采购代理机构应当在提交首次响应文件截止之日5日前，以书面形式通知所有接收磋商文件的供应商，不足5日的，顺延供应商提交首次响应文件截止时间。</w:t>
      </w:r>
    </w:p>
    <w:p w14:paraId="76D37DB5">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12.2</w:t>
      </w:r>
      <w:r>
        <w:rPr>
          <w:rFonts w:hint="eastAsia" w:ascii="宋体" w:hAnsi="宋体" w:eastAsia="宋体" w:cs="宋体"/>
          <w:color w:val="auto"/>
          <w:spacing w:val="0"/>
          <w:kern w:val="0"/>
          <w:sz w:val="24"/>
          <w:szCs w:val="24"/>
        </w:rPr>
        <w:t>提交首次响应文件截止时间前对磋商文件澄清或者修改内容，为磋商文件的组成部分。</w:t>
      </w:r>
    </w:p>
    <w:p w14:paraId="39037E3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2"/>
        <w:rPr>
          <w:rFonts w:hint="eastAsia" w:ascii="黑体" w:hAnsi="黑体" w:eastAsia="黑体" w:cs="黑体"/>
          <w:color w:val="auto"/>
          <w:spacing w:val="0"/>
          <w:kern w:val="1"/>
          <w:sz w:val="24"/>
          <w:szCs w:val="24"/>
        </w:rPr>
      </w:pPr>
      <w:bookmarkStart w:id="28" w:name="_Toc1071"/>
      <w:r>
        <w:rPr>
          <w:rFonts w:hint="eastAsia" w:ascii="黑体" w:hAnsi="黑体" w:eastAsia="黑体" w:cs="黑体"/>
          <w:color w:val="auto"/>
          <w:spacing w:val="0"/>
          <w:kern w:val="1"/>
          <w:sz w:val="24"/>
          <w:szCs w:val="24"/>
        </w:rPr>
        <w:t>三、响应文件</w:t>
      </w:r>
      <w:bookmarkEnd w:id="28"/>
    </w:p>
    <w:p w14:paraId="64E672C1">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13.一般要求</w:t>
      </w:r>
    </w:p>
    <w:p w14:paraId="54B53A5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13.1供应商应仔细阅读磋商文件的所有内容，按磋商文件的要求编制响应文件，并保证所提供的全部资料的真实性，以使其响应文件对磋商文件做出实质性的响应。</w:t>
      </w:r>
    </w:p>
    <w:p w14:paraId="5FFE8E7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13.2供应商提交的响应文件及供应商与采购人或采购代理机构、磋商小组就有关磋商的所有来往函电均使用中文。供应商可以提交其它语言的资料，但应附中文注释，在有差异时以中文为准。</w:t>
      </w:r>
    </w:p>
    <w:p w14:paraId="134D79EF">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bCs/>
          <w:color w:val="auto"/>
          <w:spacing w:val="0"/>
          <w:sz w:val="24"/>
          <w:szCs w:val="24"/>
        </w:rPr>
        <w:t>13.3</w:t>
      </w:r>
      <w:r>
        <w:rPr>
          <w:rFonts w:hint="eastAsia" w:ascii="宋体" w:hAnsi="宋体" w:eastAsia="宋体" w:cs="宋体"/>
          <w:color w:val="auto"/>
          <w:spacing w:val="0"/>
          <w:sz w:val="24"/>
          <w:szCs w:val="24"/>
        </w:rPr>
        <w:t>计量单位应使用我国法定计量单位，未列明时应默认为我国法定计量单位。</w:t>
      </w:r>
    </w:p>
    <w:p w14:paraId="312F7281">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13.4响应文件应采用书面形式，电报、传真、电子邮件形式的响应文件概不接受。</w:t>
      </w:r>
    </w:p>
    <w:p w14:paraId="3716444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13.5供应商应按磋商文件中提供的响应文件格式填写。</w:t>
      </w:r>
    </w:p>
    <w:p w14:paraId="46337B37">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14.响应文件的组成</w:t>
      </w:r>
    </w:p>
    <w:p w14:paraId="7D6F3A33">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14.1响应文件包括下列内容：</w:t>
      </w:r>
    </w:p>
    <w:p w14:paraId="7455BB3E">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（1）磋商响应声明</w:t>
      </w:r>
    </w:p>
    <w:p w14:paraId="56E0124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（2）保证金</w:t>
      </w:r>
    </w:p>
    <w:p w14:paraId="579B49A1">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（3）联合体协议（格式）</w:t>
      </w:r>
    </w:p>
    <w:p w14:paraId="45F36B9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（4）供应商的资格证明文件</w:t>
      </w:r>
    </w:p>
    <w:p w14:paraId="0B8F4369">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（5）施工组织设计</w:t>
      </w:r>
    </w:p>
    <w:p w14:paraId="410BC05E">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（6）技术/商务响应与偏离表</w:t>
      </w:r>
    </w:p>
    <w:p w14:paraId="5D845468">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（7）提供享受政府采购政策优惠的证明资料和清单表</w:t>
      </w:r>
    </w:p>
    <w:p w14:paraId="2D992C1D">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（8）报价一览表及报价文件</w:t>
      </w:r>
    </w:p>
    <w:p w14:paraId="5F196F11">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（9）供应商认为需提供的其他资料</w:t>
      </w:r>
    </w:p>
    <w:p w14:paraId="3960C78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14.2在磋商过程中，供应商根据</w:t>
      </w:r>
      <w:r>
        <w:rPr>
          <w:rFonts w:hint="eastAsia" w:ascii="宋体" w:hAnsi="宋体" w:eastAsia="宋体" w:cs="宋体"/>
          <w:color w:val="auto"/>
          <w:spacing w:val="0"/>
          <w:sz w:val="24"/>
          <w:szCs w:val="24"/>
        </w:rPr>
        <w:t>磋商小组</w:t>
      </w:r>
      <w:r>
        <w:rPr>
          <w:rFonts w:hint="eastAsia" w:ascii="宋体" w:hAnsi="宋体" w:eastAsia="宋体" w:cs="宋体"/>
          <w:bCs/>
          <w:color w:val="auto"/>
          <w:spacing w:val="0"/>
          <w:kern w:val="1"/>
          <w:sz w:val="24"/>
          <w:szCs w:val="24"/>
        </w:rPr>
        <w:t>书面形式要求</w:t>
      </w:r>
      <w:r>
        <w:rPr>
          <w:rFonts w:hint="eastAsia" w:ascii="宋体" w:hAnsi="宋体" w:eastAsia="宋体" w:cs="宋体"/>
          <w:color w:val="auto"/>
          <w:spacing w:val="0"/>
          <w:sz w:val="24"/>
          <w:szCs w:val="24"/>
        </w:rPr>
        <w:t>提交的</w:t>
      </w:r>
      <w:r>
        <w:rPr>
          <w:rFonts w:hint="eastAsia" w:ascii="宋体" w:hAnsi="宋体" w:eastAsia="宋体" w:cs="宋体"/>
          <w:color w:val="auto"/>
          <w:spacing w:val="0"/>
          <w:kern w:val="1"/>
          <w:sz w:val="24"/>
          <w:szCs w:val="24"/>
        </w:rPr>
        <w:t>最后报价(或者</w:t>
      </w:r>
      <w:r>
        <w:rPr>
          <w:rFonts w:hint="eastAsia" w:ascii="宋体" w:hAnsi="宋体" w:eastAsia="宋体" w:cs="宋体"/>
          <w:bCs/>
          <w:color w:val="auto"/>
          <w:spacing w:val="0"/>
          <w:kern w:val="1"/>
          <w:sz w:val="24"/>
          <w:szCs w:val="24"/>
        </w:rPr>
        <w:t>重</w:t>
      </w:r>
      <w:r>
        <w:rPr>
          <w:rFonts w:hint="eastAsia" w:ascii="宋体" w:hAnsi="宋体" w:eastAsia="宋体" w:cs="宋体"/>
          <w:color w:val="auto"/>
          <w:spacing w:val="0"/>
          <w:sz w:val="24"/>
          <w:szCs w:val="24"/>
        </w:rPr>
        <w:t>新提交的响应文件和</w:t>
      </w:r>
      <w:r>
        <w:rPr>
          <w:rFonts w:hint="eastAsia" w:ascii="宋体" w:hAnsi="宋体" w:eastAsia="宋体" w:cs="宋体"/>
          <w:color w:val="auto"/>
          <w:spacing w:val="0"/>
          <w:kern w:val="1"/>
          <w:sz w:val="24"/>
          <w:szCs w:val="24"/>
        </w:rPr>
        <w:t>最后报价)是响应文件的有效组成部分。</w:t>
      </w:r>
    </w:p>
    <w:p w14:paraId="3374ECD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color w:val="auto"/>
          <w:spacing w:val="0"/>
          <w:kern w:val="1"/>
          <w:sz w:val="24"/>
          <w:szCs w:val="24"/>
        </w:rPr>
        <w:t>14.3</w:t>
      </w:r>
      <w:r>
        <w:rPr>
          <w:rFonts w:hint="eastAsia" w:ascii="宋体" w:hAnsi="宋体" w:eastAsia="宋体" w:cs="宋体"/>
          <w:color w:val="auto"/>
          <w:spacing w:val="0"/>
          <w:sz w:val="24"/>
          <w:szCs w:val="24"/>
        </w:rPr>
        <w:t>磋商文件规定可能发生实质性变动的，供应商应当在</w:t>
      </w:r>
      <w:r>
        <w:rPr>
          <w:rFonts w:hint="eastAsia" w:ascii="宋体" w:hAnsi="宋体" w:eastAsia="宋体" w:cs="宋体"/>
          <w:color w:val="auto"/>
          <w:spacing w:val="0"/>
          <w:kern w:val="1"/>
          <w:sz w:val="24"/>
          <w:szCs w:val="24"/>
        </w:rPr>
        <w:t>《技术/商务响应与偏离表》中对应内容注明。</w:t>
      </w:r>
    </w:p>
    <w:p w14:paraId="1CADCAB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14.4根据《政府采购法》第四十二条的规定，供应商无论成交与否，其响应文件不予退还。</w:t>
      </w:r>
    </w:p>
    <w:p w14:paraId="723E97AA">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15.报价</w:t>
      </w:r>
    </w:p>
    <w:p w14:paraId="5893CD3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15.1供应商应当根据磋商文件要求和范围，以</w:t>
      </w:r>
      <w:r>
        <w:rPr>
          <w:rFonts w:hint="eastAsia" w:ascii="宋体" w:hAnsi="宋体" w:eastAsia="宋体" w:cs="宋体"/>
          <w:bCs/>
          <w:color w:val="auto"/>
          <w:spacing w:val="0"/>
          <w:kern w:val="1"/>
          <w:sz w:val="24"/>
          <w:szCs w:val="24"/>
        </w:rPr>
        <w:t>人民币</w:t>
      </w:r>
      <w:r>
        <w:rPr>
          <w:rFonts w:hint="eastAsia" w:ascii="宋体" w:hAnsi="宋体" w:eastAsia="宋体" w:cs="宋体"/>
          <w:color w:val="auto"/>
          <w:spacing w:val="0"/>
          <w:kern w:val="1"/>
          <w:sz w:val="24"/>
          <w:szCs w:val="24"/>
        </w:rPr>
        <w:t>报价，以元为单位，保留小数点后两位。</w:t>
      </w:r>
    </w:p>
    <w:p w14:paraId="3C05B715">
      <w:pPr>
        <w:pStyle w:val="19"/>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15.2供应商应按第五章响应文件组成格式填写。</w:t>
      </w:r>
    </w:p>
    <w:p w14:paraId="61A007A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15.3响应文件中标明的价格在合同执行过程中是固定不变的，不得以任何理由予以变更。以可变动价格提交的报价将被认为是非实质响应而被拒绝。</w:t>
      </w:r>
    </w:p>
    <w:p w14:paraId="600D9CF8">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15.4</w:t>
      </w:r>
      <w:r>
        <w:rPr>
          <w:rFonts w:hint="eastAsia" w:ascii="宋体" w:hAnsi="宋体" w:eastAsia="宋体" w:cs="宋体"/>
          <w:color w:val="auto"/>
          <w:spacing w:val="0"/>
          <w:kern w:val="0"/>
          <w:sz w:val="24"/>
          <w:szCs w:val="24"/>
          <w:lang w:val="zh-CN"/>
        </w:rPr>
        <w:t>供应商</w:t>
      </w:r>
      <w:r>
        <w:rPr>
          <w:rFonts w:hint="eastAsia" w:ascii="宋体" w:hAnsi="宋体" w:eastAsia="宋体" w:cs="宋体"/>
          <w:color w:val="auto"/>
          <w:spacing w:val="0"/>
          <w:sz w:val="24"/>
          <w:szCs w:val="24"/>
        </w:rPr>
        <w:t>的报价不得超过采购项目预算，采购项目预算或其计算方法见</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w:t>
      </w:r>
    </w:p>
    <w:p w14:paraId="4B8C8BB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16.供应商符合磋商文件规定的证明文件</w:t>
      </w:r>
    </w:p>
    <w:p w14:paraId="640D66E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16.1供应商应提交满足本章第3.1款规定的资格条件要求的证明文件,该证明文件作为响应文件的一部分。</w:t>
      </w:r>
    </w:p>
    <w:p w14:paraId="175AA9C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16.2如果供应商为联合体，则应提交联合体各方资格证明文件、联合体协议。否则，在评审时将其视为无效响应。</w:t>
      </w:r>
    </w:p>
    <w:p w14:paraId="4BC54B79">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17.磋商保证金</w:t>
      </w:r>
    </w:p>
    <w:p w14:paraId="0C01D71B">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17.1</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规定交纳磋商保证金的，应按</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规定的磋商保证金形式交纳，不得以现金方式交纳，在</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规定的</w:t>
      </w:r>
      <w:r>
        <w:rPr>
          <w:rFonts w:hint="eastAsia" w:ascii="宋体" w:hAnsi="宋体" w:eastAsia="宋体" w:cs="宋体"/>
          <w:color w:val="auto"/>
          <w:spacing w:val="0"/>
          <w:kern w:val="0"/>
          <w:sz w:val="24"/>
          <w:szCs w:val="24"/>
        </w:rPr>
        <w:t>截止时间</w:t>
      </w:r>
      <w:r>
        <w:rPr>
          <w:rFonts w:hint="eastAsia" w:ascii="宋体" w:hAnsi="宋体" w:eastAsia="宋体" w:cs="宋体"/>
          <w:color w:val="auto"/>
          <w:spacing w:val="0"/>
          <w:sz w:val="24"/>
          <w:szCs w:val="24"/>
        </w:rPr>
        <w:t>前，向采购代理机构交纳不超过</w:t>
      </w:r>
      <w:r>
        <w:rPr>
          <w:rFonts w:hint="eastAsia" w:ascii="宋体" w:hAnsi="宋体" w:eastAsia="宋体" w:cs="宋体"/>
          <w:color w:val="auto"/>
          <w:spacing w:val="0"/>
          <w:kern w:val="0"/>
          <w:sz w:val="24"/>
          <w:szCs w:val="24"/>
          <w:lang w:val="zh-CN"/>
        </w:rPr>
        <w:t>采购项目预算2﹪</w:t>
      </w:r>
      <w:r>
        <w:rPr>
          <w:rFonts w:hint="eastAsia" w:ascii="宋体" w:hAnsi="宋体" w:eastAsia="宋体" w:cs="宋体"/>
          <w:color w:val="auto"/>
          <w:spacing w:val="0"/>
          <w:sz w:val="24"/>
          <w:szCs w:val="24"/>
        </w:rPr>
        <w:t>的磋商保证金(数额采用四舍五入，计算至元)。磋商保证金有效期应当与本章第18.1</w:t>
      </w:r>
      <w:r>
        <w:rPr>
          <w:rFonts w:hint="eastAsia" w:ascii="宋体" w:hAnsi="宋体" w:eastAsia="宋体" w:cs="宋体"/>
          <w:color w:val="auto"/>
          <w:spacing w:val="0"/>
          <w:kern w:val="0"/>
          <w:sz w:val="24"/>
          <w:szCs w:val="24"/>
          <w:lang w:val="zh-CN"/>
        </w:rPr>
        <w:t>款</w:t>
      </w:r>
      <w:r>
        <w:rPr>
          <w:rFonts w:hint="eastAsia" w:ascii="宋体" w:hAnsi="宋体" w:eastAsia="宋体" w:cs="宋体"/>
          <w:color w:val="auto"/>
          <w:spacing w:val="0"/>
          <w:sz w:val="24"/>
          <w:szCs w:val="24"/>
        </w:rPr>
        <w:t>规定的响应文件有效期一致。</w:t>
      </w:r>
    </w:p>
    <w:p w14:paraId="7A2FD72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color w:val="auto"/>
          <w:spacing w:val="0"/>
          <w:kern w:val="1"/>
          <w:sz w:val="24"/>
          <w:szCs w:val="24"/>
        </w:rPr>
        <w:t>17.2</w:t>
      </w:r>
      <w:r>
        <w:rPr>
          <w:rFonts w:hint="eastAsia" w:ascii="宋体" w:hAnsi="宋体" w:eastAsia="宋体" w:cs="宋体"/>
          <w:color w:val="auto"/>
          <w:spacing w:val="0"/>
          <w:sz w:val="24"/>
          <w:szCs w:val="24"/>
          <w:lang w:val="zh-CN"/>
        </w:rPr>
        <w:t>供应商为联合体的，可以由联合体中的一方或者共同交纳磋商保证金，其交纳的磋商保证金，对联合体各方均具有约束力。</w:t>
      </w:r>
    </w:p>
    <w:p w14:paraId="5528EA49">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17.3供应商未按照磋商文件要求提交磋商保证金的，响应无效。</w:t>
      </w:r>
    </w:p>
    <w:p w14:paraId="122194F4">
      <w:pPr>
        <w:pStyle w:val="7"/>
        <w:keepNext w:val="0"/>
        <w:keepLines w:val="0"/>
        <w:pageBreakBefore w:val="0"/>
        <w:widowControl w:val="0"/>
        <w:tabs>
          <w:tab w:val="left" w:pos="6300"/>
        </w:tabs>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17.4采购代理机构在成交通知书发出后5个工作日内退还未成交供应商的磋商保证金；在采购合同签定后5个工作日内退还成交供应商的磋商保证金，但因供应商自身原因导致无法及时退还的除外。</w:t>
      </w:r>
    </w:p>
    <w:p w14:paraId="2BE6FA06">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sz w:val="24"/>
          <w:szCs w:val="24"/>
        </w:rPr>
        <w:t>17.5</w:t>
      </w:r>
      <w:r>
        <w:rPr>
          <w:rFonts w:hint="eastAsia" w:ascii="宋体" w:hAnsi="宋体" w:eastAsia="宋体" w:cs="宋体"/>
          <w:color w:val="auto"/>
          <w:spacing w:val="0"/>
          <w:kern w:val="0"/>
          <w:sz w:val="24"/>
          <w:szCs w:val="24"/>
        </w:rPr>
        <w:t>有下列情形之一的，磋商保证金不予退还，并上缴本级财政国库：</w:t>
      </w:r>
    </w:p>
    <w:p w14:paraId="26A875C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（1）供应商在提交首次响应文件截止时间后撤回响应文件的；</w:t>
      </w:r>
    </w:p>
    <w:p w14:paraId="7A792BD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（2）供应商在响应文件中提供虚假资料的；</w:t>
      </w:r>
    </w:p>
    <w:p w14:paraId="62A80E3C">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r>
        <w:rPr>
          <w:rFonts w:hint="eastAsia" w:ascii="宋体" w:hAnsi="宋体" w:eastAsia="宋体" w:cs="宋体"/>
          <w:color w:val="auto"/>
          <w:spacing w:val="0"/>
          <w:kern w:val="1"/>
          <w:sz w:val="24"/>
          <w:szCs w:val="24"/>
        </w:rPr>
        <w:t>确定成交结果后，无正当理由放弃成交资格的；</w:t>
      </w:r>
    </w:p>
    <w:p w14:paraId="131A699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(4)除因不可抗力或磋商文件认可的情形以外，成交供应商不与采购人签订合同的；</w:t>
      </w:r>
    </w:p>
    <w:p w14:paraId="452EA0E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（5）供应商与采购人、其他供应商或者采购代理机构恶意串通的；</w:t>
      </w:r>
    </w:p>
    <w:p w14:paraId="3DA478F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（6）磋商文件规定的其他情形。</w:t>
      </w:r>
    </w:p>
    <w:p w14:paraId="4F25182E">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18.响应文件有效期</w:t>
      </w:r>
    </w:p>
    <w:p w14:paraId="10EE6E4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18.1响应文件有效期见</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，在此期间响应文件对供应商具有法律约束力，从</w:t>
      </w:r>
      <w:r>
        <w:rPr>
          <w:rFonts w:hint="eastAsia" w:ascii="宋体" w:hAnsi="宋体" w:eastAsia="宋体" w:cs="宋体"/>
          <w:color w:val="auto"/>
          <w:spacing w:val="0"/>
          <w:sz w:val="24"/>
          <w:szCs w:val="24"/>
        </w:rPr>
        <w:t>提交首次响应文件截止时间</w:t>
      </w:r>
      <w:r>
        <w:rPr>
          <w:rFonts w:hint="eastAsia" w:ascii="宋体" w:hAnsi="宋体" w:eastAsia="宋体" w:cs="宋体"/>
          <w:color w:val="auto"/>
          <w:spacing w:val="0"/>
          <w:kern w:val="1"/>
          <w:sz w:val="24"/>
          <w:szCs w:val="24"/>
        </w:rPr>
        <w:t>之日起计算。响应文件有效期不足的将被视为无效响应。</w:t>
      </w:r>
    </w:p>
    <w:p w14:paraId="26C382C3">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19.响应文件的签署及规定</w:t>
      </w:r>
    </w:p>
    <w:p w14:paraId="33AF8667">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19.1响应文件的正本和副本应装订成册，正本一份，副本份数见</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。正本和副本的封面上应标记“正本”或“副本”的字样，当正本和副本有差异时，以正本为准。</w:t>
      </w:r>
    </w:p>
    <w:p w14:paraId="7C098CA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19.2响应文件正本和副本应按磋商文件要求签章处盖单位章和由法定代表人或其委托代理人签字；任何加行、涂改、增删，应有法定代表人或其委托代理人在旁边签字。否则，将导致响应文件无效。</w:t>
      </w:r>
    </w:p>
    <w:p w14:paraId="3CED8F8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19.3在磋商过程中，供应商按磋商文件规定和磋商小组要求</w:t>
      </w:r>
      <w:r>
        <w:rPr>
          <w:rFonts w:hint="eastAsia" w:ascii="宋体" w:hAnsi="宋体" w:eastAsia="宋体" w:cs="宋体"/>
          <w:color w:val="auto"/>
          <w:spacing w:val="0"/>
          <w:kern w:val="0"/>
          <w:sz w:val="24"/>
          <w:szCs w:val="24"/>
        </w:rPr>
        <w:t>提交的</w:t>
      </w:r>
      <w:r>
        <w:rPr>
          <w:rFonts w:hint="eastAsia" w:ascii="宋体" w:hAnsi="宋体" w:eastAsia="宋体" w:cs="宋体"/>
          <w:color w:val="auto"/>
          <w:spacing w:val="0"/>
          <w:sz w:val="24"/>
          <w:szCs w:val="24"/>
        </w:rPr>
        <w:t>最后报价(或者</w:t>
      </w:r>
      <w:r>
        <w:rPr>
          <w:rFonts w:hint="eastAsia" w:ascii="宋体" w:hAnsi="宋体" w:eastAsia="宋体" w:cs="宋体"/>
          <w:bCs/>
          <w:color w:val="auto"/>
          <w:spacing w:val="0"/>
          <w:sz w:val="24"/>
          <w:szCs w:val="24"/>
        </w:rPr>
        <w:t>重</w:t>
      </w:r>
      <w:r>
        <w:rPr>
          <w:rFonts w:hint="eastAsia" w:ascii="宋体" w:hAnsi="宋体" w:eastAsia="宋体" w:cs="宋体"/>
          <w:color w:val="auto"/>
          <w:spacing w:val="0"/>
          <w:kern w:val="0"/>
          <w:sz w:val="24"/>
          <w:szCs w:val="24"/>
        </w:rPr>
        <w:t>新提交的响应文件和</w:t>
      </w:r>
      <w:r>
        <w:rPr>
          <w:rFonts w:hint="eastAsia" w:ascii="宋体" w:hAnsi="宋体" w:eastAsia="宋体" w:cs="宋体"/>
          <w:color w:val="auto"/>
          <w:spacing w:val="0"/>
          <w:sz w:val="24"/>
          <w:szCs w:val="24"/>
        </w:rPr>
        <w:t>最后报价)，可打印或用不退色墨水书写，但需经法定代表人或其委托代理人签字，</w:t>
      </w:r>
      <w:r>
        <w:rPr>
          <w:rFonts w:hint="eastAsia" w:ascii="宋体" w:hAnsi="宋体" w:eastAsia="宋体" w:cs="宋体"/>
          <w:color w:val="auto"/>
          <w:spacing w:val="0"/>
          <w:kern w:val="0"/>
          <w:sz w:val="24"/>
          <w:szCs w:val="24"/>
        </w:rPr>
        <w:t>或者加盖供应商单位章</w:t>
      </w:r>
      <w:r>
        <w:rPr>
          <w:rFonts w:hint="eastAsia" w:ascii="宋体" w:hAnsi="宋体" w:eastAsia="宋体" w:cs="宋体"/>
          <w:color w:val="auto"/>
          <w:spacing w:val="0"/>
          <w:sz w:val="24"/>
          <w:szCs w:val="24"/>
        </w:rPr>
        <w:t>。否则，将导致响应文件无效。</w:t>
      </w:r>
    </w:p>
    <w:p w14:paraId="38865C7D">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19.4以</w:t>
      </w:r>
      <w:r>
        <w:rPr>
          <w:rFonts w:hint="eastAsia" w:ascii="宋体" w:hAnsi="宋体" w:eastAsia="宋体" w:cs="宋体"/>
          <w:bCs/>
          <w:color w:val="auto"/>
          <w:spacing w:val="0"/>
          <w:sz w:val="24"/>
          <w:szCs w:val="24"/>
        </w:rPr>
        <w:t>联合体形式参加磋商的，除联合体协议书外，响应文件其他内容可统一由联合体牵头人的法定代表人或其委托代理人签字或盖私章，并加盖单位公章，联合体牵头人办理的，对联合体各方均具有约束力。</w:t>
      </w:r>
    </w:p>
    <w:p w14:paraId="16C4547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2"/>
        <w:rPr>
          <w:rFonts w:hint="eastAsia" w:ascii="黑体" w:hAnsi="黑体" w:eastAsia="黑体" w:cs="黑体"/>
          <w:color w:val="auto"/>
          <w:spacing w:val="0"/>
          <w:kern w:val="1"/>
          <w:sz w:val="24"/>
          <w:szCs w:val="24"/>
        </w:rPr>
      </w:pPr>
      <w:bookmarkStart w:id="29" w:name="_Toc20065"/>
      <w:r>
        <w:rPr>
          <w:rFonts w:hint="eastAsia" w:ascii="黑体" w:hAnsi="黑体" w:eastAsia="黑体" w:cs="黑体"/>
          <w:color w:val="auto"/>
          <w:spacing w:val="0"/>
          <w:kern w:val="1"/>
          <w:sz w:val="24"/>
          <w:szCs w:val="24"/>
        </w:rPr>
        <w:t>四、响应文件的递交</w:t>
      </w:r>
      <w:bookmarkEnd w:id="29"/>
    </w:p>
    <w:p w14:paraId="5A79861D">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20.响应文件的密封和标记</w:t>
      </w:r>
    </w:p>
    <w:p w14:paraId="660093D7">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20.1响应文件应密封包装，加贴封条，并在封套的封口处盖供应商单位章或者由法定代表人或其委托代理人签字。</w:t>
      </w:r>
    </w:p>
    <w:p w14:paraId="57D152F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20.2响应文件封套上应写明的内容见</w:t>
      </w:r>
      <w:r>
        <w:rPr>
          <w:rFonts w:hint="eastAsia" w:ascii="宋体" w:hAnsi="宋体" w:eastAsia="宋体" w:cs="宋体"/>
          <w:b/>
          <w:color w:val="auto"/>
          <w:spacing w:val="0"/>
          <w:kern w:val="1"/>
          <w:sz w:val="24"/>
          <w:szCs w:val="24"/>
        </w:rPr>
        <w:t>【磋商须知前附表】。</w:t>
      </w:r>
    </w:p>
    <w:p w14:paraId="193AD33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20.3响应文件如果未按上述规定密封和加写标记，采购人或采购代理机构将拒绝接收。</w:t>
      </w:r>
    </w:p>
    <w:p w14:paraId="5A84CB84">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21.响应文件的</w:t>
      </w:r>
      <w:r>
        <w:rPr>
          <w:rFonts w:hint="eastAsia" w:ascii="宋体" w:hAnsi="宋体" w:eastAsia="宋体" w:cs="宋体"/>
          <w:b/>
          <w:color w:val="auto"/>
          <w:spacing w:val="0"/>
          <w:sz w:val="24"/>
          <w:szCs w:val="24"/>
          <w:lang w:val="zh-CN"/>
        </w:rPr>
        <w:t>补充、修改或者撤回</w:t>
      </w:r>
    </w:p>
    <w:p w14:paraId="20C88036">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21.1</w:t>
      </w:r>
      <w:r>
        <w:rPr>
          <w:rFonts w:hint="eastAsia" w:ascii="宋体" w:hAnsi="宋体" w:eastAsia="宋体" w:cs="宋体"/>
          <w:color w:val="auto"/>
          <w:spacing w:val="0"/>
          <w:kern w:val="0"/>
          <w:sz w:val="24"/>
          <w:szCs w:val="24"/>
        </w:rPr>
        <w:t>供应商在提交首次响应文件截止时间前，可以对所提交的首次响应文件进行补充、修改或者撤回，并书面通知采购人、采购代理机构。</w:t>
      </w:r>
      <w:r>
        <w:rPr>
          <w:rFonts w:hint="eastAsia" w:ascii="宋体" w:hAnsi="宋体" w:eastAsia="宋体" w:cs="宋体"/>
          <w:color w:val="auto"/>
          <w:spacing w:val="0"/>
          <w:sz w:val="24"/>
          <w:szCs w:val="24"/>
        </w:rPr>
        <w:t>该通知应有供应商法定代表人或其委托代理人签字。</w:t>
      </w:r>
    </w:p>
    <w:p w14:paraId="04D5BC7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21.2</w:t>
      </w:r>
      <w:r>
        <w:rPr>
          <w:rFonts w:hint="eastAsia" w:ascii="宋体" w:hAnsi="宋体" w:eastAsia="宋体" w:cs="宋体"/>
          <w:color w:val="auto"/>
          <w:spacing w:val="0"/>
          <w:kern w:val="0"/>
          <w:sz w:val="24"/>
          <w:szCs w:val="24"/>
          <w:lang w:val="zh-CN"/>
        </w:rPr>
        <w:t>补充、修改的内容与响应文件不一致时，以补充、修改的内容为准。</w:t>
      </w:r>
    </w:p>
    <w:p w14:paraId="221BE572">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22.响应文件的递交与接收</w:t>
      </w:r>
    </w:p>
    <w:p w14:paraId="4AE1AA8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22.1供应商应在</w:t>
      </w:r>
      <w:r>
        <w:rPr>
          <w:rFonts w:hint="eastAsia" w:ascii="宋体" w:hAnsi="宋体" w:eastAsia="宋体" w:cs="宋体"/>
          <w:color w:val="auto"/>
          <w:spacing w:val="0"/>
          <w:sz w:val="24"/>
          <w:szCs w:val="24"/>
        </w:rPr>
        <w:t>提交首次响应文件截止时间</w:t>
      </w:r>
      <w:r>
        <w:rPr>
          <w:rFonts w:hint="eastAsia" w:ascii="宋体" w:hAnsi="宋体" w:eastAsia="宋体" w:cs="宋体"/>
          <w:color w:val="auto"/>
          <w:spacing w:val="0"/>
          <w:kern w:val="1"/>
          <w:sz w:val="24"/>
          <w:szCs w:val="24"/>
        </w:rPr>
        <w:t>前，将响应文件送达</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中指定的地点。</w:t>
      </w:r>
      <w:r>
        <w:rPr>
          <w:rFonts w:hint="eastAsia" w:ascii="宋体" w:hAnsi="宋体" w:eastAsia="宋体" w:cs="宋体"/>
          <w:color w:val="auto"/>
          <w:spacing w:val="0"/>
          <w:sz w:val="24"/>
          <w:szCs w:val="24"/>
        </w:rPr>
        <w:t>在截止时间后送达的响应文件，采购人、采购代理机构或者磋商小组应当拒收。</w:t>
      </w:r>
    </w:p>
    <w:p w14:paraId="094561CA">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22.2</w:t>
      </w:r>
      <w:r>
        <w:rPr>
          <w:rFonts w:hint="eastAsia" w:ascii="宋体" w:hAnsi="宋体" w:eastAsia="宋体" w:cs="宋体"/>
          <w:color w:val="auto"/>
          <w:spacing w:val="0"/>
          <w:kern w:val="0"/>
          <w:sz w:val="24"/>
          <w:szCs w:val="24"/>
        </w:rPr>
        <w:t>在提交首次响应文件截止时间后，</w:t>
      </w:r>
      <w:r>
        <w:rPr>
          <w:rFonts w:hint="eastAsia" w:ascii="宋体" w:hAnsi="宋体" w:eastAsia="宋体" w:cs="宋体"/>
          <w:color w:val="auto"/>
          <w:spacing w:val="0"/>
          <w:sz w:val="24"/>
          <w:szCs w:val="24"/>
        </w:rPr>
        <w:t>由</w:t>
      </w:r>
      <w:r>
        <w:rPr>
          <w:rFonts w:hint="eastAsia" w:ascii="宋体" w:hAnsi="宋体" w:eastAsia="宋体" w:cs="宋体"/>
          <w:bCs/>
          <w:color w:val="auto"/>
          <w:spacing w:val="0"/>
          <w:sz w:val="24"/>
          <w:szCs w:val="24"/>
        </w:rPr>
        <w:t>供应商代表</w:t>
      </w:r>
      <w:r>
        <w:rPr>
          <w:rFonts w:hint="eastAsia" w:ascii="宋体" w:hAnsi="宋体" w:eastAsia="宋体" w:cs="宋体"/>
          <w:color w:val="auto"/>
          <w:spacing w:val="0"/>
          <w:sz w:val="24"/>
          <w:szCs w:val="24"/>
        </w:rPr>
        <w:t>当场查验</w:t>
      </w:r>
      <w:r>
        <w:rPr>
          <w:rFonts w:hint="eastAsia" w:ascii="宋体" w:hAnsi="宋体" w:eastAsia="宋体" w:cs="宋体"/>
          <w:bCs/>
          <w:color w:val="auto"/>
          <w:spacing w:val="0"/>
          <w:sz w:val="24"/>
          <w:szCs w:val="24"/>
        </w:rPr>
        <w:t>响应文件</w:t>
      </w:r>
      <w:r>
        <w:rPr>
          <w:rFonts w:hint="eastAsia" w:ascii="宋体" w:hAnsi="宋体" w:eastAsia="宋体" w:cs="宋体"/>
          <w:color w:val="auto"/>
          <w:spacing w:val="0"/>
          <w:sz w:val="24"/>
          <w:szCs w:val="24"/>
        </w:rPr>
        <w:t>的密封状况，采购人或</w:t>
      </w:r>
      <w:r>
        <w:rPr>
          <w:rFonts w:hint="eastAsia" w:ascii="宋体" w:hAnsi="宋体" w:eastAsia="宋体" w:cs="宋体"/>
          <w:bCs/>
          <w:color w:val="auto"/>
          <w:spacing w:val="0"/>
          <w:sz w:val="24"/>
          <w:szCs w:val="24"/>
        </w:rPr>
        <w:t>采购代理机构</w:t>
      </w:r>
      <w:r>
        <w:rPr>
          <w:rFonts w:hint="eastAsia" w:ascii="宋体" w:hAnsi="宋体" w:eastAsia="宋体" w:cs="宋体"/>
          <w:color w:val="auto"/>
          <w:spacing w:val="0"/>
          <w:sz w:val="24"/>
          <w:szCs w:val="24"/>
        </w:rPr>
        <w:t>不当场拆封</w:t>
      </w:r>
      <w:r>
        <w:rPr>
          <w:rFonts w:hint="eastAsia" w:ascii="宋体" w:hAnsi="宋体" w:eastAsia="宋体" w:cs="宋体"/>
          <w:bCs/>
          <w:color w:val="auto"/>
          <w:spacing w:val="0"/>
          <w:sz w:val="24"/>
          <w:szCs w:val="24"/>
        </w:rPr>
        <w:t>响应文件</w:t>
      </w:r>
      <w:r>
        <w:rPr>
          <w:rFonts w:hint="eastAsia" w:ascii="宋体" w:hAnsi="宋体" w:eastAsia="宋体" w:cs="宋体"/>
          <w:color w:val="auto"/>
          <w:spacing w:val="0"/>
          <w:sz w:val="24"/>
          <w:szCs w:val="24"/>
        </w:rPr>
        <w:t>。</w:t>
      </w:r>
    </w:p>
    <w:p w14:paraId="01B8134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2"/>
        <w:rPr>
          <w:rFonts w:hint="eastAsia" w:ascii="黑体" w:hAnsi="黑体" w:eastAsia="黑体" w:cs="黑体"/>
          <w:color w:val="auto"/>
          <w:spacing w:val="0"/>
          <w:kern w:val="1"/>
          <w:sz w:val="24"/>
          <w:szCs w:val="24"/>
        </w:rPr>
      </w:pPr>
      <w:bookmarkStart w:id="30" w:name="_Toc26569"/>
      <w:r>
        <w:rPr>
          <w:rFonts w:hint="eastAsia" w:ascii="黑体" w:hAnsi="黑体" w:eastAsia="黑体" w:cs="黑体"/>
          <w:color w:val="auto"/>
          <w:spacing w:val="0"/>
          <w:kern w:val="1"/>
          <w:sz w:val="24"/>
          <w:szCs w:val="24"/>
        </w:rPr>
        <w:t>五、响应文件的磋商与评审</w:t>
      </w:r>
      <w:bookmarkEnd w:id="30"/>
    </w:p>
    <w:p w14:paraId="262ED3CC">
      <w:pPr>
        <w:keepNext w:val="0"/>
        <w:keepLines w:val="0"/>
        <w:pageBreakBefore w:val="0"/>
        <w:widowControl w:val="0"/>
        <w:tabs>
          <w:tab w:val="left" w:pos="0"/>
        </w:tabs>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23.磋商程序</w:t>
      </w:r>
    </w:p>
    <w:p w14:paraId="2A18542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sz w:val="24"/>
          <w:szCs w:val="24"/>
        </w:rPr>
        <w:t>23.1磋商程序：响应文件审查、磋商（包括澄清）、响应文件评审、</w:t>
      </w:r>
      <w:r>
        <w:rPr>
          <w:rFonts w:hint="eastAsia" w:ascii="宋体" w:hAnsi="宋体" w:eastAsia="宋体" w:cs="宋体"/>
          <w:color w:val="auto"/>
          <w:spacing w:val="0"/>
          <w:kern w:val="1"/>
          <w:sz w:val="24"/>
          <w:szCs w:val="24"/>
        </w:rPr>
        <w:t>提出成交供应商。其中，</w:t>
      </w:r>
      <w:r>
        <w:rPr>
          <w:rFonts w:hint="eastAsia" w:ascii="宋体" w:hAnsi="宋体" w:eastAsia="宋体" w:cs="宋体"/>
          <w:color w:val="auto"/>
          <w:spacing w:val="0"/>
          <w:sz w:val="24"/>
          <w:szCs w:val="24"/>
        </w:rPr>
        <w:t>磋商按</w:t>
      </w:r>
      <w:r>
        <w:rPr>
          <w:rFonts w:hint="eastAsia" w:ascii="宋体" w:hAnsi="宋体" w:eastAsia="宋体" w:cs="宋体"/>
          <w:color w:val="auto"/>
          <w:spacing w:val="0"/>
          <w:kern w:val="1"/>
          <w:sz w:val="24"/>
          <w:szCs w:val="24"/>
        </w:rPr>
        <w:t>本章第28.1</w:t>
      </w:r>
      <w:r>
        <w:rPr>
          <w:rFonts w:hint="eastAsia" w:ascii="宋体" w:hAnsi="宋体" w:eastAsia="宋体" w:cs="宋体"/>
          <w:color w:val="auto"/>
          <w:spacing w:val="0"/>
          <w:sz w:val="24"/>
          <w:szCs w:val="24"/>
          <w:lang w:val="zh-CN"/>
        </w:rPr>
        <w:t>款或者</w:t>
      </w:r>
      <w:r>
        <w:rPr>
          <w:rFonts w:hint="eastAsia" w:ascii="宋体" w:hAnsi="宋体" w:eastAsia="宋体" w:cs="宋体"/>
          <w:color w:val="auto"/>
          <w:spacing w:val="0"/>
          <w:kern w:val="1"/>
          <w:sz w:val="24"/>
          <w:szCs w:val="24"/>
        </w:rPr>
        <w:t>第28.2</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情形进行。</w:t>
      </w:r>
    </w:p>
    <w:p w14:paraId="1D94DF3C">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sz w:val="24"/>
          <w:szCs w:val="24"/>
        </w:rPr>
        <w:t>24.响应文件审查</w:t>
      </w:r>
    </w:p>
    <w:p w14:paraId="5C75583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24.1资格性审查：根据本章第3.1项规定的供应商资格条件要求，对响应文件的资格证明等进行审查，以确定供应商是否具备磋商资格条件。</w:t>
      </w:r>
    </w:p>
    <w:p w14:paraId="21376E6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24.2符合性审查：对响应文件(包括首次提交的响应文件、重新提交的响应文件)的有效性、完整性和响应程度进行审查，以确定是否对磋商文件的实质性要求作出响应。</w:t>
      </w:r>
    </w:p>
    <w:p w14:paraId="4966018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24.3响应文件审查结束后，磋商小组所有成员集中与单一供应商分别进行磋商，并给予所有参加磋商的供应商平等的磋商机会。供应商应派其法定代表人或委托代理人参加磋商。</w:t>
      </w:r>
    </w:p>
    <w:p w14:paraId="26830BB0">
      <w:pPr>
        <w:pStyle w:val="7"/>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25.实质性响应</w:t>
      </w:r>
    </w:p>
    <w:p w14:paraId="56BF03EE">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25.1</w:t>
      </w:r>
      <w:r>
        <w:rPr>
          <w:rFonts w:hint="eastAsia" w:ascii="宋体" w:hAnsi="宋体" w:eastAsia="宋体" w:cs="宋体"/>
          <w:color w:val="auto"/>
          <w:spacing w:val="0"/>
          <w:sz w:val="24"/>
          <w:szCs w:val="24"/>
        </w:rPr>
        <w:t>实质性响应是指响应文件(包括首次响应文件、重新提交的响应文件)与磋商文件要求的所有条款、条件和规格相符，没有偏离。偏离指不满足、或不响应磋商文件的要求。</w:t>
      </w:r>
    </w:p>
    <w:p w14:paraId="743319A3">
      <w:pPr>
        <w:keepNext w:val="0"/>
        <w:keepLines w:val="0"/>
        <w:pageBreakBefore w:val="0"/>
        <w:widowControl w:val="0"/>
        <w:tabs>
          <w:tab w:val="left" w:pos="0"/>
          <w:tab w:val="left" w:pos="7560"/>
          <w:tab w:val="left" w:pos="7740"/>
          <w:tab w:val="left" w:pos="7920"/>
        </w:tabs>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25.2响应文件是否实质性响应磋商文件要求由磋商小组依据磋商文件规定认定。</w:t>
      </w:r>
      <w:r>
        <w:rPr>
          <w:rFonts w:hint="eastAsia" w:ascii="宋体" w:hAnsi="宋体" w:eastAsia="宋体" w:cs="宋体"/>
          <w:color w:val="auto"/>
          <w:spacing w:val="0"/>
          <w:sz w:val="24"/>
          <w:szCs w:val="24"/>
        </w:rPr>
        <w:t>磋商小组</w:t>
      </w:r>
      <w:r>
        <w:rPr>
          <w:rFonts w:hint="eastAsia" w:ascii="宋体" w:hAnsi="宋体" w:eastAsia="宋体" w:cs="宋体"/>
          <w:color w:val="auto"/>
          <w:spacing w:val="0"/>
          <w:kern w:val="1"/>
          <w:sz w:val="24"/>
          <w:szCs w:val="24"/>
        </w:rPr>
        <w:t>决定响应文件的响应性只根据响应文件本身的真实无误的内容，而不依据外部的证据。</w:t>
      </w:r>
    </w:p>
    <w:p w14:paraId="5B60F516">
      <w:pPr>
        <w:pStyle w:val="7"/>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26.无效响应</w:t>
      </w:r>
    </w:p>
    <w:p w14:paraId="6F3D07BE">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0"/>
          <w:sz w:val="24"/>
          <w:szCs w:val="24"/>
        </w:rPr>
      </w:pPr>
      <w:r>
        <w:rPr>
          <w:rFonts w:hint="eastAsia" w:ascii="宋体" w:hAnsi="宋体" w:eastAsia="宋体" w:cs="宋体"/>
          <w:color w:val="auto"/>
          <w:spacing w:val="0"/>
          <w:kern w:val="0"/>
          <w:sz w:val="24"/>
          <w:szCs w:val="24"/>
        </w:rPr>
        <w:t>26.1</w:t>
      </w:r>
      <w:r>
        <w:rPr>
          <w:rFonts w:hint="eastAsia" w:ascii="宋体" w:hAnsi="宋体" w:eastAsia="宋体" w:cs="宋体"/>
          <w:color w:val="auto"/>
          <w:spacing w:val="0"/>
          <w:sz w:val="24"/>
          <w:szCs w:val="24"/>
        </w:rPr>
        <w:t>磋商小组在对资格性和符合性进行审查时，有下列情况之一的，属无效响应，</w:t>
      </w:r>
      <w:r>
        <w:rPr>
          <w:rFonts w:hint="eastAsia" w:ascii="宋体" w:hAnsi="宋体" w:eastAsia="宋体" w:cs="宋体"/>
          <w:color w:val="auto"/>
          <w:spacing w:val="0"/>
          <w:kern w:val="0"/>
          <w:sz w:val="24"/>
          <w:szCs w:val="24"/>
        </w:rPr>
        <w:t>磋商小组应当告知有关供应商</w:t>
      </w:r>
      <w:r>
        <w:rPr>
          <w:rFonts w:hint="eastAsia" w:ascii="宋体" w:hAnsi="宋体" w:eastAsia="宋体" w:cs="宋体"/>
          <w:color w:val="auto"/>
          <w:spacing w:val="0"/>
          <w:sz w:val="24"/>
          <w:szCs w:val="24"/>
        </w:rPr>
        <w:t>：</w:t>
      </w:r>
    </w:p>
    <w:p w14:paraId="6BFDDC8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（1）供应商不具备本章第3.1款规定的供应商资格条件要求，或存在本章第3.3款情形的；</w:t>
      </w:r>
    </w:p>
    <w:p w14:paraId="5CE4B94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（2）联合体不符合本章第3.2款规定的；</w:t>
      </w:r>
    </w:p>
    <w:p w14:paraId="3C186E7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（3）应交未交磋商保证金或金额不足、磋商保证金缴纳形式不符合磋商文件要求的；</w:t>
      </w:r>
    </w:p>
    <w:p w14:paraId="0776D75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（4）响应文件未按照磋商文件要求签署、盖章的；</w:t>
      </w:r>
    </w:p>
    <w:p w14:paraId="6942D6A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（5）响应文件不满足本章第25.1款规定的实质性要求的；</w:t>
      </w:r>
    </w:p>
    <w:p w14:paraId="1099538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（6）报价超过采购项目预算的；</w:t>
      </w:r>
    </w:p>
    <w:p w14:paraId="6D64246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（7）响应文件有效期不足的；</w:t>
      </w:r>
    </w:p>
    <w:p w14:paraId="5FD2FD9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（8）响应文件不符合法律、规章、规范性文件和磋商文件规定及要求的。</w:t>
      </w:r>
    </w:p>
    <w:p w14:paraId="4D95FEF6">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27.澄清</w:t>
      </w:r>
    </w:p>
    <w:p w14:paraId="1CA607D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27.1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3BF9F9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27.2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082EDEC">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28.磋商</w:t>
      </w:r>
    </w:p>
    <w:p w14:paraId="1DF6B3C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sz w:val="24"/>
          <w:szCs w:val="24"/>
        </w:rPr>
        <w:t>28.1</w:t>
      </w:r>
      <w:r>
        <w:rPr>
          <w:rFonts w:hint="eastAsia" w:ascii="宋体" w:hAnsi="宋体" w:eastAsia="宋体" w:cs="宋体"/>
          <w:color w:val="auto"/>
          <w:spacing w:val="0"/>
          <w:kern w:val="1"/>
          <w:sz w:val="24"/>
          <w:szCs w:val="24"/>
        </w:rPr>
        <w:t>本章第10.2项</w:t>
      </w:r>
      <w:r>
        <w:rPr>
          <w:rFonts w:hint="eastAsia" w:ascii="宋体" w:hAnsi="宋体" w:eastAsia="宋体" w:cs="宋体"/>
          <w:color w:val="auto"/>
          <w:spacing w:val="0"/>
          <w:sz w:val="24"/>
          <w:szCs w:val="24"/>
        </w:rPr>
        <w:t>未明确磋商文件实质性变动内容的，或者磋商文件明确了可能发生实质性变动内容，但在磋商过程中，</w:t>
      </w:r>
      <w:r>
        <w:rPr>
          <w:rFonts w:hint="eastAsia" w:ascii="宋体" w:hAnsi="宋体" w:eastAsia="宋体" w:cs="宋体"/>
          <w:bCs/>
          <w:color w:val="auto"/>
          <w:spacing w:val="0"/>
          <w:kern w:val="1"/>
          <w:sz w:val="24"/>
          <w:szCs w:val="24"/>
        </w:rPr>
        <w:t>磋商小组</w:t>
      </w:r>
      <w:r>
        <w:rPr>
          <w:rFonts w:hint="eastAsia" w:ascii="宋体" w:hAnsi="宋体" w:eastAsia="宋体" w:cs="宋体"/>
          <w:color w:val="auto"/>
          <w:spacing w:val="0"/>
          <w:sz w:val="24"/>
          <w:szCs w:val="24"/>
        </w:rPr>
        <w:t>根据磋商情况</w:t>
      </w:r>
      <w:r>
        <w:rPr>
          <w:rFonts w:hint="eastAsia" w:ascii="宋体" w:hAnsi="宋体" w:eastAsia="宋体" w:cs="宋体"/>
          <w:bCs/>
          <w:color w:val="auto"/>
          <w:spacing w:val="0"/>
          <w:kern w:val="1"/>
          <w:sz w:val="24"/>
          <w:szCs w:val="24"/>
        </w:rPr>
        <w:t>认为</w:t>
      </w:r>
      <w:r>
        <w:rPr>
          <w:rFonts w:hint="eastAsia" w:ascii="宋体" w:hAnsi="宋体" w:eastAsia="宋体" w:cs="宋体"/>
          <w:color w:val="auto"/>
          <w:spacing w:val="0"/>
          <w:sz w:val="24"/>
          <w:szCs w:val="24"/>
        </w:rPr>
        <w:t>磋商文件无需发生实质性变动的，磋商小组应当直接与响应文件审查合格的供应商就价格组织多轮磋商。</w:t>
      </w:r>
    </w:p>
    <w:p w14:paraId="5A6CAF86">
      <w:pPr>
        <w:keepNext w:val="0"/>
        <w:keepLines w:val="0"/>
        <w:pageBreakBefore w:val="0"/>
        <w:widowControl w:val="0"/>
        <w:tabs>
          <w:tab w:val="left" w:pos="1080"/>
          <w:tab w:val="left" w:pos="1260"/>
        </w:tabs>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（1）磋商结束后，磋商小组应当要求所有继续参加磋商的供应商在磋商小组规定时间内提交最后报价。</w:t>
      </w:r>
    </w:p>
    <w:p w14:paraId="3DB19D54">
      <w:pPr>
        <w:keepNext w:val="0"/>
        <w:keepLines w:val="0"/>
        <w:pageBreakBefore w:val="0"/>
        <w:widowControl w:val="0"/>
        <w:tabs>
          <w:tab w:val="left" w:pos="1080"/>
          <w:tab w:val="left" w:pos="1260"/>
        </w:tabs>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（2）磋商文件明确可能发生实质性变动，但在磋商过程中</w:t>
      </w:r>
      <w:r>
        <w:rPr>
          <w:rFonts w:hint="eastAsia" w:ascii="宋体" w:hAnsi="宋体" w:eastAsia="宋体" w:cs="宋体"/>
          <w:bCs/>
          <w:color w:val="auto"/>
          <w:spacing w:val="0"/>
          <w:kern w:val="1"/>
          <w:sz w:val="24"/>
          <w:szCs w:val="24"/>
        </w:rPr>
        <w:t>磋商小组</w:t>
      </w:r>
      <w:r>
        <w:rPr>
          <w:rFonts w:hint="eastAsia" w:ascii="宋体" w:hAnsi="宋体" w:eastAsia="宋体" w:cs="宋体"/>
          <w:color w:val="auto"/>
          <w:spacing w:val="0"/>
          <w:sz w:val="24"/>
          <w:szCs w:val="24"/>
        </w:rPr>
        <w:t>根据磋商情况</w:t>
      </w:r>
      <w:r>
        <w:rPr>
          <w:rFonts w:hint="eastAsia" w:ascii="宋体" w:hAnsi="宋体" w:eastAsia="宋体" w:cs="宋体"/>
          <w:bCs/>
          <w:color w:val="auto"/>
          <w:spacing w:val="0"/>
          <w:kern w:val="1"/>
          <w:sz w:val="24"/>
          <w:szCs w:val="24"/>
        </w:rPr>
        <w:t>认为</w:t>
      </w:r>
      <w:r>
        <w:rPr>
          <w:rFonts w:hint="eastAsia" w:ascii="宋体" w:hAnsi="宋体" w:eastAsia="宋体" w:cs="宋体"/>
          <w:color w:val="auto"/>
          <w:spacing w:val="0"/>
          <w:sz w:val="24"/>
          <w:szCs w:val="24"/>
        </w:rPr>
        <w:t>磋商文件无需发生实质性变动的，磋商小组不另行通知。</w:t>
      </w:r>
    </w:p>
    <w:p w14:paraId="7BE84B5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28.2</w:t>
      </w:r>
      <w:r>
        <w:rPr>
          <w:rFonts w:hint="eastAsia" w:ascii="宋体" w:hAnsi="宋体" w:eastAsia="宋体" w:cs="宋体"/>
          <w:color w:val="auto"/>
          <w:spacing w:val="0"/>
          <w:kern w:val="1"/>
          <w:sz w:val="24"/>
          <w:szCs w:val="24"/>
        </w:rPr>
        <w:t>本章第10.2</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sz w:val="24"/>
          <w:szCs w:val="24"/>
        </w:rPr>
        <w:t>明确磋商文件实质性变动内容的，</w:t>
      </w:r>
      <w:r>
        <w:rPr>
          <w:rFonts w:hint="eastAsia" w:ascii="宋体" w:hAnsi="宋体" w:eastAsia="宋体" w:cs="宋体"/>
          <w:bCs/>
          <w:color w:val="auto"/>
          <w:spacing w:val="0"/>
          <w:kern w:val="1"/>
          <w:sz w:val="24"/>
          <w:szCs w:val="24"/>
        </w:rPr>
        <w:t>磋商小组</w:t>
      </w:r>
      <w:r>
        <w:rPr>
          <w:rFonts w:hint="eastAsia" w:ascii="宋体" w:hAnsi="宋体" w:eastAsia="宋体" w:cs="宋体"/>
          <w:color w:val="auto"/>
          <w:spacing w:val="0"/>
          <w:sz w:val="24"/>
          <w:szCs w:val="24"/>
        </w:rPr>
        <w:t>可以组织多轮磋商。</w:t>
      </w:r>
      <w:r>
        <w:rPr>
          <w:rFonts w:hint="eastAsia" w:ascii="宋体" w:hAnsi="宋体" w:eastAsia="宋体" w:cs="宋体"/>
          <w:bCs/>
          <w:color w:val="auto"/>
          <w:spacing w:val="0"/>
          <w:kern w:val="1"/>
          <w:sz w:val="24"/>
          <w:szCs w:val="24"/>
        </w:rPr>
        <w:t>在每一轮磋商中，磋商小组</w:t>
      </w:r>
      <w:r>
        <w:rPr>
          <w:rFonts w:hint="eastAsia" w:ascii="宋体" w:hAnsi="宋体" w:eastAsia="宋体" w:cs="宋体"/>
          <w:color w:val="auto"/>
          <w:spacing w:val="0"/>
          <w:sz w:val="24"/>
          <w:szCs w:val="24"/>
        </w:rPr>
        <w:t>可以根据磋商文件规定和磋商情况，</w:t>
      </w:r>
      <w:r>
        <w:rPr>
          <w:rFonts w:hint="eastAsia" w:ascii="宋体" w:hAnsi="宋体" w:eastAsia="宋体" w:cs="宋体"/>
          <w:bCs/>
          <w:color w:val="auto"/>
          <w:spacing w:val="0"/>
          <w:kern w:val="1"/>
          <w:sz w:val="24"/>
          <w:szCs w:val="24"/>
        </w:rPr>
        <w:t>对磋商文件的</w:t>
      </w:r>
      <w:r>
        <w:rPr>
          <w:rFonts w:hint="eastAsia" w:ascii="宋体" w:hAnsi="宋体" w:eastAsia="宋体" w:cs="宋体"/>
          <w:color w:val="auto"/>
          <w:spacing w:val="0"/>
          <w:sz w:val="24"/>
          <w:szCs w:val="24"/>
        </w:rPr>
        <w:t>采购需求中的技术、服务要求以及合同草案条款</w:t>
      </w:r>
      <w:r>
        <w:rPr>
          <w:rFonts w:hint="eastAsia" w:ascii="宋体" w:hAnsi="宋体" w:eastAsia="宋体" w:cs="宋体"/>
          <w:bCs/>
          <w:color w:val="auto"/>
          <w:spacing w:val="0"/>
          <w:kern w:val="1"/>
          <w:sz w:val="24"/>
          <w:szCs w:val="24"/>
        </w:rPr>
        <w:t>作实质性变动(磋商文件的实质性变动内容为磋商文件的组成部分)，并以书面形式要求</w:t>
      </w:r>
      <w:r>
        <w:rPr>
          <w:rFonts w:hint="eastAsia" w:ascii="宋体" w:hAnsi="宋体" w:eastAsia="宋体" w:cs="宋体"/>
          <w:color w:val="auto"/>
          <w:spacing w:val="0"/>
          <w:sz w:val="24"/>
          <w:szCs w:val="24"/>
        </w:rPr>
        <w:t>响应文件审查合格</w:t>
      </w:r>
      <w:r>
        <w:rPr>
          <w:rFonts w:hint="eastAsia" w:ascii="宋体" w:hAnsi="宋体" w:eastAsia="宋体" w:cs="宋体"/>
          <w:bCs/>
          <w:color w:val="auto"/>
          <w:spacing w:val="0"/>
          <w:kern w:val="1"/>
          <w:sz w:val="24"/>
          <w:szCs w:val="24"/>
        </w:rPr>
        <w:t>的供应商，在规定的</w:t>
      </w:r>
      <w:r>
        <w:rPr>
          <w:rFonts w:hint="eastAsia" w:ascii="宋体" w:hAnsi="宋体" w:eastAsia="宋体" w:cs="宋体"/>
          <w:color w:val="auto"/>
          <w:spacing w:val="0"/>
          <w:sz w:val="24"/>
          <w:szCs w:val="24"/>
        </w:rPr>
        <w:t>截止时间前</w:t>
      </w:r>
      <w:r>
        <w:rPr>
          <w:rFonts w:hint="eastAsia" w:ascii="宋体" w:hAnsi="宋体" w:eastAsia="宋体" w:cs="宋体"/>
          <w:bCs/>
          <w:color w:val="auto"/>
          <w:spacing w:val="0"/>
          <w:kern w:val="1"/>
          <w:sz w:val="24"/>
          <w:szCs w:val="24"/>
        </w:rPr>
        <w:t>重</w:t>
      </w:r>
      <w:r>
        <w:rPr>
          <w:rFonts w:hint="eastAsia" w:ascii="宋体" w:hAnsi="宋体" w:eastAsia="宋体" w:cs="宋体"/>
          <w:color w:val="auto"/>
          <w:spacing w:val="0"/>
          <w:sz w:val="24"/>
          <w:szCs w:val="24"/>
        </w:rPr>
        <w:t>新提交响应文件</w:t>
      </w:r>
      <w:r>
        <w:rPr>
          <w:rFonts w:hint="eastAsia" w:ascii="宋体" w:hAnsi="宋体" w:eastAsia="宋体" w:cs="宋体"/>
          <w:bCs/>
          <w:color w:val="auto"/>
          <w:spacing w:val="0"/>
          <w:kern w:val="1"/>
          <w:sz w:val="24"/>
          <w:szCs w:val="24"/>
        </w:rPr>
        <w:t>。</w:t>
      </w:r>
      <w:r>
        <w:rPr>
          <w:rFonts w:hint="eastAsia" w:ascii="宋体" w:hAnsi="宋体" w:eastAsia="宋体" w:cs="宋体"/>
          <w:color w:val="auto"/>
          <w:spacing w:val="0"/>
          <w:sz w:val="24"/>
          <w:szCs w:val="24"/>
        </w:rPr>
        <w:t>磋商小组应当</w:t>
      </w:r>
      <w:r>
        <w:rPr>
          <w:rFonts w:hint="eastAsia" w:ascii="宋体" w:hAnsi="宋体" w:eastAsia="宋体" w:cs="宋体"/>
          <w:color w:val="auto"/>
          <w:spacing w:val="0"/>
          <w:kern w:val="1"/>
          <w:sz w:val="24"/>
          <w:szCs w:val="24"/>
        </w:rPr>
        <w:t>根据本章第25.2</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w:t>
      </w:r>
      <w:r>
        <w:rPr>
          <w:rFonts w:hint="eastAsia" w:ascii="宋体" w:hAnsi="宋体" w:eastAsia="宋体" w:cs="宋体"/>
          <w:color w:val="auto"/>
          <w:spacing w:val="0"/>
          <w:sz w:val="24"/>
          <w:szCs w:val="24"/>
        </w:rPr>
        <w:t>对供应商重新提交的响应文件进行审查。供应商重新提交的响应文件审查不合格的，不得进入下一轮磋商，也不得要求提交最后报价。</w:t>
      </w:r>
    </w:p>
    <w:p w14:paraId="7885281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（1）磋商文件能够详细列明采购需求的技术、服务要求的，磋商结束后，磋商小组应当要求所有继续参加磋商的供应商在规定时间内提交最后报价。</w:t>
      </w:r>
    </w:p>
    <w:p w14:paraId="1CE1808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F98510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28.3重</w:t>
      </w:r>
      <w:r>
        <w:rPr>
          <w:rFonts w:hint="eastAsia" w:ascii="宋体" w:hAnsi="宋体" w:eastAsia="宋体" w:cs="宋体"/>
          <w:color w:val="auto"/>
          <w:spacing w:val="0"/>
          <w:sz w:val="24"/>
          <w:szCs w:val="24"/>
        </w:rPr>
        <w:t>新提交的响应文件</w:t>
      </w:r>
      <w:r>
        <w:rPr>
          <w:rFonts w:hint="eastAsia" w:ascii="宋体" w:hAnsi="宋体" w:eastAsia="宋体" w:cs="宋体"/>
          <w:color w:val="auto"/>
          <w:spacing w:val="0"/>
          <w:kern w:val="1"/>
          <w:sz w:val="24"/>
          <w:szCs w:val="24"/>
        </w:rPr>
        <w:t>或者最后报价应按</w:t>
      </w:r>
      <w:r>
        <w:rPr>
          <w:rFonts w:hint="eastAsia" w:ascii="宋体" w:hAnsi="宋体" w:eastAsia="宋体" w:cs="宋体"/>
          <w:color w:val="auto"/>
          <w:spacing w:val="0"/>
          <w:sz w:val="24"/>
          <w:szCs w:val="24"/>
        </w:rPr>
        <w:t>本章第</w:t>
      </w:r>
      <w:r>
        <w:rPr>
          <w:rFonts w:hint="eastAsia" w:ascii="宋体" w:hAnsi="宋体" w:eastAsia="宋体" w:cs="宋体"/>
          <w:color w:val="auto"/>
          <w:spacing w:val="0"/>
          <w:kern w:val="1"/>
          <w:sz w:val="24"/>
          <w:szCs w:val="24"/>
        </w:rPr>
        <w:t>19.3</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w:t>
      </w:r>
      <w:r>
        <w:rPr>
          <w:rFonts w:hint="eastAsia" w:ascii="宋体" w:hAnsi="宋体" w:eastAsia="宋体" w:cs="宋体"/>
          <w:color w:val="auto"/>
          <w:spacing w:val="0"/>
          <w:sz w:val="24"/>
          <w:szCs w:val="24"/>
        </w:rPr>
        <w:t>由其法定代表人或其委托代理人签字或者加盖供应商单位章，在规定时间内密封递交给磋商小组</w:t>
      </w:r>
      <w:r>
        <w:rPr>
          <w:rFonts w:hint="eastAsia" w:ascii="宋体" w:hAnsi="宋体" w:eastAsia="宋体" w:cs="宋体"/>
          <w:color w:val="auto"/>
          <w:spacing w:val="0"/>
          <w:kern w:val="1"/>
          <w:sz w:val="24"/>
          <w:szCs w:val="24"/>
        </w:rPr>
        <w:t>。</w:t>
      </w:r>
    </w:p>
    <w:p w14:paraId="71711AB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28.4</w:t>
      </w:r>
      <w:r>
        <w:rPr>
          <w:rFonts w:hint="eastAsia" w:ascii="宋体" w:hAnsi="宋体" w:eastAsia="宋体" w:cs="宋体"/>
          <w:color w:val="auto"/>
          <w:spacing w:val="0"/>
          <w:sz w:val="24"/>
          <w:szCs w:val="24"/>
          <w:lang w:val="zh-CN"/>
        </w:rPr>
        <w:t>供应商的</w:t>
      </w:r>
      <w:r>
        <w:rPr>
          <w:rFonts w:hint="eastAsia" w:ascii="宋体" w:hAnsi="宋体" w:eastAsia="宋体" w:cs="宋体"/>
          <w:bCs/>
          <w:color w:val="auto"/>
          <w:spacing w:val="0"/>
          <w:kern w:val="1"/>
          <w:sz w:val="24"/>
          <w:szCs w:val="24"/>
        </w:rPr>
        <w:t>最</w:t>
      </w:r>
      <w:r>
        <w:rPr>
          <w:rFonts w:hint="eastAsia" w:ascii="宋体" w:hAnsi="宋体" w:eastAsia="宋体" w:cs="宋体"/>
          <w:color w:val="auto"/>
          <w:spacing w:val="0"/>
          <w:sz w:val="24"/>
          <w:szCs w:val="24"/>
          <w:lang w:val="zh-CN"/>
        </w:rPr>
        <w:t>后</w:t>
      </w:r>
      <w:r>
        <w:rPr>
          <w:rFonts w:hint="eastAsia" w:ascii="宋体" w:hAnsi="宋体" w:eastAsia="宋体" w:cs="宋体"/>
          <w:bCs/>
          <w:color w:val="auto"/>
          <w:spacing w:val="0"/>
          <w:kern w:val="1"/>
          <w:sz w:val="24"/>
          <w:szCs w:val="24"/>
        </w:rPr>
        <w:t>报价及</w:t>
      </w:r>
      <w:r>
        <w:rPr>
          <w:rFonts w:hint="eastAsia" w:ascii="宋体" w:hAnsi="宋体" w:eastAsia="宋体" w:cs="宋体"/>
          <w:color w:val="auto"/>
          <w:spacing w:val="0"/>
          <w:sz w:val="24"/>
          <w:szCs w:val="24"/>
        </w:rPr>
        <w:t>政府采购政策规定的价格扣除情况，磋商小组应召集所有参加最后报价的供应商当场开封</w:t>
      </w:r>
      <w:r>
        <w:rPr>
          <w:rFonts w:hint="eastAsia" w:ascii="宋体" w:hAnsi="宋体" w:eastAsia="宋体" w:cs="宋体"/>
          <w:bCs/>
          <w:color w:val="auto"/>
          <w:spacing w:val="0"/>
          <w:kern w:val="1"/>
          <w:sz w:val="24"/>
          <w:szCs w:val="24"/>
        </w:rPr>
        <w:t>公布，并由供应商代表签字确认。</w:t>
      </w:r>
    </w:p>
    <w:p w14:paraId="13AEB32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28.5提交首次响应文件的供应商，在提交最后报价之前，可以根据磋商情况退出磋商，并书面通知采购代理机构或者磋商小组。</w:t>
      </w:r>
      <w:r>
        <w:rPr>
          <w:rFonts w:hint="eastAsia" w:ascii="宋体" w:hAnsi="宋体" w:eastAsia="宋体" w:cs="宋体"/>
          <w:color w:val="auto"/>
          <w:spacing w:val="0"/>
          <w:kern w:val="1"/>
          <w:sz w:val="24"/>
          <w:szCs w:val="24"/>
        </w:rPr>
        <w:t>该通知由供应商法定代表人或其委托代理人签字。</w:t>
      </w:r>
      <w:r>
        <w:rPr>
          <w:rFonts w:hint="eastAsia" w:ascii="宋体" w:hAnsi="宋体" w:eastAsia="宋体" w:cs="宋体"/>
          <w:color w:val="auto"/>
          <w:spacing w:val="0"/>
          <w:sz w:val="24"/>
          <w:szCs w:val="24"/>
        </w:rPr>
        <w:t>采购代理机构按本章第</w:t>
      </w:r>
      <w:r>
        <w:rPr>
          <w:rFonts w:hint="eastAsia" w:ascii="宋体" w:hAnsi="宋体" w:eastAsia="宋体" w:cs="宋体"/>
          <w:color w:val="auto"/>
          <w:spacing w:val="0"/>
          <w:kern w:val="1"/>
          <w:sz w:val="24"/>
          <w:szCs w:val="24"/>
        </w:rPr>
        <w:t>17.4</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w:t>
      </w:r>
      <w:r>
        <w:rPr>
          <w:rFonts w:hint="eastAsia" w:ascii="宋体" w:hAnsi="宋体" w:eastAsia="宋体" w:cs="宋体"/>
          <w:color w:val="auto"/>
          <w:spacing w:val="0"/>
          <w:sz w:val="24"/>
          <w:szCs w:val="24"/>
        </w:rPr>
        <w:t>退还退出磋商的供应商的磋商保证金。</w:t>
      </w:r>
    </w:p>
    <w:p w14:paraId="566F07E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bCs/>
          <w:color w:val="auto"/>
          <w:spacing w:val="0"/>
          <w:kern w:val="1"/>
          <w:sz w:val="24"/>
          <w:szCs w:val="24"/>
        </w:rPr>
        <w:t>28.6</w:t>
      </w:r>
      <w:r>
        <w:rPr>
          <w:rFonts w:hint="eastAsia" w:ascii="宋体" w:hAnsi="宋体" w:eastAsia="宋体" w:cs="宋体"/>
          <w:color w:val="auto"/>
          <w:spacing w:val="0"/>
          <w:sz w:val="24"/>
          <w:szCs w:val="24"/>
        </w:rPr>
        <w:t>提交首次响应文件的供应商，未按磋商文件规定及磋商小组要求提交最后报价(或者</w:t>
      </w:r>
      <w:r>
        <w:rPr>
          <w:rFonts w:hint="eastAsia" w:ascii="宋体" w:hAnsi="宋体" w:eastAsia="宋体" w:cs="宋体"/>
          <w:bCs/>
          <w:color w:val="auto"/>
          <w:spacing w:val="0"/>
          <w:kern w:val="1"/>
          <w:sz w:val="24"/>
          <w:szCs w:val="24"/>
        </w:rPr>
        <w:t>重</w:t>
      </w:r>
      <w:r>
        <w:rPr>
          <w:rFonts w:hint="eastAsia" w:ascii="宋体" w:hAnsi="宋体" w:eastAsia="宋体" w:cs="宋体"/>
          <w:color w:val="auto"/>
          <w:spacing w:val="0"/>
          <w:sz w:val="24"/>
          <w:szCs w:val="24"/>
        </w:rPr>
        <w:t>新提交的响应文件和最后报价)，且又未按本章第</w:t>
      </w:r>
      <w:r>
        <w:rPr>
          <w:rFonts w:hint="eastAsia" w:ascii="宋体" w:hAnsi="宋体" w:eastAsia="宋体" w:cs="宋体"/>
          <w:color w:val="auto"/>
          <w:spacing w:val="0"/>
          <w:kern w:val="1"/>
          <w:sz w:val="24"/>
          <w:szCs w:val="24"/>
        </w:rPr>
        <w:t>28.5</w:t>
      </w:r>
      <w:r>
        <w:rPr>
          <w:rFonts w:hint="eastAsia" w:ascii="宋体" w:hAnsi="宋体" w:eastAsia="宋体" w:cs="宋体"/>
          <w:color w:val="auto"/>
          <w:spacing w:val="0"/>
          <w:sz w:val="24"/>
          <w:szCs w:val="24"/>
          <w:lang w:val="zh-CN"/>
        </w:rPr>
        <w:t>款</w:t>
      </w:r>
      <w:r>
        <w:rPr>
          <w:rFonts w:hint="eastAsia" w:ascii="宋体" w:hAnsi="宋体" w:eastAsia="宋体" w:cs="宋体"/>
          <w:color w:val="auto"/>
          <w:spacing w:val="0"/>
          <w:kern w:val="1"/>
          <w:sz w:val="24"/>
          <w:szCs w:val="24"/>
        </w:rPr>
        <w:t>规定</w:t>
      </w:r>
      <w:r>
        <w:rPr>
          <w:rFonts w:hint="eastAsia" w:ascii="宋体" w:hAnsi="宋体" w:eastAsia="宋体" w:cs="宋体"/>
          <w:color w:val="auto"/>
          <w:spacing w:val="0"/>
          <w:sz w:val="24"/>
          <w:szCs w:val="24"/>
        </w:rPr>
        <w:t>退出磋商的，供应商的磋商保证金不予退还。</w:t>
      </w:r>
    </w:p>
    <w:p w14:paraId="4760F812">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sz w:val="24"/>
          <w:szCs w:val="24"/>
        </w:rPr>
        <w:t>29.响应文件评审</w:t>
      </w:r>
    </w:p>
    <w:p w14:paraId="4928F19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29.1经磋商确定最终采购需求和提交最后报价的供应商后，由磋商小组采用综合评分法对提交最后报价的供应商的响应文件和最后报价进行综合评价。</w:t>
      </w:r>
    </w:p>
    <w:p w14:paraId="76735E1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29.2综合评分法，是指响应文件满足磋商文件全部实质性要求且按评审因素的量化指标评审得分最高的供应商为成交候选供应商的评审方法。本采购项目的评审因素和标准见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color w:val="auto"/>
          <w:spacing w:val="0"/>
          <w:kern w:val="1"/>
          <w:sz w:val="24"/>
          <w:szCs w:val="24"/>
        </w:rPr>
        <w:t>【磋商须知前附表】。</w:t>
      </w:r>
    </w:p>
    <w:p w14:paraId="6614BF6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sz w:val="24"/>
          <w:szCs w:val="24"/>
        </w:rPr>
        <w:t>29.3</w:t>
      </w:r>
      <w:r>
        <w:rPr>
          <w:rFonts w:hint="eastAsia" w:ascii="宋体" w:hAnsi="宋体" w:eastAsia="宋体" w:cs="宋体"/>
          <w:color w:val="auto"/>
          <w:spacing w:val="0"/>
          <w:kern w:val="1"/>
          <w:sz w:val="24"/>
          <w:szCs w:val="24"/>
        </w:rPr>
        <w:t>最后报价调整。磋商小组以各供应商最后报价为基础，按照符合政府采购支持中小企业发展的相应条件，对供应商的最后报价进行价格扣除，用扣除后的最后报价计算价格得分，具体价格扣除比例见本章第9.3款规定。</w:t>
      </w:r>
    </w:p>
    <w:p w14:paraId="5423F31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29.4综合评分法中的价格分采用低价优先法计算，即满足磋商文件要求且经调整后的最后报价最低的供应商的价格为磋商基准价，其价格分为满分。其他供应商的价格分按照下列公式计算：</w:t>
      </w:r>
    </w:p>
    <w:p w14:paraId="7EAE080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磋商报价得分=（磋商基准价/最后磋商报价）×价格权值×100</w:t>
      </w:r>
    </w:p>
    <w:p w14:paraId="3CE654C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项目评审过程中，不得去掉最后报价中的最高报价和最低报价。</w:t>
      </w:r>
    </w:p>
    <w:p w14:paraId="087C3CB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29.5涉及政府采购政策优惠对供应商分值进行调整的，按</w:t>
      </w:r>
      <w:r>
        <w:rPr>
          <w:rFonts w:hint="eastAsia" w:ascii="宋体" w:hAnsi="宋体" w:eastAsia="宋体" w:cs="宋体"/>
          <w:b/>
          <w:bCs/>
          <w:color w:val="auto"/>
          <w:spacing w:val="0"/>
          <w:kern w:val="1"/>
          <w:sz w:val="24"/>
          <w:szCs w:val="24"/>
        </w:rPr>
        <w:t>磋商须知前附表</w:t>
      </w:r>
      <w:r>
        <w:rPr>
          <w:rFonts w:hint="eastAsia" w:ascii="宋体" w:hAnsi="宋体" w:eastAsia="宋体" w:cs="宋体"/>
          <w:color w:val="auto"/>
          <w:spacing w:val="0"/>
          <w:kern w:val="1"/>
          <w:sz w:val="24"/>
          <w:szCs w:val="24"/>
        </w:rPr>
        <w:t>规定调整供应商的技术、商务、价格得分或总得分。</w:t>
      </w:r>
    </w:p>
    <w:p w14:paraId="3BA3BB0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29.6涉及多处或部分获得政府采购政策优惠的，其多处或部分享受政府采购优惠政策的计算方法见</w:t>
      </w:r>
      <w:r>
        <w:rPr>
          <w:rFonts w:hint="eastAsia" w:ascii="宋体" w:hAnsi="宋体" w:eastAsia="宋体" w:cs="宋体"/>
          <w:b/>
          <w:bCs/>
          <w:color w:val="auto"/>
          <w:spacing w:val="0"/>
          <w:kern w:val="1"/>
          <w:sz w:val="24"/>
          <w:szCs w:val="24"/>
        </w:rPr>
        <w:t>磋商须知前附表</w:t>
      </w:r>
      <w:r>
        <w:rPr>
          <w:rFonts w:hint="eastAsia" w:ascii="宋体" w:hAnsi="宋体" w:eastAsia="宋体" w:cs="宋体"/>
          <w:color w:val="auto"/>
          <w:spacing w:val="0"/>
          <w:kern w:val="1"/>
          <w:sz w:val="24"/>
          <w:szCs w:val="24"/>
        </w:rPr>
        <w:t>相关规定。</w:t>
      </w:r>
    </w:p>
    <w:p w14:paraId="3CEBC7E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sz w:val="24"/>
          <w:szCs w:val="24"/>
        </w:rPr>
        <w:t>29.7</w:t>
      </w:r>
      <w:r>
        <w:rPr>
          <w:rFonts w:hint="eastAsia" w:ascii="宋体" w:hAnsi="宋体" w:eastAsia="宋体" w:cs="宋体"/>
          <w:color w:val="auto"/>
          <w:spacing w:val="0"/>
          <w:kern w:val="1"/>
          <w:sz w:val="24"/>
          <w:szCs w:val="24"/>
        </w:rPr>
        <w:t>评审时，磋商小组各成员应当独立对每个供应商的</w:t>
      </w:r>
      <w:r>
        <w:rPr>
          <w:rFonts w:hint="eastAsia" w:ascii="宋体" w:hAnsi="宋体" w:eastAsia="宋体" w:cs="宋体"/>
          <w:bCs/>
          <w:color w:val="auto"/>
          <w:spacing w:val="0"/>
          <w:kern w:val="1"/>
          <w:sz w:val="24"/>
          <w:szCs w:val="24"/>
        </w:rPr>
        <w:t>响应文件</w:t>
      </w:r>
      <w:r>
        <w:rPr>
          <w:rFonts w:hint="eastAsia" w:ascii="宋体" w:hAnsi="宋体" w:eastAsia="宋体" w:cs="宋体"/>
          <w:color w:val="auto"/>
          <w:spacing w:val="0"/>
          <w:kern w:val="1"/>
          <w:sz w:val="24"/>
          <w:szCs w:val="24"/>
        </w:rPr>
        <w:t>进行评价、评分，并按照政府采购优惠政策对最后报价进行价格扣除和技术、商务、价格加分后，汇总各供应商的总得分。</w:t>
      </w:r>
    </w:p>
    <w:p w14:paraId="3301E45B">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30</w:t>
      </w:r>
      <w:r>
        <w:rPr>
          <w:rFonts w:hint="eastAsia" w:ascii="宋体" w:hAnsi="宋体" w:eastAsia="宋体" w:cs="宋体"/>
          <w:b/>
          <w:color w:val="auto"/>
          <w:spacing w:val="0"/>
          <w:sz w:val="24"/>
          <w:szCs w:val="24"/>
        </w:rPr>
        <w:t>.</w:t>
      </w:r>
      <w:r>
        <w:rPr>
          <w:rFonts w:hint="eastAsia" w:ascii="宋体" w:hAnsi="宋体" w:eastAsia="宋体" w:cs="宋体"/>
          <w:b/>
          <w:color w:val="auto"/>
          <w:spacing w:val="0"/>
          <w:kern w:val="1"/>
          <w:sz w:val="24"/>
          <w:szCs w:val="24"/>
        </w:rPr>
        <w:t>提出成交供应商</w:t>
      </w:r>
    </w:p>
    <w:p w14:paraId="593D143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30.1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0FD053BB">
      <w:pPr>
        <w:keepNext w:val="0"/>
        <w:keepLines w:val="0"/>
        <w:pageBreakBefore w:val="0"/>
        <w:widowControl w:val="0"/>
        <w:tabs>
          <w:tab w:val="left" w:pos="0"/>
        </w:tabs>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31.确定成交供应商</w:t>
      </w:r>
    </w:p>
    <w:p w14:paraId="6054AB3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31.1采购代理机构应当在评审结束后2个工作日内将评审报告送采购人确认。</w:t>
      </w:r>
    </w:p>
    <w:p w14:paraId="18DE936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31.2采购人应当在收到评审报告后5个工作日内，从评审报告提出的成交候选供应商中，按照排序由高到低的原则确定成交供应商，也可以书面授权磋商小组直接确定成交供应商。</w:t>
      </w:r>
    </w:p>
    <w:p w14:paraId="09C3200F">
      <w:pPr>
        <w:pStyle w:val="7"/>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32.磋商终止</w:t>
      </w:r>
    </w:p>
    <w:p w14:paraId="3EDBC00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32.1出现下列情形之一的，采购人或者采购代理机构应当终止竞争性磋商采购活动，在本章第35.1款指定的媒体上发布项目终止公告并说明原因，重新开展采购活动：</w:t>
      </w:r>
    </w:p>
    <w:p w14:paraId="10230C3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（1）因情况变化，不再符合规定的竞争性磋商采购方式适用情形的；</w:t>
      </w:r>
    </w:p>
    <w:p w14:paraId="4E1096C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（2）出现影响采购公正的违法、违规行为的；</w:t>
      </w:r>
    </w:p>
    <w:p w14:paraId="32A3E65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除《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供应商或者报价未超过采购预算的供应商不足3家的；</w:t>
      </w:r>
    </w:p>
    <w:p w14:paraId="59FDCC5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（4）因重大变故，采购任务取消的。</w:t>
      </w:r>
    </w:p>
    <w:p w14:paraId="2D67BA20">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33．重新评审</w:t>
      </w:r>
    </w:p>
    <w:p w14:paraId="6E02808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33.1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7CBBD1F3">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34.保密及串通行为</w:t>
      </w:r>
    </w:p>
    <w:p w14:paraId="64E95A8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34.1磋商小组成员以及与评审工作有关的人员不得泄露评审情况以及评审过程中获悉的国家秘密、商业秘密。</w:t>
      </w:r>
    </w:p>
    <w:p w14:paraId="061C9A2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34.2</w:t>
      </w:r>
      <w:r>
        <w:rPr>
          <w:rFonts w:hint="eastAsia" w:ascii="宋体" w:hAnsi="宋体" w:eastAsia="宋体" w:cs="宋体"/>
          <w:color w:val="auto"/>
          <w:spacing w:val="0"/>
          <w:sz w:val="24"/>
          <w:szCs w:val="24"/>
        </w:rPr>
        <w:t>供应商</w:t>
      </w:r>
      <w:r>
        <w:rPr>
          <w:rFonts w:hint="eastAsia" w:ascii="宋体" w:hAnsi="宋体" w:eastAsia="宋体" w:cs="宋体"/>
          <w:color w:val="auto"/>
          <w:spacing w:val="0"/>
          <w:kern w:val="1"/>
          <w:sz w:val="24"/>
          <w:szCs w:val="24"/>
        </w:rPr>
        <w:t>不得与</w:t>
      </w:r>
      <w:r>
        <w:rPr>
          <w:rFonts w:hint="eastAsia" w:ascii="宋体" w:hAnsi="宋体" w:eastAsia="宋体" w:cs="宋体"/>
          <w:color w:val="auto"/>
          <w:spacing w:val="0"/>
          <w:sz w:val="24"/>
          <w:szCs w:val="24"/>
        </w:rPr>
        <w:t>采购人、采购代理机构、其他供应商恶意</w:t>
      </w:r>
      <w:r>
        <w:rPr>
          <w:rFonts w:hint="eastAsia" w:ascii="宋体" w:hAnsi="宋体" w:eastAsia="宋体" w:cs="宋体"/>
          <w:color w:val="auto"/>
          <w:spacing w:val="0"/>
          <w:kern w:val="1"/>
          <w:sz w:val="24"/>
          <w:szCs w:val="24"/>
        </w:rPr>
        <w:t>串通；不得向</w:t>
      </w:r>
      <w:r>
        <w:rPr>
          <w:rFonts w:hint="eastAsia" w:ascii="宋体" w:hAnsi="宋体" w:eastAsia="宋体" w:cs="宋体"/>
          <w:color w:val="auto"/>
          <w:spacing w:val="0"/>
          <w:sz w:val="24"/>
          <w:szCs w:val="24"/>
        </w:rPr>
        <w:t>采购人、采购代理机构</w:t>
      </w:r>
      <w:r>
        <w:rPr>
          <w:rFonts w:hint="eastAsia" w:ascii="宋体" w:hAnsi="宋体" w:eastAsia="宋体" w:cs="宋体"/>
          <w:color w:val="auto"/>
          <w:spacing w:val="0"/>
          <w:kern w:val="1"/>
          <w:sz w:val="24"/>
          <w:szCs w:val="24"/>
        </w:rPr>
        <w:t>或者磋商小组成员行贿或者提供其他不正当利益；不得提供虚假资料谋取成交；不得以任何方式干扰、影响采购工作。</w:t>
      </w:r>
    </w:p>
    <w:p w14:paraId="18F187BC">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firstLine="480" w:firstLineChars="200"/>
        <w:jc w:val="both"/>
        <w:textAlignment w:val="auto"/>
        <w:rPr>
          <w:rFonts w:hint="eastAsia" w:ascii="宋体" w:hAnsi="宋体" w:eastAsia="宋体" w:cs="宋体"/>
          <w:color w:val="auto"/>
          <w:spacing w:val="0"/>
          <w:sz w:val="24"/>
          <w:szCs w:val="24"/>
          <w:lang w:val="zh-CN"/>
        </w:rPr>
      </w:pPr>
      <w:r>
        <w:rPr>
          <w:rFonts w:hint="eastAsia" w:ascii="宋体" w:hAnsi="宋体" w:eastAsia="宋体" w:cs="宋体"/>
          <w:color w:val="auto"/>
          <w:spacing w:val="0"/>
          <w:sz w:val="24"/>
          <w:szCs w:val="24"/>
        </w:rPr>
        <w:t>34.3</w:t>
      </w:r>
      <w:r>
        <w:rPr>
          <w:rFonts w:hint="eastAsia" w:ascii="宋体" w:hAnsi="宋体" w:eastAsia="宋体" w:cs="宋体"/>
          <w:color w:val="auto"/>
          <w:spacing w:val="0"/>
          <w:sz w:val="24"/>
          <w:szCs w:val="24"/>
          <w:lang w:val="zh-CN"/>
        </w:rPr>
        <w:t>有下列情形之一的，属于恶意串通，对供应商依照政府采购法第七十七条第一款的规定追究法律责任：</w:t>
      </w:r>
    </w:p>
    <w:p w14:paraId="4525E6E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（1）供应商直接或者间接从</w:t>
      </w:r>
      <w:r>
        <w:rPr>
          <w:rFonts w:hint="eastAsia" w:ascii="宋体" w:hAnsi="宋体" w:eastAsia="宋体" w:cs="宋体"/>
          <w:bCs/>
          <w:color w:val="auto"/>
          <w:spacing w:val="0"/>
          <w:kern w:val="1"/>
          <w:sz w:val="24"/>
          <w:szCs w:val="24"/>
        </w:rPr>
        <w:t>采购人、采购代理机构</w:t>
      </w:r>
      <w:r>
        <w:rPr>
          <w:rFonts w:hint="eastAsia" w:ascii="宋体" w:hAnsi="宋体" w:eastAsia="宋体" w:cs="宋体"/>
          <w:color w:val="auto"/>
          <w:spacing w:val="0"/>
          <w:kern w:val="1"/>
          <w:sz w:val="24"/>
          <w:szCs w:val="24"/>
        </w:rPr>
        <w:t>获得其他供应商的响应情况，并修改其响应文件的；</w:t>
      </w:r>
    </w:p>
    <w:p w14:paraId="1F376F3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（2）</w:t>
      </w:r>
      <w:r>
        <w:rPr>
          <w:rFonts w:hint="eastAsia" w:ascii="宋体" w:hAnsi="宋体" w:eastAsia="宋体" w:cs="宋体"/>
          <w:bCs/>
          <w:color w:val="auto"/>
          <w:spacing w:val="0"/>
          <w:kern w:val="1"/>
          <w:sz w:val="24"/>
          <w:szCs w:val="24"/>
        </w:rPr>
        <w:t>采购人、采购代理机构</w:t>
      </w:r>
      <w:r>
        <w:rPr>
          <w:rFonts w:hint="eastAsia" w:ascii="宋体" w:hAnsi="宋体" w:eastAsia="宋体" w:cs="宋体"/>
          <w:color w:val="auto"/>
          <w:spacing w:val="0"/>
          <w:kern w:val="1"/>
          <w:sz w:val="24"/>
          <w:szCs w:val="24"/>
        </w:rPr>
        <w:t>授意供应商撤换、修改响应文件的；</w:t>
      </w:r>
    </w:p>
    <w:p w14:paraId="382D5FC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（3）供应商之间协商技术方案、合同条款以及报价等响应文件实质性内容的；</w:t>
      </w:r>
    </w:p>
    <w:p w14:paraId="2CDB596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（4）属于同一集团、协会、商会等组织成员的供应商按照该组织要求协同参加竞争性谈判政府采购活动的；</w:t>
      </w:r>
    </w:p>
    <w:p w14:paraId="6D06A879">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（5）供应商之间事先约定由某一特定供应商成交的；</w:t>
      </w:r>
    </w:p>
    <w:p w14:paraId="3316B6F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（6）供应商之间商定部分供应商放弃提交响应文件或者退出谈判或者放弃成交的；</w:t>
      </w:r>
    </w:p>
    <w:p w14:paraId="765F1E5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color w:val="auto"/>
          <w:spacing w:val="0"/>
          <w:kern w:val="1"/>
          <w:sz w:val="24"/>
          <w:szCs w:val="24"/>
        </w:rPr>
        <w:t>（7）供应商与</w:t>
      </w:r>
      <w:r>
        <w:rPr>
          <w:rFonts w:hint="eastAsia" w:ascii="宋体" w:hAnsi="宋体" w:eastAsia="宋体" w:cs="宋体"/>
          <w:bCs/>
          <w:color w:val="auto"/>
          <w:spacing w:val="0"/>
          <w:kern w:val="1"/>
          <w:sz w:val="24"/>
          <w:szCs w:val="24"/>
        </w:rPr>
        <w:t>采购人、采购代理机构以及</w:t>
      </w:r>
      <w:r>
        <w:rPr>
          <w:rFonts w:hint="eastAsia" w:ascii="宋体" w:hAnsi="宋体" w:eastAsia="宋体" w:cs="宋体"/>
          <w:color w:val="auto"/>
          <w:spacing w:val="0"/>
          <w:kern w:val="1"/>
          <w:sz w:val="24"/>
          <w:szCs w:val="24"/>
        </w:rPr>
        <w:t>谈判小组成员之间、供应商相互之间，为谋求特定供应商成交或者排斥其他供应商的其他串通行为的。</w:t>
      </w:r>
    </w:p>
    <w:p w14:paraId="5300194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（8）法律、行政法规或规章规定的其他串通行为。</w:t>
      </w:r>
    </w:p>
    <w:p w14:paraId="6AC59DE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2"/>
        <w:rPr>
          <w:rFonts w:hint="eastAsia" w:ascii="黑体" w:hAnsi="黑体" w:eastAsia="黑体" w:cs="黑体"/>
          <w:color w:val="auto"/>
          <w:spacing w:val="0"/>
          <w:kern w:val="1"/>
          <w:sz w:val="24"/>
          <w:szCs w:val="24"/>
        </w:rPr>
      </w:pPr>
      <w:bookmarkStart w:id="31" w:name="_Toc19204"/>
      <w:r>
        <w:rPr>
          <w:rFonts w:hint="eastAsia" w:ascii="黑体" w:hAnsi="黑体" w:eastAsia="黑体" w:cs="黑体"/>
          <w:color w:val="auto"/>
          <w:spacing w:val="0"/>
          <w:kern w:val="1"/>
          <w:sz w:val="24"/>
          <w:szCs w:val="24"/>
        </w:rPr>
        <w:t>六、成交结果信息公布与授予合同</w:t>
      </w:r>
      <w:bookmarkEnd w:id="31"/>
    </w:p>
    <w:p w14:paraId="77C15E51">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35.成交信息的公布</w:t>
      </w:r>
    </w:p>
    <w:p w14:paraId="0676222F">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35.1成交供应商确定后2个工作日内，成交结果信息将在</w:t>
      </w:r>
      <w:r>
        <w:rPr>
          <w:rFonts w:hint="eastAsia" w:ascii="宋体" w:hAnsi="宋体" w:eastAsia="宋体" w:cs="宋体"/>
          <w:b/>
          <w:color w:val="auto"/>
          <w:spacing w:val="0"/>
          <w:sz w:val="24"/>
          <w:szCs w:val="24"/>
        </w:rPr>
        <w:t>【磋商须知前附表】</w:t>
      </w:r>
      <w:r>
        <w:rPr>
          <w:rFonts w:hint="eastAsia" w:ascii="宋体" w:hAnsi="宋体" w:eastAsia="宋体" w:cs="宋体"/>
          <w:color w:val="auto"/>
          <w:spacing w:val="0"/>
          <w:sz w:val="24"/>
          <w:szCs w:val="24"/>
        </w:rPr>
        <w:t>指定的媒体上公布。</w:t>
      </w:r>
    </w:p>
    <w:p w14:paraId="31ACEF29">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36.询问及质疑</w:t>
      </w:r>
    </w:p>
    <w:p w14:paraId="793436E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36.1供应商对政府采购活动事项有疑问的，可以向采购人或采购代理机构提出询问。采购人或采购代理机构将在3个工作日内作出答复。</w:t>
      </w:r>
    </w:p>
    <w:p w14:paraId="774470BD">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36.2供应商认为磋商文件、采购过程和中标结果使自己的权益受到损害的，可以在知道或者应知其权益受到损害之日起7个工作日内，以书面形式向采购人提出质疑。</w:t>
      </w:r>
    </w:p>
    <w:p w14:paraId="15F8F633">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36.3本章第36.2款所称投标人应知其权益受到损害之日，是指：</w:t>
      </w:r>
    </w:p>
    <w:p w14:paraId="33DEEBCA">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（1）对可以质疑的磋商文件提出质疑的，为收到磋商文件之日或者招标公告期限届满之日；</w:t>
      </w:r>
    </w:p>
    <w:p w14:paraId="061A66C0">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（2）对采购过程提出质疑的，为各采购程序环节结束之日；</w:t>
      </w:r>
    </w:p>
    <w:p w14:paraId="25336A3B">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（3）对中标结果提出质疑的，为中标结果公告期限届满之日。</w:t>
      </w:r>
    </w:p>
    <w:p w14:paraId="570FE856">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36.4供应商提出质疑的，应提供质疑函原件。采购人或采购代理机构应当向质疑供应商签收回执。</w:t>
      </w:r>
    </w:p>
    <w:p w14:paraId="298F82F2">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36.5供应商提出质疑应当提交质疑函和必要的证明材料。质疑函应当包括下列内容：</w:t>
      </w:r>
    </w:p>
    <w:p w14:paraId="7BC35049">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（1）供应商的姓名或者名称、地址、邮编、联系人及联系电话；</w:t>
      </w:r>
    </w:p>
    <w:p w14:paraId="4E949848">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（2）质疑项目的名称、编号；</w:t>
      </w:r>
    </w:p>
    <w:p w14:paraId="1F101B53">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（3）具体、明确的质疑事项和与质疑事项相关的请求；</w:t>
      </w:r>
    </w:p>
    <w:p w14:paraId="2EC560D6">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（4）事实依据；</w:t>
      </w:r>
    </w:p>
    <w:p w14:paraId="4EEF0C5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（5）必要的法律依据；</w:t>
      </w:r>
    </w:p>
    <w:p w14:paraId="48A1947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（6）提出质疑的日期。</w:t>
      </w:r>
    </w:p>
    <w:p w14:paraId="4B9F3582">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36.6质疑函按中国政府采购网（www.ccgp.gov.cn）“下载专区”的“政府采购供应质疑函范本”和“质疑函制作说明”制作。</w:t>
      </w:r>
    </w:p>
    <w:p w14:paraId="0F15EF85">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36.7采购人或采购代理机构将在签收回执之日起7个工作日内作出书面答复，并以书面形式通知质疑供应商和其他有关的供应商。</w:t>
      </w:r>
    </w:p>
    <w:p w14:paraId="70637E7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36.8供应商对采购人或采购代理机构的答复不满意，或采购人或采购代理机构未在规定的期限作出答复的，可在答复期满后15个工作日内，按政府采购相关法律法规规章的规定及程序，向同级财政部门提出投诉。</w:t>
      </w:r>
    </w:p>
    <w:p w14:paraId="1B4985C5">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37.成交通知</w:t>
      </w:r>
    </w:p>
    <w:p w14:paraId="3FB6E3F8">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37.1成交供应商确定后，采购人或采购代理机构将以书面形式向成交供应商发出成交通知书。成交通知书对采购人和成交供应商具有同等法律效力。</w:t>
      </w:r>
    </w:p>
    <w:p w14:paraId="4400085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37.2成交通知书是合同文件的组成部分。</w:t>
      </w:r>
    </w:p>
    <w:p w14:paraId="6D70C8AF">
      <w:pPr>
        <w:keepNext w:val="0"/>
        <w:keepLines w:val="0"/>
        <w:pageBreakBefore w:val="0"/>
        <w:widowControl w:val="0"/>
        <w:tabs>
          <w:tab w:val="left" w:pos="7560"/>
          <w:tab w:val="left" w:pos="7740"/>
          <w:tab w:val="left" w:pos="7920"/>
        </w:tabs>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sz w:val="24"/>
          <w:szCs w:val="24"/>
        </w:rPr>
        <w:t>37.3</w:t>
      </w:r>
      <w:r>
        <w:rPr>
          <w:rFonts w:hint="eastAsia" w:ascii="宋体" w:hAnsi="宋体" w:eastAsia="宋体" w:cs="宋体"/>
          <w:color w:val="auto"/>
          <w:spacing w:val="0"/>
          <w:kern w:val="1"/>
          <w:sz w:val="24"/>
          <w:szCs w:val="24"/>
        </w:rPr>
        <w:t>成交供应商在收到采购代理机构的成交通知书后10日内，应按照【磋商须知前附表】的规定，向采购人提交履约担保。联合体成交的，履约担保由联合体各方或联合体中牵头人的名义提交。</w:t>
      </w:r>
    </w:p>
    <w:p w14:paraId="4F33C9F1">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37.4成交供应商没有按照本章第37.3</w:t>
      </w:r>
      <w:r>
        <w:rPr>
          <w:rFonts w:hint="eastAsia" w:ascii="宋体" w:hAnsi="宋体" w:eastAsia="宋体" w:cs="宋体"/>
          <w:color w:val="auto"/>
          <w:spacing w:val="0"/>
          <w:kern w:val="0"/>
          <w:sz w:val="24"/>
          <w:szCs w:val="24"/>
          <w:lang w:val="zh-CN"/>
        </w:rPr>
        <w:t>款</w:t>
      </w:r>
      <w:r>
        <w:rPr>
          <w:rFonts w:hint="eastAsia" w:ascii="宋体" w:hAnsi="宋体" w:eastAsia="宋体" w:cs="宋体"/>
          <w:color w:val="auto"/>
          <w:spacing w:val="0"/>
          <w:sz w:val="24"/>
          <w:szCs w:val="24"/>
        </w:rPr>
        <w:t>规定提交履约担保的，视为放弃成交资格，其保证金不予退还。</w:t>
      </w:r>
    </w:p>
    <w:p w14:paraId="63C4C75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38.签订合同</w:t>
      </w:r>
    </w:p>
    <w:p w14:paraId="6909CD8F">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38.1成交供应商应当在成交通知书发出之日起30日内与采购人签订政府采购合同。</w:t>
      </w:r>
    </w:p>
    <w:p w14:paraId="362A63FC">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38.2磋商文件、成交供应商的响应文件等均为签订政府采购合同的依据。</w:t>
      </w:r>
    </w:p>
    <w:p w14:paraId="56E02BC5">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38.3成交供应商应当按照合同约定履行义务。成交供应商不得向他人转让成交项目，也不得将成交项目分包后分别向他人转让。</w:t>
      </w:r>
    </w:p>
    <w:p w14:paraId="69579ADD">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38.4成交供应商有下列情形之一的，责令限期改正，情节严重的，列入不良行为记录名单，在1至3年内禁止参加政府采购活动，并予以通报：</w:t>
      </w:r>
    </w:p>
    <w:p w14:paraId="452563E7">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（一）成交后无正当理由不与采购人签订合同的；</w:t>
      </w:r>
    </w:p>
    <w:p w14:paraId="6E5F4A17">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（二）未按照采购文件确定的事项签订政府采购合同，或者与采购人另行订立背离合同实质性内容的协议的；</w:t>
      </w:r>
    </w:p>
    <w:p w14:paraId="1A2E67C4">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（三）拒绝履行合同义务的；</w:t>
      </w:r>
    </w:p>
    <w:p w14:paraId="35FB3839">
      <w:pPr>
        <w:pStyle w:val="7"/>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sz w:val="24"/>
          <w:szCs w:val="24"/>
        </w:rPr>
        <w:t>（四）</w:t>
      </w:r>
      <w:r>
        <w:rPr>
          <w:rFonts w:hint="eastAsia" w:ascii="宋体" w:hAnsi="宋体" w:eastAsia="宋体" w:cs="宋体"/>
          <w:color w:val="auto"/>
          <w:spacing w:val="0"/>
          <w:kern w:val="0"/>
          <w:sz w:val="24"/>
          <w:szCs w:val="24"/>
        </w:rPr>
        <w:t>违反法律、规章、规范性文件规定的。</w:t>
      </w:r>
    </w:p>
    <w:p w14:paraId="6576A3E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2"/>
        <w:rPr>
          <w:rFonts w:hint="eastAsia" w:ascii="黑体" w:hAnsi="黑体" w:eastAsia="黑体" w:cs="黑体"/>
          <w:color w:val="auto"/>
          <w:spacing w:val="0"/>
          <w:kern w:val="1"/>
          <w:sz w:val="24"/>
          <w:szCs w:val="24"/>
        </w:rPr>
      </w:pPr>
      <w:bookmarkStart w:id="32" w:name="_Toc3244"/>
      <w:r>
        <w:rPr>
          <w:rFonts w:hint="eastAsia" w:ascii="黑体" w:hAnsi="黑体" w:eastAsia="黑体" w:cs="黑体"/>
          <w:color w:val="auto"/>
          <w:spacing w:val="0"/>
          <w:kern w:val="1"/>
          <w:sz w:val="24"/>
          <w:szCs w:val="24"/>
        </w:rPr>
        <w:t>七、其他规定</w:t>
      </w:r>
      <w:bookmarkEnd w:id="32"/>
    </w:p>
    <w:p w14:paraId="4F149677">
      <w:pPr>
        <w:keepNext w:val="0"/>
        <w:keepLines w:val="0"/>
        <w:pageBreakBefore w:val="0"/>
        <w:widowControl w:val="0"/>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39.采购代理服务费</w:t>
      </w:r>
    </w:p>
    <w:p w14:paraId="512B6D8F">
      <w:pPr>
        <w:keepNext w:val="0"/>
        <w:keepLines w:val="0"/>
        <w:pageBreakBefore w:val="0"/>
        <w:widowControl w:val="0"/>
        <w:tabs>
          <w:tab w:val="left" w:pos="420"/>
          <w:tab w:val="left" w:pos="7560"/>
          <w:tab w:val="left" w:pos="7740"/>
          <w:tab w:val="left" w:pos="7920"/>
        </w:tabs>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39.1采购代理机构应按</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规定收取采购代理服务费。</w:t>
      </w:r>
    </w:p>
    <w:p w14:paraId="428E3FFE">
      <w:pPr>
        <w:keepNext w:val="0"/>
        <w:keepLines w:val="0"/>
        <w:pageBreakBefore w:val="0"/>
        <w:widowControl w:val="0"/>
        <w:tabs>
          <w:tab w:val="left" w:pos="420"/>
          <w:tab w:val="left" w:pos="7560"/>
          <w:tab w:val="left" w:pos="7740"/>
          <w:tab w:val="left" w:pos="7920"/>
        </w:tabs>
        <w:kinsoku/>
        <w:wordWrap/>
        <w:overflowPunct w:val="0"/>
        <w:topLinePunct w:val="0"/>
        <w:autoSpaceDE/>
        <w:autoSpaceDN/>
        <w:bidi w:val="0"/>
        <w:adjustRightInd/>
        <w:snapToGrid/>
        <w:spacing w:line="480" w:lineRule="exact"/>
        <w:ind w:left="0" w:firstLine="482" w:firstLineChars="200"/>
        <w:jc w:val="both"/>
        <w:textAlignment w:val="auto"/>
        <w:rPr>
          <w:rFonts w:hint="eastAsia" w:ascii="宋体" w:hAnsi="宋体" w:eastAsia="宋体" w:cs="宋体"/>
          <w:b/>
          <w:color w:val="auto"/>
          <w:spacing w:val="0"/>
          <w:kern w:val="1"/>
          <w:sz w:val="24"/>
          <w:szCs w:val="24"/>
        </w:rPr>
      </w:pPr>
      <w:r>
        <w:rPr>
          <w:rFonts w:hint="eastAsia" w:ascii="宋体" w:hAnsi="宋体" w:eastAsia="宋体" w:cs="宋体"/>
          <w:b/>
          <w:color w:val="auto"/>
          <w:spacing w:val="0"/>
          <w:kern w:val="1"/>
          <w:sz w:val="24"/>
          <w:szCs w:val="24"/>
        </w:rPr>
        <w:t>40.其他规定</w:t>
      </w:r>
    </w:p>
    <w:p w14:paraId="719F874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pacing w:val="0"/>
          <w:kern w:val="1"/>
          <w:sz w:val="24"/>
          <w:szCs w:val="24"/>
        </w:rPr>
      </w:pPr>
      <w:r>
        <w:rPr>
          <w:rFonts w:hint="eastAsia" w:ascii="宋体" w:hAnsi="宋体" w:eastAsia="宋体" w:cs="宋体"/>
          <w:color w:val="auto"/>
          <w:spacing w:val="0"/>
          <w:kern w:val="1"/>
          <w:sz w:val="24"/>
          <w:szCs w:val="24"/>
        </w:rPr>
        <w:t>40.1磋商文件的其他规定见</w:t>
      </w:r>
      <w:r>
        <w:rPr>
          <w:rFonts w:hint="eastAsia" w:ascii="宋体" w:hAnsi="宋体" w:eastAsia="宋体" w:cs="宋体"/>
          <w:b/>
          <w:color w:val="auto"/>
          <w:spacing w:val="0"/>
          <w:kern w:val="1"/>
          <w:sz w:val="24"/>
          <w:szCs w:val="24"/>
        </w:rPr>
        <w:t>【磋商须知前附表】</w:t>
      </w:r>
      <w:r>
        <w:rPr>
          <w:rFonts w:hint="eastAsia" w:ascii="宋体" w:hAnsi="宋体" w:eastAsia="宋体" w:cs="宋体"/>
          <w:color w:val="auto"/>
          <w:spacing w:val="0"/>
          <w:kern w:val="1"/>
          <w:sz w:val="24"/>
          <w:szCs w:val="24"/>
        </w:rPr>
        <w:t>。</w:t>
      </w:r>
    </w:p>
    <w:p w14:paraId="76C2966C">
      <w:pPr>
        <w:pageBreakBefore w:val="0"/>
        <w:widowControl w:val="0"/>
        <w:kinsoku/>
        <w:wordWrap/>
        <w:overflowPunct w:val="0"/>
        <w:bidi w:val="0"/>
        <w:spacing w:line="400" w:lineRule="exact"/>
        <w:jc w:val="both"/>
        <w:textAlignment w:val="auto"/>
        <w:rPr>
          <w:rFonts w:hint="eastAsia" w:ascii="宋体" w:hAnsi="宋体" w:eastAsia="宋体" w:cs="宋体"/>
          <w:b/>
          <w:color w:val="auto"/>
          <w:kern w:val="1"/>
          <w:sz w:val="32"/>
          <w:szCs w:val="32"/>
        </w:rPr>
      </w:pPr>
    </w:p>
    <w:p w14:paraId="12592B88">
      <w:pPr>
        <w:pageBreakBefore w:val="0"/>
        <w:widowControl w:val="0"/>
        <w:kinsoku/>
        <w:wordWrap/>
        <w:overflowPunct w:val="0"/>
        <w:bidi w:val="0"/>
        <w:spacing w:line="400" w:lineRule="exact"/>
        <w:jc w:val="both"/>
        <w:textAlignment w:val="auto"/>
        <w:rPr>
          <w:rFonts w:hint="eastAsia" w:ascii="宋体" w:hAnsi="宋体" w:eastAsia="宋体" w:cs="宋体"/>
          <w:b/>
          <w:color w:val="auto"/>
          <w:kern w:val="1"/>
          <w:sz w:val="32"/>
          <w:szCs w:val="32"/>
        </w:rPr>
      </w:pPr>
    </w:p>
    <w:p w14:paraId="42886214">
      <w:pPr>
        <w:pageBreakBefore w:val="0"/>
        <w:widowControl w:val="0"/>
        <w:kinsoku/>
        <w:wordWrap/>
        <w:overflowPunct w:val="0"/>
        <w:bidi w:val="0"/>
        <w:spacing w:line="400" w:lineRule="exact"/>
        <w:jc w:val="both"/>
        <w:textAlignment w:val="auto"/>
        <w:rPr>
          <w:rFonts w:hint="eastAsia" w:ascii="宋体" w:hAnsi="宋体" w:eastAsia="宋体" w:cs="宋体"/>
          <w:b/>
          <w:color w:val="auto"/>
          <w:kern w:val="1"/>
          <w:sz w:val="32"/>
          <w:szCs w:val="32"/>
        </w:rPr>
      </w:pPr>
    </w:p>
    <w:p w14:paraId="3E9D7A99">
      <w:pPr>
        <w:pStyle w:val="14"/>
        <w:pageBreakBefore w:val="0"/>
        <w:widowControl w:val="0"/>
        <w:kinsoku/>
        <w:wordWrap/>
        <w:overflowPunct w:val="0"/>
        <w:bidi w:val="0"/>
        <w:ind w:firstLine="0" w:firstLineChars="0"/>
        <w:jc w:val="both"/>
        <w:textAlignment w:val="auto"/>
        <w:rPr>
          <w:rFonts w:hint="eastAsia" w:ascii="宋体" w:hAnsi="宋体" w:eastAsia="宋体" w:cs="宋体"/>
          <w:b/>
          <w:color w:val="auto"/>
          <w:kern w:val="1"/>
          <w:sz w:val="32"/>
          <w:szCs w:val="32"/>
        </w:rPr>
      </w:pPr>
    </w:p>
    <w:p w14:paraId="14FCFB9A">
      <w:pPr>
        <w:pStyle w:val="14"/>
        <w:pageBreakBefore w:val="0"/>
        <w:widowControl w:val="0"/>
        <w:kinsoku/>
        <w:wordWrap/>
        <w:overflowPunct w:val="0"/>
        <w:bidi w:val="0"/>
        <w:ind w:firstLine="0" w:firstLineChars="0"/>
        <w:jc w:val="both"/>
        <w:textAlignment w:val="auto"/>
        <w:rPr>
          <w:rFonts w:hint="eastAsia" w:ascii="宋体" w:hAnsi="宋体" w:eastAsia="宋体" w:cs="宋体"/>
          <w:b/>
          <w:color w:val="auto"/>
          <w:kern w:val="1"/>
          <w:sz w:val="32"/>
          <w:szCs w:val="32"/>
        </w:rPr>
      </w:pPr>
    </w:p>
    <w:p w14:paraId="3BAEF217">
      <w:pPr>
        <w:pStyle w:val="14"/>
        <w:pageBreakBefore w:val="0"/>
        <w:widowControl w:val="0"/>
        <w:kinsoku/>
        <w:wordWrap/>
        <w:overflowPunct w:val="0"/>
        <w:bidi w:val="0"/>
        <w:ind w:firstLine="0" w:firstLineChars="0"/>
        <w:jc w:val="both"/>
        <w:textAlignment w:val="auto"/>
        <w:rPr>
          <w:rFonts w:hint="eastAsia" w:ascii="宋体" w:hAnsi="宋体" w:eastAsia="宋体" w:cs="宋体"/>
          <w:b/>
          <w:color w:val="auto"/>
          <w:kern w:val="1"/>
          <w:sz w:val="32"/>
          <w:szCs w:val="32"/>
        </w:rPr>
      </w:pPr>
    </w:p>
    <w:p w14:paraId="4D3DEFAD">
      <w:pPr>
        <w:pageBreakBefore w:val="0"/>
        <w:widowControl w:val="0"/>
        <w:kinsoku/>
        <w:wordWrap/>
        <w:overflowPunct w:val="0"/>
        <w:bidi w:val="0"/>
        <w:jc w:val="both"/>
        <w:textAlignment w:val="auto"/>
        <w:rPr>
          <w:rFonts w:hint="eastAsia" w:ascii="Times New Roman" w:hAnsi="Times New Roman" w:eastAsia="宋体" w:cs="Times New Roman"/>
          <w:color w:val="auto"/>
        </w:rPr>
      </w:pPr>
    </w:p>
    <w:p w14:paraId="1C5F79C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outlineLvl w:val="0"/>
        <w:rPr>
          <w:rFonts w:ascii="宋体" w:hAnsi="宋体" w:eastAsia="宋体" w:cs="宋体"/>
          <w:color w:val="auto"/>
          <w:kern w:val="1"/>
          <w:szCs w:val="21"/>
        </w:rPr>
      </w:pPr>
      <w:r>
        <w:rPr>
          <w:rFonts w:hint="eastAsia" w:ascii="宋体" w:hAnsi="宋体" w:eastAsia="宋体" w:cs="宋体"/>
          <w:b/>
          <w:color w:val="auto"/>
          <w:kern w:val="1"/>
          <w:sz w:val="32"/>
          <w:szCs w:val="32"/>
        </w:rPr>
        <w:br w:type="page"/>
      </w:r>
      <w:bookmarkStart w:id="33" w:name="_Toc4256"/>
      <w:bookmarkStart w:id="34" w:name="_Toc22684"/>
      <w:r>
        <w:rPr>
          <w:rFonts w:hint="eastAsia" w:ascii="宋体" w:hAnsi="宋体" w:eastAsia="宋体" w:cs="宋体"/>
          <w:b/>
          <w:color w:val="auto"/>
          <w:kern w:val="1"/>
          <w:sz w:val="32"/>
          <w:szCs w:val="32"/>
        </w:rPr>
        <w:t>第三章  政府采购合同格式</w:t>
      </w:r>
      <w:bookmarkEnd w:id="33"/>
      <w:bookmarkEnd w:id="34"/>
    </w:p>
    <w:p w14:paraId="2D8A71AF">
      <w:pPr>
        <w:pageBreakBefore w:val="0"/>
        <w:widowControl w:val="0"/>
        <w:kinsoku/>
        <w:wordWrap/>
        <w:overflowPunct w:val="0"/>
        <w:bidi w:val="0"/>
        <w:spacing w:line="600" w:lineRule="exact"/>
        <w:jc w:val="center"/>
        <w:textAlignment w:val="auto"/>
        <w:rPr>
          <w:rFonts w:hint="eastAsia" w:ascii="黑体" w:hAnsi="Times New Roman" w:eastAsia="宋体" w:cs="Times New Roman"/>
          <w:b/>
          <w:color w:val="auto"/>
          <w:sz w:val="24"/>
        </w:rPr>
      </w:pPr>
      <w:r>
        <w:rPr>
          <w:rFonts w:hint="eastAsia" w:ascii="宋体" w:hAnsi="宋体" w:eastAsia="宋体" w:cs="Times New Roman"/>
          <w:b/>
          <w:bCs/>
          <w:color w:val="auto"/>
          <w:sz w:val="24"/>
        </w:rPr>
        <w:t>合同格式条款前附表</w:t>
      </w:r>
    </w:p>
    <w:tbl>
      <w:tblPr>
        <w:tblStyle w:val="16"/>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5"/>
        <w:gridCol w:w="2030"/>
        <w:gridCol w:w="5746"/>
      </w:tblGrid>
      <w:tr w14:paraId="227E6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8721" w:type="dxa"/>
            <w:gridSpan w:val="3"/>
            <w:noWrap w:val="0"/>
            <w:vAlign w:val="center"/>
          </w:tcPr>
          <w:p w14:paraId="72A2CE13">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 xml:space="preserve">第三章  </w:t>
            </w:r>
            <w:r>
              <w:rPr>
                <w:rFonts w:hint="eastAsia" w:ascii="宋体" w:hAnsi="宋体" w:eastAsia="宋体" w:cs="宋体"/>
                <w:b/>
                <w:color w:val="auto"/>
                <w:sz w:val="24"/>
                <w:szCs w:val="24"/>
              </w:rPr>
              <w:t>合同格式条款（前附表）</w:t>
            </w:r>
          </w:p>
        </w:tc>
      </w:tr>
      <w:tr w14:paraId="5A79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945" w:type="dxa"/>
            <w:noWrap w:val="0"/>
            <w:vAlign w:val="center"/>
          </w:tcPr>
          <w:p w14:paraId="3688ADE8">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030" w:type="dxa"/>
            <w:noWrap w:val="0"/>
            <w:vAlign w:val="center"/>
          </w:tcPr>
          <w:p w14:paraId="457BE16D">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条款名称</w:t>
            </w:r>
          </w:p>
        </w:tc>
        <w:tc>
          <w:tcPr>
            <w:tcW w:w="5746" w:type="dxa"/>
            <w:noWrap w:val="0"/>
            <w:vAlign w:val="center"/>
          </w:tcPr>
          <w:p w14:paraId="5C544674">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编列内容规定</w:t>
            </w:r>
          </w:p>
        </w:tc>
      </w:tr>
      <w:tr w14:paraId="69C5B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68" w:hRule="atLeast"/>
        </w:trPr>
        <w:tc>
          <w:tcPr>
            <w:tcW w:w="945" w:type="dxa"/>
            <w:noWrap w:val="0"/>
            <w:vAlign w:val="center"/>
          </w:tcPr>
          <w:p w14:paraId="1C405823">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30" w:type="dxa"/>
            <w:noWrap w:val="0"/>
            <w:vAlign w:val="center"/>
          </w:tcPr>
          <w:p w14:paraId="69212366">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w:t>
            </w:r>
          </w:p>
        </w:tc>
        <w:tc>
          <w:tcPr>
            <w:tcW w:w="5746" w:type="dxa"/>
            <w:noWrap w:val="0"/>
            <w:vAlign w:val="center"/>
          </w:tcPr>
          <w:p w14:paraId="044F0206">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甲方名称：</w:t>
            </w:r>
            <w:r>
              <w:rPr>
                <w:rFonts w:hint="eastAsia" w:ascii="宋体" w:hAnsi="宋体" w:cs="宋体"/>
                <w:color w:val="auto"/>
                <w:sz w:val="24"/>
                <w:szCs w:val="24"/>
                <w:u w:val="single"/>
                <w:lang w:eastAsia="zh-CN"/>
              </w:rPr>
              <w:t>慈利县第一中学</w:t>
            </w:r>
          </w:p>
          <w:p w14:paraId="662C05A2">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慈利县</w:t>
            </w:r>
            <w:r>
              <w:rPr>
                <w:rFonts w:hint="eastAsia" w:ascii="宋体" w:hAnsi="宋体" w:cs="宋体"/>
                <w:color w:val="auto"/>
                <w:sz w:val="24"/>
                <w:szCs w:val="24"/>
                <w:u w:val="single"/>
                <w:lang w:val="en-US" w:eastAsia="zh-CN"/>
              </w:rPr>
              <w:t>零阳中路</w:t>
            </w:r>
            <w:r>
              <w:rPr>
                <w:rFonts w:hint="eastAsia" w:ascii="宋体" w:hAnsi="宋体" w:eastAsia="宋体" w:cs="宋体"/>
                <w:color w:val="auto"/>
                <w:sz w:val="24"/>
                <w:szCs w:val="24"/>
                <w:u w:val="single"/>
              </w:rPr>
              <w:t xml:space="preserve">  </w:t>
            </w:r>
          </w:p>
          <w:p w14:paraId="2F6F8E39">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乙方名称：/</w:t>
            </w:r>
          </w:p>
          <w:p w14:paraId="77A4B242">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r>
      <w:tr w14:paraId="2C3E71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945" w:type="dxa"/>
            <w:noWrap w:val="0"/>
            <w:vAlign w:val="center"/>
          </w:tcPr>
          <w:p w14:paraId="7C8F40D2">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30" w:type="dxa"/>
            <w:noWrap w:val="0"/>
            <w:vAlign w:val="center"/>
          </w:tcPr>
          <w:p w14:paraId="1DF49695">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项目现场</w:t>
            </w:r>
          </w:p>
        </w:tc>
        <w:tc>
          <w:tcPr>
            <w:tcW w:w="5746" w:type="dxa"/>
            <w:noWrap w:val="0"/>
            <w:vAlign w:val="center"/>
          </w:tcPr>
          <w:p w14:paraId="7E2F4C77">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慈利县</w:t>
            </w:r>
          </w:p>
        </w:tc>
      </w:tr>
      <w:tr w14:paraId="76AB3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945" w:type="dxa"/>
            <w:noWrap w:val="0"/>
            <w:vAlign w:val="center"/>
          </w:tcPr>
          <w:p w14:paraId="5BE2C8EB">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30" w:type="dxa"/>
            <w:noWrap w:val="0"/>
            <w:vAlign w:val="center"/>
          </w:tcPr>
          <w:p w14:paraId="4FF1CAAD">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合同标的及金额</w:t>
            </w:r>
          </w:p>
        </w:tc>
        <w:tc>
          <w:tcPr>
            <w:tcW w:w="5746" w:type="dxa"/>
            <w:noWrap w:val="0"/>
            <w:vAlign w:val="center"/>
          </w:tcPr>
          <w:p w14:paraId="38B9F572">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按照响应文件及双方约定执行</w:t>
            </w:r>
          </w:p>
        </w:tc>
      </w:tr>
      <w:tr w14:paraId="6EC86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945" w:type="dxa"/>
            <w:noWrap w:val="0"/>
            <w:vAlign w:val="center"/>
          </w:tcPr>
          <w:p w14:paraId="16C2A257">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30" w:type="dxa"/>
            <w:noWrap w:val="0"/>
            <w:vAlign w:val="center"/>
          </w:tcPr>
          <w:p w14:paraId="591F732A">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保修要求</w:t>
            </w:r>
          </w:p>
        </w:tc>
        <w:tc>
          <w:tcPr>
            <w:tcW w:w="5746" w:type="dxa"/>
            <w:noWrap w:val="0"/>
            <w:vAlign w:val="center"/>
          </w:tcPr>
          <w:p w14:paraId="4A8963B0">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按国家现行相关规定实行保修</w:t>
            </w:r>
          </w:p>
        </w:tc>
      </w:tr>
      <w:tr w14:paraId="4ECE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945" w:type="dxa"/>
            <w:noWrap w:val="0"/>
            <w:vAlign w:val="center"/>
          </w:tcPr>
          <w:p w14:paraId="7F67EAF9">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30" w:type="dxa"/>
            <w:noWrap w:val="0"/>
            <w:vAlign w:val="center"/>
          </w:tcPr>
          <w:p w14:paraId="6AA4E317">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5746" w:type="dxa"/>
            <w:noWrap w:val="0"/>
            <w:vAlign w:val="center"/>
          </w:tcPr>
          <w:p w14:paraId="36EF7465">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0日历日（</w:t>
            </w:r>
            <w:r>
              <w:rPr>
                <w:rFonts w:hint="eastAsia" w:ascii="宋体" w:hAnsi="宋体" w:eastAsia="宋体" w:cs="宋体"/>
                <w:color w:val="auto"/>
                <w:sz w:val="24"/>
                <w:szCs w:val="24"/>
              </w:rPr>
              <w:t>以签订合同为准</w:t>
            </w:r>
            <w:r>
              <w:rPr>
                <w:rFonts w:hint="eastAsia" w:ascii="宋体" w:hAnsi="宋体" w:eastAsia="宋体" w:cs="宋体"/>
                <w:color w:val="auto"/>
                <w:sz w:val="24"/>
                <w:szCs w:val="24"/>
                <w:lang w:eastAsia="zh-CN"/>
              </w:rPr>
              <w:t>）</w:t>
            </w:r>
          </w:p>
        </w:tc>
      </w:tr>
      <w:tr w14:paraId="27C0F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45" w:type="dxa"/>
            <w:noWrap w:val="0"/>
            <w:vAlign w:val="center"/>
          </w:tcPr>
          <w:p w14:paraId="6DE733E1">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30" w:type="dxa"/>
            <w:noWrap w:val="0"/>
            <w:vAlign w:val="center"/>
          </w:tcPr>
          <w:p w14:paraId="111A0CFE">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合同价款支付方式</w:t>
            </w:r>
          </w:p>
        </w:tc>
        <w:tc>
          <w:tcPr>
            <w:tcW w:w="5746" w:type="dxa"/>
            <w:noWrap w:val="0"/>
            <w:vAlign w:val="center"/>
          </w:tcPr>
          <w:p w14:paraId="3C29248B">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以签订合同为准</w:t>
            </w:r>
          </w:p>
        </w:tc>
      </w:tr>
      <w:tr w14:paraId="14D82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945" w:type="dxa"/>
            <w:noWrap w:val="0"/>
            <w:vAlign w:val="center"/>
          </w:tcPr>
          <w:p w14:paraId="65EF55B6">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30" w:type="dxa"/>
            <w:noWrap w:val="0"/>
            <w:vAlign w:val="center"/>
          </w:tcPr>
          <w:p w14:paraId="690CAD42">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伴随服务</w:t>
            </w:r>
          </w:p>
        </w:tc>
        <w:tc>
          <w:tcPr>
            <w:tcW w:w="5746" w:type="dxa"/>
            <w:noWrap w:val="0"/>
            <w:vAlign w:val="center"/>
          </w:tcPr>
          <w:p w14:paraId="774EA692">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详见清单及采购需求</w:t>
            </w:r>
          </w:p>
        </w:tc>
      </w:tr>
      <w:tr w14:paraId="2100F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3" w:hRule="atLeast"/>
        </w:trPr>
        <w:tc>
          <w:tcPr>
            <w:tcW w:w="945" w:type="dxa"/>
            <w:noWrap w:val="0"/>
            <w:vAlign w:val="center"/>
          </w:tcPr>
          <w:p w14:paraId="26789FB0">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2030" w:type="dxa"/>
            <w:noWrap w:val="0"/>
            <w:vAlign w:val="center"/>
          </w:tcPr>
          <w:p w14:paraId="2DA16408">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解决争议的方式</w:t>
            </w:r>
          </w:p>
        </w:tc>
        <w:tc>
          <w:tcPr>
            <w:tcW w:w="5746" w:type="dxa"/>
            <w:noWrap w:val="0"/>
            <w:vAlign w:val="center"/>
          </w:tcPr>
          <w:p w14:paraId="505EFBB3">
            <w:pPr>
              <w:keepNext w:val="0"/>
              <w:keepLines w:val="0"/>
              <w:pageBreakBefore w:val="0"/>
              <w:widowControl w:val="0"/>
              <w:kinsoku/>
              <w:wordWrap/>
              <w:overflowPunct w:val="0"/>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■诉讼</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□仲裁</w:t>
            </w:r>
          </w:p>
        </w:tc>
      </w:tr>
    </w:tbl>
    <w:p w14:paraId="0329F963">
      <w:pPr>
        <w:pageBreakBefore w:val="0"/>
        <w:widowControl w:val="0"/>
        <w:kinsoku/>
        <w:wordWrap/>
        <w:overflowPunct w:val="0"/>
        <w:bidi w:val="0"/>
        <w:spacing w:line="360" w:lineRule="exact"/>
        <w:jc w:val="both"/>
        <w:textAlignment w:val="auto"/>
        <w:rPr>
          <w:rFonts w:hint="eastAsia" w:ascii="黑体" w:hAnsi="宋体" w:eastAsia="黑体"/>
          <w:b/>
          <w:bCs/>
          <w:color w:val="auto"/>
          <w:sz w:val="32"/>
          <w:szCs w:val="32"/>
        </w:rPr>
        <w:sectPr>
          <w:footerReference r:id="rId12" w:type="default"/>
          <w:pgSz w:w="11906" w:h="16838"/>
          <w:pgMar w:top="1587" w:right="1587" w:bottom="1587" w:left="1587" w:header="850" w:footer="992" w:gutter="0"/>
          <w:pgBorders>
            <w:top w:val="none" w:sz="0" w:space="0"/>
            <w:left w:val="none" w:sz="0" w:space="0"/>
            <w:bottom w:val="none" w:sz="0" w:space="0"/>
            <w:right w:val="none" w:sz="0" w:space="0"/>
          </w:pgBorders>
          <w:pgNumType w:fmt="decimal" w:start="5"/>
          <w:cols w:space="720" w:num="1"/>
          <w:rtlGutter w:val="0"/>
          <w:docGrid w:type="lines" w:linePitch="318" w:charSpace="0"/>
        </w:sectPr>
      </w:pPr>
    </w:p>
    <w:p w14:paraId="0879920B">
      <w:pPr>
        <w:pStyle w:val="3"/>
        <w:pageBreakBefore w:val="0"/>
        <w:widowControl w:val="0"/>
        <w:kinsoku/>
        <w:wordWrap/>
        <w:overflowPunct w:val="0"/>
        <w:bidi w:val="0"/>
        <w:ind w:left="0" w:leftChars="0" w:firstLine="0" w:firstLineChars="0"/>
        <w:jc w:val="center"/>
        <w:textAlignment w:val="auto"/>
        <w:rPr>
          <w:rFonts w:hint="eastAsia" w:ascii="宋体" w:hAnsi="宋体" w:eastAsia="宋体" w:cs="宋体"/>
          <w:color w:val="auto"/>
          <w:kern w:val="1"/>
          <w:sz w:val="36"/>
          <w:szCs w:val="36"/>
        </w:rPr>
      </w:pPr>
      <w:r>
        <w:rPr>
          <w:rFonts w:hint="eastAsia" w:ascii="宋体" w:hAnsi="宋体" w:eastAsia="宋体" w:cs="宋体"/>
          <w:b/>
          <w:color w:val="auto"/>
          <w:kern w:val="1"/>
          <w:sz w:val="36"/>
          <w:szCs w:val="36"/>
        </w:rPr>
        <w:t>政府采购合同格式</w:t>
      </w:r>
    </w:p>
    <w:p w14:paraId="791237BA">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26FE2075">
      <w:pPr>
        <w:keepNext w:val="0"/>
        <w:keepLines w:val="0"/>
        <w:pageBreakBefore w:val="0"/>
        <w:widowControl w:val="0"/>
        <w:kinsoku/>
        <w:wordWrap/>
        <w:overflowPunct w:val="0"/>
        <w:topLinePunct w:val="0"/>
        <w:autoSpaceDE/>
        <w:autoSpaceDN/>
        <w:bidi w:val="0"/>
        <w:adjustRightInd/>
        <w:snapToGrid/>
        <w:jc w:val="center"/>
        <w:textAlignment w:val="auto"/>
        <w:outlineLvl w:val="1"/>
        <w:rPr>
          <w:rFonts w:hint="eastAsia" w:ascii="黑体" w:hAnsi="宋体" w:eastAsia="黑体" w:cs="Times New Roman"/>
          <w:color w:val="auto"/>
          <w:sz w:val="30"/>
          <w:szCs w:val="30"/>
        </w:rPr>
      </w:pPr>
      <w:bookmarkStart w:id="35" w:name="_Toc300678221"/>
      <w:bookmarkEnd w:id="35"/>
      <w:bookmarkStart w:id="36" w:name="_Toc361338461"/>
      <w:bookmarkEnd w:id="36"/>
      <w:bookmarkStart w:id="37" w:name="_Toc2373"/>
      <w:r>
        <w:rPr>
          <w:rFonts w:hint="eastAsia" w:ascii="黑体" w:hAnsi="Times New Roman" w:eastAsia="黑体" w:cs="Times New Roman"/>
          <w:color w:val="auto"/>
          <w:sz w:val="30"/>
          <w:szCs w:val="30"/>
        </w:rPr>
        <w:t>一、政府采购合同协议书</w:t>
      </w:r>
      <w:bookmarkEnd w:id="37"/>
    </w:p>
    <w:p w14:paraId="4A743534">
      <w:pPr>
        <w:keepNext w:val="0"/>
        <w:keepLines w:val="0"/>
        <w:pageBreakBefore w:val="0"/>
        <w:widowControl w:val="0"/>
        <w:kinsoku/>
        <w:wordWrap/>
        <w:overflowPunct w:val="0"/>
        <w:topLinePunct w:val="0"/>
        <w:autoSpaceDE/>
        <w:autoSpaceDN/>
        <w:bidi w:val="0"/>
        <w:spacing w:line="480" w:lineRule="exact"/>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采购合同编号：</w:t>
      </w:r>
      <w:r>
        <w:rPr>
          <w:rFonts w:hint="eastAsia" w:ascii="宋体" w:hAnsi="宋体" w:eastAsia="宋体" w:cs="宋体"/>
          <w:color w:val="auto"/>
          <w:sz w:val="24"/>
          <w:szCs w:val="24"/>
          <w:u w:val="single"/>
        </w:rPr>
        <w:t xml:space="preserve">                 </w:t>
      </w:r>
    </w:p>
    <w:p w14:paraId="7765917C">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（甲方）</w:t>
      </w:r>
    </w:p>
    <w:p w14:paraId="112FB805">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（乙方）</w:t>
      </w:r>
    </w:p>
    <w:p w14:paraId="597C9B64">
      <w:pPr>
        <w:pStyle w:val="5"/>
        <w:keepNext w:val="0"/>
        <w:keepLines w:val="0"/>
        <w:pageBreakBefore w:val="0"/>
        <w:widowControl w:val="0"/>
        <w:kinsoku/>
        <w:wordWrap/>
        <w:overflowPunct w:val="0"/>
        <w:topLinePunct w:val="0"/>
        <w:autoSpaceDE/>
        <w:autoSpaceDN/>
        <w:bidi w:val="0"/>
        <w:adjustRightInd w:val="0"/>
        <w:snapToGrid w:val="0"/>
        <w:spacing w:after="0" w:line="48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为了保护甲、乙双方合法权益，根据《中华人民共和国民法典》、《中华人民共和国政府采购法》及其他有关法律、法规、规章，双方签订本合同协议书。</w:t>
      </w:r>
    </w:p>
    <w:p w14:paraId="0F2B63E1">
      <w:pPr>
        <w:keepNext w:val="0"/>
        <w:keepLines w:val="0"/>
        <w:pageBreakBefore w:val="0"/>
        <w:widowControl w:val="0"/>
        <w:kinsoku/>
        <w:wordWrap/>
        <w:overflowPunct w:val="0"/>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1.项目信息</w:t>
      </w:r>
    </w:p>
    <w:p w14:paraId="733C0004">
      <w:pPr>
        <w:pStyle w:val="5"/>
        <w:keepNext w:val="0"/>
        <w:keepLines w:val="0"/>
        <w:pageBreakBefore w:val="0"/>
        <w:widowControl w:val="0"/>
        <w:kinsoku/>
        <w:wordWrap/>
        <w:overflowPunct w:val="0"/>
        <w:topLinePunct w:val="0"/>
        <w:autoSpaceDE/>
        <w:autoSpaceDN/>
        <w:bidi w:val="0"/>
        <w:adjustRightInd w:val="0"/>
        <w:snapToGrid w:val="0"/>
        <w:spacing w:after="0"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（1）采购项目名称：</w:t>
      </w:r>
      <w:r>
        <w:rPr>
          <w:rFonts w:hint="eastAsia" w:ascii="宋体" w:hAnsi="宋体" w:eastAsia="宋体" w:cs="宋体"/>
          <w:color w:val="auto"/>
          <w:sz w:val="24"/>
          <w:szCs w:val="24"/>
          <w:u w:val="single"/>
        </w:rPr>
        <w:t xml:space="preserve">                                          </w:t>
      </w:r>
    </w:p>
    <w:p w14:paraId="3FA3B6BD">
      <w:pPr>
        <w:pStyle w:val="5"/>
        <w:keepNext w:val="0"/>
        <w:keepLines w:val="0"/>
        <w:pageBreakBefore w:val="0"/>
        <w:widowControl w:val="0"/>
        <w:kinsoku/>
        <w:wordWrap/>
        <w:overflowPunct w:val="0"/>
        <w:topLinePunct w:val="0"/>
        <w:autoSpaceDE/>
        <w:autoSpaceDN/>
        <w:bidi w:val="0"/>
        <w:adjustRightInd w:val="0"/>
        <w:snapToGrid w:val="0"/>
        <w:spacing w:after="0"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1F1C25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（3）项目内容：</w:t>
      </w:r>
      <w:r>
        <w:rPr>
          <w:rFonts w:hint="eastAsia" w:ascii="宋体" w:hAnsi="宋体" w:eastAsia="宋体" w:cs="宋体"/>
          <w:color w:val="auto"/>
          <w:sz w:val="24"/>
          <w:szCs w:val="24"/>
          <w:u w:val="single"/>
        </w:rPr>
        <w:t xml:space="preserve">                             </w:t>
      </w:r>
    </w:p>
    <w:p w14:paraId="385DA0DD">
      <w:pPr>
        <w:keepNext w:val="0"/>
        <w:keepLines w:val="0"/>
        <w:pageBreakBefore w:val="0"/>
        <w:widowControl w:val="0"/>
        <w:kinsoku/>
        <w:wordWrap/>
        <w:overflowPunct w:val="0"/>
        <w:topLinePunct w:val="0"/>
        <w:autoSpaceDE/>
        <w:autoSpaceDN/>
        <w:bidi w:val="0"/>
        <w:adjustRightInd w:val="0"/>
        <w:snapToGrid w:val="0"/>
        <w:spacing w:line="480" w:lineRule="exact"/>
        <w:ind w:firstLine="960" w:firstLineChars="4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（工程项目）承包范围：</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项目经理：</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2B0FC25D">
      <w:pPr>
        <w:keepNext w:val="0"/>
        <w:keepLines w:val="0"/>
        <w:pageBreakBefore w:val="0"/>
        <w:widowControl w:val="0"/>
        <w:kinsoku/>
        <w:wordWrap/>
        <w:overflowPunct w:val="0"/>
        <w:topLinePunct w:val="0"/>
        <w:autoSpaceDE/>
        <w:autoSpaceDN/>
        <w:bidi w:val="0"/>
        <w:adjustRightInd w:val="0"/>
        <w:snapToGrid w:val="0"/>
        <w:spacing w:line="480" w:lineRule="exact"/>
        <w:ind w:firstLine="472" w:firstLineChars="196"/>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2.合同金额</w:t>
      </w:r>
    </w:p>
    <w:p w14:paraId="48199B5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p>
    <w:p w14:paraId="51EF2F9A">
      <w:pPr>
        <w:keepNext w:val="0"/>
        <w:keepLines w:val="0"/>
        <w:pageBreakBefore w:val="0"/>
        <w:widowControl w:val="0"/>
        <w:kinsoku/>
        <w:wordWrap/>
        <w:overflowPunct w:val="0"/>
        <w:topLinePunct w:val="0"/>
        <w:autoSpaceDE/>
        <w:autoSpaceDN/>
        <w:bidi w:val="0"/>
        <w:adjustRightInd w:val="0"/>
        <w:snapToGrid w:val="0"/>
        <w:spacing w:line="480" w:lineRule="exact"/>
        <w:ind w:firstLine="1440" w:firstLineChars="600"/>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p>
    <w:p w14:paraId="7C671084">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（2）具体标的见附件。</w:t>
      </w:r>
    </w:p>
    <w:p w14:paraId="7A5F3C7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（3）合同价格形式：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04FA4E2">
      <w:pPr>
        <w:keepNext w:val="0"/>
        <w:keepLines w:val="0"/>
        <w:pageBreakBefore w:val="0"/>
        <w:widowControl w:val="0"/>
        <w:kinsoku/>
        <w:wordWrap/>
        <w:overflowPunct w:val="0"/>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b/>
          <w:color w:val="auto"/>
          <w:sz w:val="24"/>
          <w:szCs w:val="24"/>
        </w:rPr>
        <w:t>3.履行合同的时间、地点及方式</w:t>
      </w:r>
      <w:r>
        <w:rPr>
          <w:rFonts w:hint="eastAsia" w:ascii="宋体" w:hAnsi="宋体" w:eastAsia="宋体" w:cs="宋体"/>
          <w:color w:val="auto"/>
          <w:sz w:val="24"/>
          <w:szCs w:val="24"/>
          <w:u w:val="single"/>
        </w:rPr>
        <w:t xml:space="preserve"> </w:t>
      </w:r>
    </w:p>
    <w:p w14:paraId="1BB03F78">
      <w:pPr>
        <w:keepNext w:val="0"/>
        <w:keepLines w:val="0"/>
        <w:pageBreakBefore w:val="0"/>
        <w:widowControl w:val="0"/>
        <w:kinsoku/>
        <w:wordWrap/>
        <w:overflowPunct w:val="0"/>
        <w:topLinePunct w:val="0"/>
        <w:autoSpaceDE/>
        <w:autoSpaceDN/>
        <w:bidi w:val="0"/>
        <w:adjustRightInd w:val="0"/>
        <w:snapToGrid w:val="0"/>
        <w:spacing w:line="480" w:lineRule="exact"/>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日。总日历天数：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w:t>
      </w:r>
    </w:p>
    <w:p w14:paraId="1D49F563">
      <w:pPr>
        <w:keepNext w:val="0"/>
        <w:keepLines w:val="0"/>
        <w:pageBreakBefore w:val="0"/>
        <w:widowControl w:val="0"/>
        <w:kinsoku/>
        <w:wordWrap/>
        <w:overflowPunct w:val="0"/>
        <w:topLinePunct w:val="0"/>
        <w:autoSpaceDE/>
        <w:autoSpaceDN/>
        <w:bidi w:val="0"/>
        <w:adjustRightInd w:val="0"/>
        <w:snapToGrid w:val="0"/>
        <w:spacing w:line="480" w:lineRule="exact"/>
        <w:ind w:firstLine="720" w:firstLineChars="3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b/>
          <w:color w:val="auto"/>
          <w:sz w:val="24"/>
          <w:szCs w:val="24"/>
        </w:rPr>
        <w:t>：</w:t>
      </w:r>
      <w:r>
        <w:rPr>
          <w:rFonts w:hint="eastAsia" w:ascii="宋体" w:hAnsi="宋体" w:eastAsia="宋体" w:cs="宋体"/>
          <w:color w:val="auto"/>
          <w:sz w:val="24"/>
          <w:szCs w:val="24"/>
          <w:u w:val="single"/>
        </w:rPr>
        <w:t xml:space="preserve">                             </w:t>
      </w:r>
    </w:p>
    <w:p w14:paraId="7D591C75">
      <w:pPr>
        <w:keepNext w:val="0"/>
        <w:keepLines w:val="0"/>
        <w:pageBreakBefore w:val="0"/>
        <w:widowControl w:val="0"/>
        <w:kinsoku/>
        <w:wordWrap/>
        <w:overflowPunct w:val="0"/>
        <w:topLinePunct w:val="0"/>
        <w:autoSpaceDE/>
        <w:autoSpaceDN/>
        <w:bidi w:val="0"/>
        <w:adjustRightInd w:val="0"/>
        <w:snapToGrid w:val="0"/>
        <w:spacing w:line="480" w:lineRule="exact"/>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u w:val="single"/>
        </w:rPr>
        <w:t xml:space="preserve">                             </w:t>
      </w:r>
    </w:p>
    <w:p w14:paraId="3D7E095B">
      <w:pPr>
        <w:keepNext w:val="0"/>
        <w:keepLines w:val="0"/>
        <w:pageBreakBefore w:val="0"/>
        <w:widowControl w:val="0"/>
        <w:kinsoku/>
        <w:wordWrap/>
        <w:overflowPunct w:val="0"/>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4.付款：</w:t>
      </w:r>
    </w:p>
    <w:p w14:paraId="0F7F507F">
      <w:pPr>
        <w:keepNext w:val="0"/>
        <w:keepLines w:val="0"/>
        <w:pageBreakBefore w:val="0"/>
        <w:widowControl w:val="0"/>
        <w:kinsoku/>
        <w:wordWrap/>
        <w:overflowPunct w:val="0"/>
        <w:topLinePunct w:val="0"/>
        <w:autoSpaceDE/>
        <w:autoSpaceDN/>
        <w:bidi w:val="0"/>
        <w:adjustRightInd w:val="0"/>
        <w:snapToGrid w:val="0"/>
        <w:spacing w:line="480" w:lineRule="exact"/>
        <w:ind w:firstLine="720" w:firstLineChars="30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FF98E52">
      <w:pPr>
        <w:keepNext w:val="0"/>
        <w:keepLines w:val="0"/>
        <w:pageBreakBefore w:val="0"/>
        <w:widowControl w:val="0"/>
        <w:kinsoku/>
        <w:wordWrap/>
        <w:overflowPunct w:val="0"/>
        <w:topLinePunct w:val="0"/>
        <w:autoSpaceDE/>
        <w:autoSpaceDN/>
        <w:bidi w:val="0"/>
        <w:adjustRightInd w:val="0"/>
        <w:snapToGrid w:val="0"/>
        <w:spacing w:line="480" w:lineRule="exact"/>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2、预付款根据采购文件的约定，在合同签订前提交不超过合同金额10%的履约担保。</w:t>
      </w:r>
    </w:p>
    <w:p w14:paraId="3A2CD9E9">
      <w:pPr>
        <w:keepNext w:val="0"/>
        <w:keepLines w:val="0"/>
        <w:pageBreakBefore w:val="0"/>
        <w:widowControl w:val="0"/>
        <w:kinsoku/>
        <w:wordWrap/>
        <w:overflowPunct w:val="0"/>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5.解决合同纠纷方式</w:t>
      </w:r>
    </w:p>
    <w:p w14:paraId="0362ACD0">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首先通过双方协商解决，协商解决不成，则通过以下途径之一解决纠纷：</w:t>
      </w:r>
    </w:p>
    <w:p w14:paraId="3EE3145B">
      <w:pPr>
        <w:keepNext w:val="0"/>
        <w:keepLines w:val="0"/>
        <w:pageBreakBefore w:val="0"/>
        <w:widowControl w:val="0"/>
        <w:kinsoku/>
        <w:wordWrap/>
        <w:overflowPunct w:val="0"/>
        <w:topLinePunct w:val="0"/>
        <w:autoSpaceDE/>
        <w:autoSpaceDN/>
        <w:bidi w:val="0"/>
        <w:adjustRightInd w:val="0"/>
        <w:snapToGrid w:val="0"/>
        <w:spacing w:line="480" w:lineRule="exact"/>
        <w:ind w:firstLine="960" w:firstLineChars="4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提请仲裁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向人民法院提起诉讼</w:t>
      </w:r>
    </w:p>
    <w:p w14:paraId="38F43A5D">
      <w:pPr>
        <w:keepNext w:val="0"/>
        <w:keepLines w:val="0"/>
        <w:pageBreakBefore w:val="0"/>
        <w:widowControl w:val="0"/>
        <w:kinsoku/>
        <w:wordWrap/>
        <w:overflowPunct w:val="0"/>
        <w:topLinePunct w:val="0"/>
        <w:autoSpaceDE/>
        <w:autoSpaceDN/>
        <w:bidi w:val="0"/>
        <w:adjustRightInd w:val="0"/>
        <w:snapToGrid w:val="0"/>
        <w:spacing w:line="48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6.组成合同的文件</w:t>
      </w:r>
    </w:p>
    <w:p w14:paraId="6A949EC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25B83BC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（1）在采购或合同履行过程中乙方作出的承诺以及双方协商达成的变更或补充协议</w:t>
      </w:r>
    </w:p>
    <w:p w14:paraId="21476C4A">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（2）成交通知书</w:t>
      </w:r>
    </w:p>
    <w:p w14:paraId="15A71548">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（3）响应文件</w:t>
      </w:r>
    </w:p>
    <w:p w14:paraId="064A998F">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（4）政府采购合同格式条款及其附件</w:t>
      </w:r>
    </w:p>
    <w:p w14:paraId="5E352D72">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（5）专用合同条款</w:t>
      </w:r>
    </w:p>
    <w:p w14:paraId="28A30BC9">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（6）通用合同条款（如果有）</w:t>
      </w:r>
    </w:p>
    <w:p w14:paraId="332F186D">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（7）标准、规范及有关技术文件，图纸，已标价工程量清单或预算书（如果有）</w:t>
      </w:r>
    </w:p>
    <w:p w14:paraId="7D25D4F2">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522518BC">
      <w:pPr>
        <w:keepNext w:val="0"/>
        <w:keepLines w:val="0"/>
        <w:pageBreakBefore w:val="0"/>
        <w:widowControl w:val="0"/>
        <w:kinsoku/>
        <w:wordWrap/>
        <w:overflowPunct w:val="0"/>
        <w:topLinePunct w:val="0"/>
        <w:autoSpaceDE/>
        <w:autoSpaceDN/>
        <w:bidi w:val="0"/>
        <w:adjustRightInd w:val="0"/>
        <w:snapToGrid w:val="0"/>
        <w:spacing w:line="480" w:lineRule="exact"/>
        <w:ind w:firstLine="354" w:firstLineChars="147"/>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7.合同生效</w:t>
      </w:r>
    </w:p>
    <w:p w14:paraId="19B287ED">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4F32427A">
      <w:pPr>
        <w:keepNext w:val="0"/>
        <w:keepLines w:val="0"/>
        <w:pageBreakBefore w:val="0"/>
        <w:widowControl w:val="0"/>
        <w:kinsoku/>
        <w:wordWrap/>
        <w:overflowPunct w:val="0"/>
        <w:topLinePunct w:val="0"/>
        <w:autoSpaceDE/>
        <w:autoSpaceDN/>
        <w:bidi w:val="0"/>
        <w:adjustRightInd w:val="0"/>
        <w:snapToGrid w:val="0"/>
        <w:spacing w:line="480" w:lineRule="exact"/>
        <w:ind w:firstLine="354" w:firstLineChars="147"/>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8.合同份数</w:t>
      </w:r>
    </w:p>
    <w:p w14:paraId="588B105D">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份，采购人执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份，供应商执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7776BEEB">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p>
    <w:p w14:paraId="66A42501">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1EABF651">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p>
    <w:p w14:paraId="372D618A">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      方：（公章）                    乙      方：（公章）</w:t>
      </w:r>
    </w:p>
    <w:p w14:paraId="702B4834">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p>
    <w:p w14:paraId="4EA17033">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1E9442A3">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40205B11">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p>
    <w:p w14:paraId="1B01D3F5">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 户 银 行：</w:t>
      </w:r>
      <w:r>
        <w:rPr>
          <w:rFonts w:hint="eastAsia" w:ascii="宋体" w:hAnsi="宋体" w:eastAsia="宋体" w:cs="宋体"/>
          <w:color w:val="auto"/>
          <w:sz w:val="24"/>
          <w:szCs w:val="24"/>
          <w:u w:val="single"/>
        </w:rPr>
        <w:t xml:space="preserve">                  </w:t>
      </w:r>
    </w:p>
    <w:p w14:paraId="48BD2320">
      <w:pPr>
        <w:keepNext w:val="0"/>
        <w:keepLines w:val="0"/>
        <w:pageBreakBefore w:val="0"/>
        <w:widowControl w:val="0"/>
        <w:kinsoku/>
        <w:wordWrap/>
        <w:overflowPunct w:val="0"/>
        <w:topLinePunct w:val="0"/>
        <w:autoSpaceDE/>
        <w:autoSpaceDN/>
        <w:bidi w:val="0"/>
        <w:adjustRightInd w:val="0"/>
        <w:snapToGrid w:val="0"/>
        <w:spacing w:line="480" w:lineRule="exact"/>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帐       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134462E">
      <w:pPr>
        <w:keepNext w:val="0"/>
        <w:keepLines w:val="0"/>
        <w:pageBreakBefore w:val="0"/>
        <w:widowControl w:val="0"/>
        <w:kinsoku/>
        <w:wordWrap/>
        <w:overflowPunct w:val="0"/>
        <w:topLinePunct w:val="0"/>
        <w:autoSpaceDE/>
        <w:autoSpaceDN/>
        <w:bidi w:val="0"/>
        <w:adjustRightInd/>
        <w:snapToGrid/>
        <w:jc w:val="center"/>
        <w:textAlignment w:val="auto"/>
        <w:outlineLvl w:val="1"/>
        <w:rPr>
          <w:rFonts w:hint="eastAsia" w:ascii="黑体" w:hAnsi="Times New Roman" w:eastAsia="黑体" w:cs="Times New Roman"/>
          <w:color w:val="auto"/>
          <w:sz w:val="30"/>
          <w:szCs w:val="30"/>
        </w:rPr>
      </w:pPr>
      <w:bookmarkStart w:id="38" w:name="_Toc6211_WPSOffice_Level2"/>
      <w:bookmarkStart w:id="39" w:name="_Toc2784_WPSOffice_Level2"/>
      <w:bookmarkStart w:id="40" w:name="_Toc19581_WPSOffice_Level2"/>
      <w:bookmarkStart w:id="41" w:name="_Toc3911_WPSOffice_Level2"/>
      <w:bookmarkStart w:id="42" w:name="_Toc7153_WPSOffice_Level2"/>
      <w:r>
        <w:rPr>
          <w:rFonts w:hint="eastAsia" w:ascii="黑体" w:hAnsi="Times New Roman" w:eastAsia="黑体" w:cs="Times New Roman"/>
          <w:color w:val="auto"/>
          <w:sz w:val="30"/>
          <w:szCs w:val="30"/>
        </w:rPr>
        <w:br w:type="page"/>
      </w:r>
      <w:bookmarkStart w:id="43" w:name="_Toc9298"/>
      <w:r>
        <w:rPr>
          <w:rFonts w:hint="eastAsia" w:ascii="黑体" w:hAnsi="Times New Roman" w:eastAsia="黑体" w:cs="Times New Roman"/>
          <w:color w:val="auto"/>
          <w:sz w:val="30"/>
          <w:szCs w:val="30"/>
        </w:rPr>
        <w:t>二、政府采购合同通用条款</w:t>
      </w:r>
      <w:bookmarkEnd w:id="38"/>
      <w:bookmarkEnd w:id="39"/>
      <w:bookmarkEnd w:id="40"/>
      <w:bookmarkEnd w:id="41"/>
      <w:bookmarkEnd w:id="42"/>
      <w:bookmarkEnd w:id="43"/>
    </w:p>
    <w:p w14:paraId="2883069C">
      <w:pPr>
        <w:pageBreakBefore w:val="0"/>
        <w:widowControl w:val="0"/>
        <w:kinsoku/>
        <w:wordWrap/>
        <w:overflowPunct w:val="0"/>
        <w:bidi w:val="0"/>
        <w:spacing w:line="360" w:lineRule="exact"/>
        <w:jc w:val="both"/>
        <w:textAlignment w:val="auto"/>
        <w:rPr>
          <w:rFonts w:hint="eastAsia" w:ascii="宋体" w:hAnsi="Times New Roman" w:eastAsia="宋体" w:cs="Times New Roman"/>
          <w:b/>
          <w:color w:val="auto"/>
          <w:sz w:val="28"/>
        </w:rPr>
      </w:pPr>
    </w:p>
    <w:p w14:paraId="7691093D">
      <w:pPr>
        <w:pageBreakBefore w:val="0"/>
        <w:widowControl w:val="0"/>
        <w:kinsoku/>
        <w:wordWrap/>
        <w:overflowPunct w:val="0"/>
        <w:bidi w:val="0"/>
        <w:adjustRightInd w:val="0"/>
        <w:snapToGrid w:val="0"/>
        <w:jc w:val="both"/>
        <w:textAlignment w:val="auto"/>
        <w:rPr>
          <w:rFonts w:hint="eastAsia" w:ascii="宋体" w:hAnsi="宋体" w:eastAsia="宋体" w:cs="Times New Roman"/>
          <w:color w:val="auto"/>
          <w:szCs w:val="21"/>
        </w:rPr>
      </w:pPr>
    </w:p>
    <w:p w14:paraId="596C93BF">
      <w:pPr>
        <w:pageBreakBefore w:val="0"/>
        <w:widowControl w:val="0"/>
        <w:kinsoku/>
        <w:wordWrap/>
        <w:overflowPunct w:val="0"/>
        <w:bidi w:val="0"/>
        <w:adjustRightInd w:val="0"/>
        <w:snapToGrid w:val="0"/>
        <w:ind w:firstLine="420" w:firstLineChars="200"/>
        <w:jc w:val="both"/>
        <w:textAlignment w:val="auto"/>
        <w:rPr>
          <w:rFonts w:hint="eastAsia" w:ascii="宋体" w:hAnsi="宋体" w:eastAsia="宋体" w:cs="Times New Roman"/>
          <w:color w:val="auto"/>
          <w:szCs w:val="21"/>
        </w:rPr>
      </w:pPr>
      <w:r>
        <w:rPr>
          <w:rFonts w:hint="eastAsia" w:ascii="宋体" w:hAnsi="宋体" w:eastAsia="宋体" w:cs="宋体"/>
          <w:color w:val="auto"/>
          <w:szCs w:val="21"/>
        </w:rPr>
        <w:t>按</w:t>
      </w:r>
      <w:r>
        <w:rPr>
          <w:rFonts w:hint="eastAsia" w:ascii="宋体" w:hAnsi="宋体" w:eastAsia="宋体" w:cs="Times New Roman"/>
          <w:color w:val="auto"/>
          <w:szCs w:val="21"/>
        </w:rPr>
        <w:t>《</w:t>
      </w:r>
      <w:r>
        <w:rPr>
          <w:rFonts w:ascii="宋体" w:hAnsi="宋体" w:eastAsia="宋体" w:cs="宋体"/>
          <w:color w:val="auto"/>
          <w:szCs w:val="21"/>
        </w:rPr>
        <w:t>关于印发建设工程施工合同（示范文本）（HNJS-2014）的通知</w:t>
      </w:r>
      <w:r>
        <w:rPr>
          <w:rFonts w:hint="eastAsia" w:ascii="宋体" w:hAnsi="宋体" w:eastAsia="宋体" w:cs="宋体"/>
          <w:color w:val="auto"/>
          <w:szCs w:val="21"/>
        </w:rPr>
        <w:t>》(</w:t>
      </w:r>
      <w:r>
        <w:rPr>
          <w:rFonts w:ascii="宋体" w:hAnsi="宋体" w:eastAsia="宋体" w:cs="宋体"/>
          <w:color w:val="auto"/>
          <w:szCs w:val="21"/>
        </w:rPr>
        <w:t>湘建价〔2014〕114号</w:t>
      </w:r>
      <w:r>
        <w:rPr>
          <w:rFonts w:hint="eastAsia" w:ascii="宋体" w:hAnsi="宋体" w:eastAsia="宋体" w:cs="宋体"/>
          <w:color w:val="auto"/>
          <w:szCs w:val="21"/>
        </w:rPr>
        <w:t>)《</w:t>
      </w:r>
      <w:r>
        <w:rPr>
          <w:rFonts w:hint="eastAsia" w:ascii="宋体" w:hAnsi="宋体" w:eastAsia="宋体" w:cs="Times New Roman"/>
          <w:color w:val="auto"/>
          <w:szCs w:val="21"/>
        </w:rPr>
        <w:t>建设工程施工合同</w:t>
      </w:r>
      <w:r>
        <w:rPr>
          <w:rFonts w:hint="eastAsia" w:ascii="宋体" w:hAnsi="宋体" w:eastAsia="宋体" w:cs="宋体"/>
          <w:color w:val="auto"/>
          <w:szCs w:val="21"/>
        </w:rPr>
        <w:t>》</w:t>
      </w:r>
      <w:r>
        <w:rPr>
          <w:rFonts w:hint="eastAsia" w:ascii="宋体" w:hAnsi="宋体" w:eastAsia="宋体" w:cs="Times New Roman"/>
          <w:color w:val="auto"/>
          <w:szCs w:val="21"/>
        </w:rPr>
        <w:t>第二部分执行。详见湖南</w:t>
      </w:r>
      <w:r>
        <w:rPr>
          <w:rFonts w:ascii="宋体" w:hAnsi="宋体" w:eastAsia="宋体" w:cs="宋体"/>
          <w:color w:val="auto"/>
          <w:szCs w:val="21"/>
        </w:rPr>
        <w:t>住房和建设</w:t>
      </w:r>
      <w:r>
        <w:rPr>
          <w:rFonts w:hint="eastAsia" w:ascii="宋体" w:hAnsi="宋体" w:eastAsia="宋体" w:cs="Times New Roman"/>
          <w:color w:val="auto"/>
          <w:szCs w:val="21"/>
        </w:rPr>
        <w:t>网(www：hunanjs.gov.cn)。</w:t>
      </w:r>
    </w:p>
    <w:p w14:paraId="557BDEDD">
      <w:pPr>
        <w:pageBreakBefore w:val="0"/>
        <w:widowControl w:val="0"/>
        <w:kinsoku/>
        <w:wordWrap/>
        <w:overflowPunct w:val="0"/>
        <w:bidi w:val="0"/>
        <w:adjustRightInd w:val="0"/>
        <w:snapToGrid w:val="0"/>
        <w:ind w:firstLine="420" w:firstLineChars="200"/>
        <w:jc w:val="both"/>
        <w:textAlignment w:val="auto"/>
        <w:rPr>
          <w:rFonts w:hint="eastAsia" w:ascii="宋体" w:hAnsi="宋体" w:eastAsia="宋体" w:cs="Times New Roman"/>
          <w:color w:val="auto"/>
          <w:szCs w:val="21"/>
        </w:rPr>
      </w:pPr>
    </w:p>
    <w:p w14:paraId="15A7E009">
      <w:pPr>
        <w:pageBreakBefore w:val="0"/>
        <w:widowControl w:val="0"/>
        <w:tabs>
          <w:tab w:val="left" w:pos="8820"/>
          <w:tab w:val="left" w:pos="9345"/>
          <w:tab w:val="left" w:pos="9765"/>
        </w:tabs>
        <w:kinsoku/>
        <w:wordWrap/>
        <w:overflowPunct w:val="0"/>
        <w:bidi w:val="0"/>
        <w:adjustRightInd w:val="0"/>
        <w:snapToGrid w:val="0"/>
        <w:spacing w:before="120" w:beforeLines="50"/>
        <w:ind w:right="384" w:rightChars="183"/>
        <w:jc w:val="both"/>
        <w:textAlignment w:val="auto"/>
        <w:rPr>
          <w:rFonts w:hint="eastAsia" w:ascii="宋体" w:hAnsi="宋体" w:eastAsia="宋体" w:cs="Times New Roman"/>
          <w:b/>
          <w:color w:val="auto"/>
          <w:szCs w:val="21"/>
        </w:rPr>
      </w:pPr>
    </w:p>
    <w:p w14:paraId="4A63B6CF">
      <w:pPr>
        <w:pageBreakBefore w:val="0"/>
        <w:widowControl w:val="0"/>
        <w:tabs>
          <w:tab w:val="left" w:pos="8820"/>
          <w:tab w:val="left" w:pos="9345"/>
          <w:tab w:val="left" w:pos="9765"/>
        </w:tabs>
        <w:kinsoku/>
        <w:wordWrap/>
        <w:overflowPunct w:val="0"/>
        <w:bidi w:val="0"/>
        <w:adjustRightInd w:val="0"/>
        <w:snapToGrid w:val="0"/>
        <w:spacing w:before="120" w:beforeLines="50"/>
        <w:ind w:right="384" w:rightChars="183"/>
        <w:jc w:val="both"/>
        <w:textAlignment w:val="auto"/>
        <w:rPr>
          <w:rFonts w:hint="eastAsia" w:ascii="黑体" w:hAnsi="华文中宋" w:eastAsia="黑体" w:cs="Times New Roman"/>
          <w:b/>
          <w:bCs/>
          <w:color w:val="auto"/>
          <w:sz w:val="32"/>
          <w:szCs w:val="32"/>
        </w:rPr>
      </w:pPr>
      <w:bookmarkStart w:id="44" w:name="_Toc23647_WPSOffice_Level2"/>
      <w:bookmarkStart w:id="45" w:name="_Toc30283_WPSOffice_Level2"/>
      <w:bookmarkStart w:id="46" w:name="_Toc1492_WPSOffice_Level2"/>
      <w:bookmarkStart w:id="47" w:name="_Toc26394_WPSOffice_Level2"/>
      <w:bookmarkStart w:id="48" w:name="_Toc14459_WPSOffice_Level2"/>
    </w:p>
    <w:p w14:paraId="2804336C">
      <w:pPr>
        <w:pageBreakBefore w:val="0"/>
        <w:widowControl w:val="0"/>
        <w:tabs>
          <w:tab w:val="left" w:pos="8820"/>
          <w:tab w:val="left" w:pos="9345"/>
          <w:tab w:val="left" w:pos="9765"/>
        </w:tabs>
        <w:kinsoku/>
        <w:wordWrap/>
        <w:overflowPunct w:val="0"/>
        <w:bidi w:val="0"/>
        <w:adjustRightInd w:val="0"/>
        <w:snapToGrid w:val="0"/>
        <w:spacing w:before="120" w:beforeLines="50"/>
        <w:ind w:right="384" w:rightChars="183"/>
        <w:jc w:val="both"/>
        <w:textAlignment w:val="auto"/>
        <w:rPr>
          <w:rFonts w:hint="eastAsia" w:ascii="黑体" w:hAnsi="华文中宋" w:eastAsia="黑体" w:cs="Times New Roman"/>
          <w:b/>
          <w:bCs/>
          <w:color w:val="auto"/>
          <w:sz w:val="32"/>
          <w:szCs w:val="32"/>
        </w:rPr>
      </w:pPr>
    </w:p>
    <w:p w14:paraId="78044136">
      <w:pPr>
        <w:pageBreakBefore w:val="0"/>
        <w:widowControl w:val="0"/>
        <w:tabs>
          <w:tab w:val="left" w:pos="8820"/>
          <w:tab w:val="left" w:pos="9345"/>
          <w:tab w:val="left" w:pos="9765"/>
        </w:tabs>
        <w:kinsoku/>
        <w:wordWrap/>
        <w:overflowPunct w:val="0"/>
        <w:bidi w:val="0"/>
        <w:adjustRightInd w:val="0"/>
        <w:snapToGrid w:val="0"/>
        <w:spacing w:before="120" w:beforeLines="50"/>
        <w:ind w:right="384" w:rightChars="183"/>
        <w:jc w:val="both"/>
        <w:textAlignment w:val="auto"/>
        <w:rPr>
          <w:rFonts w:hint="eastAsia" w:ascii="黑体" w:hAnsi="华文中宋" w:eastAsia="黑体" w:cs="Times New Roman"/>
          <w:b/>
          <w:bCs/>
          <w:color w:val="auto"/>
          <w:sz w:val="32"/>
          <w:szCs w:val="32"/>
        </w:rPr>
      </w:pPr>
    </w:p>
    <w:p w14:paraId="7EEEC084">
      <w:pPr>
        <w:pageBreakBefore w:val="0"/>
        <w:widowControl w:val="0"/>
        <w:tabs>
          <w:tab w:val="left" w:pos="8820"/>
          <w:tab w:val="left" w:pos="9345"/>
          <w:tab w:val="left" w:pos="9765"/>
        </w:tabs>
        <w:kinsoku/>
        <w:wordWrap/>
        <w:overflowPunct w:val="0"/>
        <w:bidi w:val="0"/>
        <w:adjustRightInd w:val="0"/>
        <w:snapToGrid w:val="0"/>
        <w:spacing w:before="120" w:beforeLines="50"/>
        <w:ind w:right="384" w:rightChars="183"/>
        <w:jc w:val="both"/>
        <w:textAlignment w:val="auto"/>
        <w:rPr>
          <w:rFonts w:hint="eastAsia" w:ascii="黑体" w:hAnsi="华文中宋" w:eastAsia="黑体" w:cs="Times New Roman"/>
          <w:b/>
          <w:bCs/>
          <w:color w:val="auto"/>
          <w:sz w:val="32"/>
          <w:szCs w:val="32"/>
        </w:rPr>
      </w:pPr>
    </w:p>
    <w:p w14:paraId="2762B2D9">
      <w:pPr>
        <w:keepNext w:val="0"/>
        <w:keepLines w:val="0"/>
        <w:pageBreakBefore w:val="0"/>
        <w:widowControl w:val="0"/>
        <w:kinsoku/>
        <w:wordWrap/>
        <w:overflowPunct w:val="0"/>
        <w:topLinePunct w:val="0"/>
        <w:autoSpaceDE/>
        <w:autoSpaceDN/>
        <w:bidi w:val="0"/>
        <w:adjustRightInd/>
        <w:snapToGrid/>
        <w:jc w:val="center"/>
        <w:textAlignment w:val="auto"/>
        <w:outlineLvl w:val="1"/>
        <w:rPr>
          <w:rFonts w:hint="eastAsia" w:ascii="黑体" w:hAnsi="Times New Roman" w:eastAsia="黑体" w:cs="Times New Roman"/>
          <w:color w:val="auto"/>
          <w:sz w:val="30"/>
          <w:szCs w:val="30"/>
        </w:rPr>
      </w:pPr>
      <w:r>
        <w:rPr>
          <w:rFonts w:hint="eastAsia" w:ascii="黑体" w:hAnsi="Times New Roman" w:eastAsia="黑体" w:cs="Times New Roman"/>
          <w:color w:val="auto"/>
          <w:sz w:val="30"/>
          <w:szCs w:val="30"/>
        </w:rPr>
        <w:br w:type="page"/>
      </w:r>
      <w:bookmarkStart w:id="49" w:name="_Toc19648"/>
      <w:r>
        <w:rPr>
          <w:rFonts w:hint="eastAsia" w:ascii="黑体" w:hAnsi="Times New Roman" w:eastAsia="黑体" w:cs="Times New Roman"/>
          <w:color w:val="auto"/>
          <w:sz w:val="30"/>
          <w:szCs w:val="30"/>
        </w:rPr>
        <w:t>三、政府采购合同专用条款</w:t>
      </w:r>
      <w:bookmarkEnd w:id="44"/>
      <w:bookmarkEnd w:id="45"/>
      <w:bookmarkEnd w:id="46"/>
      <w:bookmarkEnd w:id="47"/>
      <w:bookmarkEnd w:id="48"/>
      <w:bookmarkEnd w:id="49"/>
    </w:p>
    <w:p w14:paraId="2CB3E13D">
      <w:pPr>
        <w:pageBreakBefore w:val="0"/>
        <w:widowControl w:val="0"/>
        <w:kinsoku/>
        <w:wordWrap/>
        <w:overflowPunct w:val="0"/>
        <w:bidi w:val="0"/>
        <w:adjustRightInd w:val="0"/>
        <w:snapToGrid w:val="0"/>
        <w:ind w:firstLine="480" w:firstLineChars="200"/>
        <w:jc w:val="both"/>
        <w:textAlignment w:val="auto"/>
        <w:rPr>
          <w:rFonts w:hint="eastAsia" w:ascii="宋体" w:hAnsi="宋体" w:eastAsia="宋体" w:cs="宋体"/>
          <w:color w:val="auto"/>
          <w:sz w:val="24"/>
          <w:szCs w:val="24"/>
        </w:rPr>
      </w:pPr>
    </w:p>
    <w:p w14:paraId="0772841C">
      <w:pPr>
        <w:keepNext w:val="0"/>
        <w:keepLines w:val="0"/>
        <w:pageBreakBefore w:val="0"/>
        <w:kinsoku/>
        <w:wordWrap/>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按采购建设工程的特殊要求，对第二部分通用合同条款的原则性约定进行细化、完善、补充、修改或另行约定。</w:t>
      </w:r>
    </w:p>
    <w:p w14:paraId="6EBB39D2">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0" w:name="_Toc351203633"/>
      <w:r>
        <w:rPr>
          <w:rFonts w:hint="eastAsia" w:ascii="宋体" w:hAnsi="宋体" w:eastAsia="宋体" w:cs="宋体"/>
          <w:b/>
          <w:bCs/>
          <w:color w:val="auto"/>
          <w:kern w:val="2"/>
          <w:sz w:val="24"/>
          <w:szCs w:val="24"/>
          <w:highlight w:val="none"/>
        </w:rPr>
        <w:t>1</w:t>
      </w:r>
      <w:bookmarkStart w:id="51" w:name="_Toc296891196"/>
      <w:bookmarkStart w:id="52" w:name="_Toc296347155"/>
      <w:bookmarkStart w:id="53" w:name="_Toc292559866"/>
      <w:bookmarkStart w:id="54" w:name="_Toc296944495"/>
      <w:bookmarkStart w:id="55" w:name="_Toc296890984"/>
      <w:bookmarkStart w:id="56" w:name="_Toc297048342"/>
      <w:bookmarkStart w:id="57" w:name="_Toc296503156"/>
      <w:bookmarkStart w:id="58" w:name="_Toc292559361"/>
      <w:bookmarkStart w:id="59" w:name="_Toc297120456"/>
      <w:bookmarkStart w:id="60" w:name="_Toc296346657"/>
      <w:r>
        <w:rPr>
          <w:rFonts w:hint="eastAsia" w:ascii="宋体" w:hAnsi="宋体" w:eastAsia="宋体" w:cs="宋体"/>
          <w:b/>
          <w:bCs/>
          <w:color w:val="auto"/>
          <w:kern w:val="2"/>
          <w:sz w:val="24"/>
          <w:szCs w:val="24"/>
          <w:highlight w:val="none"/>
        </w:rPr>
        <w:t>. 一般约定</w:t>
      </w:r>
      <w:bookmarkEnd w:id="50"/>
    </w:p>
    <w:bookmarkEnd w:id="51"/>
    <w:bookmarkEnd w:id="52"/>
    <w:bookmarkEnd w:id="53"/>
    <w:bookmarkEnd w:id="54"/>
    <w:bookmarkEnd w:id="55"/>
    <w:bookmarkEnd w:id="56"/>
    <w:bookmarkEnd w:id="57"/>
    <w:bookmarkEnd w:id="58"/>
    <w:bookmarkEnd w:id="59"/>
    <w:bookmarkEnd w:id="60"/>
    <w:p w14:paraId="6E74C52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1" w:name="_Toc256000020"/>
      <w:r>
        <w:rPr>
          <w:rFonts w:hint="eastAsia" w:ascii="宋体" w:hAnsi="宋体" w:eastAsia="宋体" w:cs="宋体"/>
          <w:color w:val="auto"/>
          <w:kern w:val="2"/>
          <w:sz w:val="24"/>
          <w:szCs w:val="24"/>
          <w:highlight w:val="none"/>
        </w:rPr>
        <w:t>1.1 词语定义</w:t>
      </w:r>
      <w:bookmarkEnd w:id="61"/>
    </w:p>
    <w:p w14:paraId="5CAC076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47AB653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kern w:val="0"/>
          <w:sz w:val="24"/>
          <w:szCs w:val="24"/>
          <w:highlight w:val="none"/>
          <w:u w:val="single"/>
        </w:rPr>
        <w:t>按通用合同条款</w:t>
      </w:r>
      <w:r>
        <w:rPr>
          <w:rFonts w:hint="eastAsia" w:ascii="宋体" w:hAnsi="宋体" w:eastAsia="宋体" w:cs="宋体"/>
          <w:color w:val="auto"/>
          <w:kern w:val="0"/>
          <w:sz w:val="24"/>
          <w:szCs w:val="24"/>
          <w:highlight w:val="none"/>
        </w:rPr>
        <w:t>。</w:t>
      </w:r>
    </w:p>
    <w:p w14:paraId="6036D32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 合同当事人及其他相关方</w:t>
      </w:r>
    </w:p>
    <w:p w14:paraId="0B8D46C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1.1.2.4监理人：</w:t>
      </w:r>
    </w:p>
    <w:p w14:paraId="00788A15">
      <w:pPr>
        <w:keepNext w:val="0"/>
        <w:keepLines w:val="0"/>
        <w:pageBreakBefore w:val="0"/>
        <w:widowControl/>
        <w:shd w:val="clear" w:color="auto" w:fill="FFFFFF"/>
        <w:kinsoku/>
        <w:wordWrap/>
        <w:overflowPunct/>
        <w:topLinePunct w:val="0"/>
        <w:bidi w:val="0"/>
        <w:spacing w:line="480" w:lineRule="exact"/>
        <w:ind w:left="0" w:leftChars="0" w:firstLine="480" w:firstLineChars="200"/>
        <w:jc w:val="both"/>
        <w:textAlignment w:val="auto"/>
        <w:outlineLvl w:val="9"/>
        <w:rPr>
          <w:rFonts w:hint="eastAsia" w:ascii="宋体" w:hAnsi="宋体" w:eastAsia="宋体" w:cs="宋体"/>
          <w:color w:val="auto"/>
          <w:kern w:val="2"/>
          <w:sz w:val="24"/>
          <w:szCs w:val="24"/>
          <w:highlight w:val="none"/>
        </w:rPr>
      </w:pPr>
      <w:bookmarkStart w:id="62" w:name="_Toc256000021"/>
      <w:r>
        <w:rPr>
          <w:rFonts w:hint="eastAsia" w:ascii="宋体" w:hAnsi="宋体" w:eastAsia="宋体" w:cs="宋体"/>
          <w:b w:val="0"/>
          <w:bCs w:val="0"/>
          <w:color w:val="auto"/>
          <w:kern w:val="2"/>
          <w:sz w:val="24"/>
          <w:szCs w:val="24"/>
          <w:highlight w:val="none"/>
        </w:rPr>
        <w:t>名    称：</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u w:val="single"/>
        </w:rPr>
        <w:t></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 xml:space="preserve"> </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bookmarkEnd w:id="62"/>
    </w:p>
    <w:p w14:paraId="3DDA575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资质类别和等级：</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25C309F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711BF2E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电子信箱：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4BE33D3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通信地址：</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5E6E453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1.1.2.5 设计人：</w:t>
      </w:r>
    </w:p>
    <w:p w14:paraId="1300E872">
      <w:pPr>
        <w:keepNext w:val="0"/>
        <w:keepLines w:val="0"/>
        <w:pageBreakBefore w:val="0"/>
        <w:widowControl/>
        <w:shd w:val="clear" w:color="auto" w:fill="FDFBF9"/>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3" w:name="_Toc256000022"/>
      <w:r>
        <w:rPr>
          <w:rFonts w:hint="eastAsia" w:ascii="宋体" w:hAnsi="宋体" w:eastAsia="宋体" w:cs="宋体"/>
          <w:b w:val="0"/>
          <w:bCs w:val="0"/>
          <w:color w:val="auto"/>
          <w:kern w:val="2"/>
          <w:sz w:val="24"/>
          <w:szCs w:val="24"/>
          <w:highlight w:val="none"/>
        </w:rPr>
        <w:t>名    称：</w:t>
      </w:r>
      <w:r>
        <w:rPr>
          <w:rFonts w:hint="eastAsia" w:ascii="宋体" w:hAnsi="宋体" w:eastAsia="宋体" w:cs="宋体"/>
          <w:b w:val="0"/>
          <w:bCs w:val="0"/>
          <w:color w:val="auto"/>
          <w:kern w:val="0"/>
          <w:sz w:val="24"/>
          <w:szCs w:val="24"/>
          <w:highlight w:val="none"/>
          <w:u w:val="single"/>
        </w:rPr>
        <w:t></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bookmarkEnd w:id="63"/>
    </w:p>
    <w:p w14:paraId="1B9C79B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资质类别和等级：</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09AD72B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             </w:t>
      </w:r>
      <w:r>
        <w:rPr>
          <w:rFonts w:hint="eastAsia" w:ascii="宋体" w:hAnsi="宋体" w:eastAsia="宋体" w:cs="宋体"/>
          <w:color w:val="auto"/>
          <w:kern w:val="2"/>
          <w:sz w:val="24"/>
          <w:szCs w:val="24"/>
          <w:highlight w:val="none"/>
        </w:rPr>
        <w:t>；</w:t>
      </w:r>
    </w:p>
    <w:p w14:paraId="49EA32E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电子信箱：</w:t>
      </w:r>
      <w:r>
        <w:rPr>
          <w:rFonts w:hint="eastAsia" w:ascii="宋体" w:hAnsi="宋体" w:eastAsia="宋体" w:cs="宋体"/>
          <w:color w:val="auto"/>
          <w:kern w:val="2"/>
          <w:sz w:val="24"/>
          <w:szCs w:val="24"/>
          <w:highlight w:val="none"/>
          <w:u w:val="single"/>
        </w:rPr>
        <w:t xml:space="preserve">                    </w:t>
      </w:r>
      <w:r>
        <w:rPr>
          <w:rFonts w:hint="eastAsia" w:ascii="宋体" w:hAnsi="宋体" w:eastAsia="宋体" w:cs="宋体"/>
          <w:color w:val="auto"/>
          <w:kern w:val="2"/>
          <w:sz w:val="24"/>
          <w:szCs w:val="24"/>
          <w:highlight w:val="none"/>
        </w:rPr>
        <w:t>；</w:t>
      </w:r>
    </w:p>
    <w:p w14:paraId="0701F6C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通信地址：</w:t>
      </w:r>
      <w:r>
        <w:rPr>
          <w:rFonts w:hint="eastAsia" w:ascii="宋体" w:hAnsi="宋体" w:eastAsia="宋体" w:cs="宋体"/>
          <w:color w:val="auto"/>
          <w:kern w:val="2"/>
          <w:sz w:val="24"/>
          <w:szCs w:val="24"/>
          <w:highlight w:val="none"/>
          <w:u w:val="single"/>
        </w:rPr>
        <w:t>                </w:t>
      </w:r>
      <w:r>
        <w:rPr>
          <w:rFonts w:hint="eastAsia" w:ascii="宋体" w:hAnsi="宋体" w:eastAsia="宋体" w:cs="宋体"/>
          <w:color w:val="auto"/>
          <w:kern w:val="2"/>
          <w:sz w:val="24"/>
          <w:szCs w:val="24"/>
          <w:highlight w:val="none"/>
        </w:rPr>
        <w:t>。</w:t>
      </w:r>
    </w:p>
    <w:p w14:paraId="12002F7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1.1.3 工程和设备</w:t>
      </w:r>
    </w:p>
    <w:p w14:paraId="7F8558B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1.1.3.7 作为施工现场组成部分的其他场所包括：</w:t>
      </w:r>
      <w:r>
        <w:rPr>
          <w:rFonts w:hint="eastAsia" w:ascii="宋体" w:hAnsi="宋体" w:eastAsia="宋体" w:cs="宋体"/>
          <w:color w:val="auto"/>
          <w:kern w:val="0"/>
          <w:sz w:val="24"/>
          <w:szCs w:val="24"/>
          <w:highlight w:val="none"/>
          <w:u w:val="single"/>
        </w:rPr>
        <w:t>永久占地和临时占地</w:t>
      </w:r>
      <w:r>
        <w:rPr>
          <w:rFonts w:hint="eastAsia" w:ascii="宋体" w:hAnsi="宋体" w:eastAsia="宋体" w:cs="宋体"/>
          <w:color w:val="auto"/>
          <w:kern w:val="0"/>
          <w:sz w:val="24"/>
          <w:szCs w:val="24"/>
          <w:highlight w:val="none"/>
        </w:rPr>
        <w:t>。</w:t>
      </w:r>
    </w:p>
    <w:p w14:paraId="0460E66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kern w:val="0"/>
          <w:sz w:val="24"/>
          <w:szCs w:val="24"/>
          <w:highlight w:val="none"/>
          <w:u w:val="single"/>
        </w:rPr>
        <w:t>详见征地红线和设计图纸。</w:t>
      </w:r>
    </w:p>
    <w:p w14:paraId="054A86F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kern w:val="0"/>
          <w:sz w:val="24"/>
          <w:szCs w:val="24"/>
          <w:highlight w:val="none"/>
          <w:lang w:eastAsia="zh-CN"/>
        </w:rPr>
        <w:t>根据施工实际需要报监理，发包人批准后的实际面积。</w:t>
      </w:r>
    </w:p>
    <w:p w14:paraId="2C0E70F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1.3法律 </w:t>
      </w:r>
    </w:p>
    <w:p w14:paraId="42925767">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适用于合同的其他规范性文件：</w:t>
      </w:r>
      <w:r>
        <w:rPr>
          <w:rFonts w:hint="eastAsia" w:ascii="宋体" w:hAnsi="宋体" w:eastAsia="宋体" w:cs="宋体"/>
          <w:b/>
          <w:bCs/>
          <w:color w:val="auto"/>
          <w:kern w:val="0"/>
          <w:sz w:val="24"/>
          <w:szCs w:val="24"/>
          <w:highlight w:val="none"/>
          <w:u w:val="single"/>
        </w:rPr>
        <w:t>《建设工程工程量清单计价规范》GB50500-2013:《湖南省住房和城乡建设厅关于印发2020&lt;湖南省建设工程计价办法&gt;及&lt;湖南省建设工程消耗量标准&gt;的通知》（湘建价</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lang w:val="en-US" w:eastAsia="zh-CN"/>
        </w:rPr>
        <w:t>2020</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56号)：《湖南省住房和城乡建设厅关于调整建设工程销项税额税率和材料价格综合税率计费标准的通知》（湘建价</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lang w:val="en-US" w:eastAsia="zh-CN"/>
        </w:rPr>
        <w:t>2019</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47号)：《湖南省住房和城乡建设厅关于印发&lt;湖南省建设工程材料预算价格编制与管理方法&gt;的通知》(湘建价</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lang w:val="en-US" w:eastAsia="zh-CN"/>
        </w:rPr>
        <w:t>2018</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129号)；《湖南省建设工程造价管理总站关于机械费调整及有关问题的通知》(湘建价市</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lang w:val="en-US" w:eastAsia="zh-CN"/>
        </w:rPr>
        <w:t>2020</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46号)</w:t>
      </w:r>
      <w:r>
        <w:rPr>
          <w:rFonts w:hint="eastAsia" w:ascii="宋体" w:hAnsi="宋体" w:eastAsia="宋体" w:cs="宋体"/>
          <w:b/>
          <w:bCs/>
          <w:color w:val="auto"/>
          <w:kern w:val="0"/>
          <w:sz w:val="24"/>
          <w:szCs w:val="24"/>
          <w:highlight w:val="none"/>
          <w:u w:val="single"/>
          <w:lang w:eastAsia="zh-CN"/>
        </w:rPr>
        <w:t>等</w:t>
      </w:r>
      <w:r>
        <w:rPr>
          <w:rFonts w:hint="eastAsia" w:ascii="宋体" w:hAnsi="宋体" w:eastAsia="宋体" w:cs="宋体"/>
          <w:b/>
          <w:bCs/>
          <w:color w:val="auto"/>
          <w:kern w:val="0"/>
          <w:sz w:val="24"/>
          <w:szCs w:val="24"/>
          <w:highlight w:val="none"/>
          <w:u w:val="none"/>
        </w:rPr>
        <w:t>。</w:t>
      </w:r>
    </w:p>
    <w:p w14:paraId="59C514C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 标准和规范</w:t>
      </w:r>
    </w:p>
    <w:p w14:paraId="64DF505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1.4.1适用于工程的标准规范包括：</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0"/>
          <w:sz w:val="24"/>
          <w:szCs w:val="24"/>
          <w:highlight w:val="none"/>
          <w:u w:val="single"/>
          <w:lang w:eastAsia="zh-CN"/>
        </w:rPr>
        <w:t>国家建筑工程现行施工验收规范</w:t>
      </w:r>
      <w:r>
        <w:rPr>
          <w:rFonts w:hint="eastAsia" w:ascii="宋体" w:hAnsi="宋体" w:eastAsia="宋体" w:cs="宋体"/>
          <w:color w:val="auto"/>
          <w:kern w:val="2"/>
          <w:sz w:val="24"/>
          <w:szCs w:val="24"/>
          <w:highlight w:val="none"/>
        </w:rPr>
        <w:t xml:space="preserve"> 。</w:t>
      </w:r>
    </w:p>
    <w:p w14:paraId="3768ED9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29783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2DBFF8C">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9FE6F15">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1.4.3发包人对工程的技术标准和功能要求的特殊要求：</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7668B501">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4" w:name="_Toc256000023"/>
      <w:r>
        <w:rPr>
          <w:rFonts w:hint="eastAsia" w:ascii="宋体" w:hAnsi="宋体" w:eastAsia="宋体" w:cs="宋体"/>
          <w:color w:val="auto"/>
          <w:kern w:val="2"/>
          <w:sz w:val="24"/>
          <w:szCs w:val="24"/>
          <w:highlight w:val="none"/>
        </w:rPr>
        <w:t>1.5 合同文件的优先顺序</w:t>
      </w:r>
      <w:bookmarkEnd w:id="64"/>
    </w:p>
    <w:p w14:paraId="0EBEAB03">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合同文件组成及优先顺序为：</w:t>
      </w:r>
    </w:p>
    <w:p w14:paraId="5905744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5" w:name="_Toc256000024"/>
      <w:r>
        <w:rPr>
          <w:rFonts w:hint="eastAsia" w:ascii="宋体" w:hAnsi="宋体" w:eastAsia="宋体" w:cs="宋体"/>
          <w:color w:val="auto"/>
          <w:kern w:val="2"/>
          <w:sz w:val="24"/>
          <w:szCs w:val="24"/>
          <w:highlight w:val="none"/>
        </w:rPr>
        <w:t>（1）在采购或合同履行过程中乙方作出的承诺以及双方协商达成的变更或补充协议</w:t>
      </w:r>
    </w:p>
    <w:p w14:paraId="2D6E1B1B">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（2）成交通知书</w:t>
      </w:r>
    </w:p>
    <w:p w14:paraId="6E3EAD3D">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（3）响应文件</w:t>
      </w:r>
    </w:p>
    <w:p w14:paraId="4E9C92E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（4）采购合同格式条款及其附件</w:t>
      </w:r>
    </w:p>
    <w:p w14:paraId="1607E4E0">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（5）专用合同条款</w:t>
      </w:r>
    </w:p>
    <w:p w14:paraId="3E7919EF">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（6）通用合同条款（如果有）</w:t>
      </w:r>
    </w:p>
    <w:p w14:paraId="6AA7470F">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（7）标准、规范及有关技术文件，图纸，已标价工程量清单或预算书（如果有）</w:t>
      </w:r>
    </w:p>
    <w:p w14:paraId="1F50D168">
      <w:pPr>
        <w:keepNext w:val="0"/>
        <w:keepLines w:val="0"/>
        <w:pageBreakBefore w:val="0"/>
        <w:kinsoku/>
        <w:wordWrap/>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（8）其他合同文件。</w:t>
      </w:r>
    </w:p>
    <w:p w14:paraId="3263D6A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 图纸和承包人文件</w:t>
      </w:r>
      <w:bookmarkEnd w:id="65"/>
      <w:r>
        <w:rPr>
          <w:rFonts w:hint="eastAsia" w:ascii="宋体" w:hAnsi="宋体" w:eastAsia="宋体" w:cs="宋体"/>
          <w:color w:val="auto"/>
          <w:kern w:val="2"/>
          <w:sz w:val="24"/>
          <w:szCs w:val="24"/>
          <w:highlight w:val="none"/>
        </w:rPr>
        <w:tab/>
      </w:r>
    </w:p>
    <w:p w14:paraId="4CADA90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1.6.1 图纸的提供</w:t>
      </w:r>
    </w:p>
    <w:p w14:paraId="011E201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发包人向承包人提供图纸的期限：</w:t>
      </w:r>
      <w:r>
        <w:rPr>
          <w:rFonts w:hint="eastAsia" w:ascii="宋体" w:hAnsi="宋体" w:eastAsia="宋体" w:cs="宋体"/>
          <w:color w:val="auto"/>
          <w:kern w:val="0"/>
          <w:sz w:val="24"/>
          <w:szCs w:val="24"/>
          <w:highlight w:val="none"/>
          <w:u w:val="single"/>
        </w:rPr>
        <w:t>开工前14天内；</w:t>
      </w:r>
    </w:p>
    <w:p w14:paraId="230FBD2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发包人向承包人提供图纸的数量：</w:t>
      </w:r>
      <w:r>
        <w:rPr>
          <w:rFonts w:hint="eastAsia" w:ascii="宋体" w:hAnsi="宋体" w:eastAsia="宋体" w:cs="宋体"/>
          <w:color w:val="auto"/>
          <w:kern w:val="0"/>
          <w:sz w:val="24"/>
          <w:szCs w:val="24"/>
          <w:highlight w:val="none"/>
          <w:u w:val="single"/>
        </w:rPr>
        <w:t>免费提供</w:t>
      </w:r>
      <w:r>
        <w:rPr>
          <w:rFonts w:hint="eastAsia" w:ascii="宋体" w:hAnsi="宋体" w:eastAsia="宋体" w:cs="宋体"/>
          <w:color w:val="auto"/>
          <w:kern w:val="0"/>
          <w:sz w:val="24"/>
          <w:szCs w:val="24"/>
          <w:highlight w:val="none"/>
          <w:u w:val="single"/>
          <w:lang w:eastAsia="zh-CN"/>
        </w:rPr>
        <w:t>两</w:t>
      </w:r>
      <w:r>
        <w:rPr>
          <w:rFonts w:hint="eastAsia" w:ascii="宋体" w:hAnsi="宋体" w:eastAsia="宋体" w:cs="宋体"/>
          <w:color w:val="auto"/>
          <w:kern w:val="0"/>
          <w:sz w:val="24"/>
          <w:szCs w:val="24"/>
          <w:highlight w:val="none"/>
          <w:u w:val="single"/>
        </w:rPr>
        <w:t>套施工图纸</w:t>
      </w:r>
      <w:r>
        <w:rPr>
          <w:rFonts w:hint="eastAsia" w:ascii="宋体" w:hAnsi="宋体" w:eastAsia="宋体" w:cs="宋体"/>
          <w:color w:val="auto"/>
          <w:kern w:val="0"/>
          <w:sz w:val="24"/>
          <w:szCs w:val="24"/>
          <w:highlight w:val="none"/>
          <w:u w:val="none"/>
          <w:lang w:eastAsia="zh-CN"/>
        </w:rPr>
        <w:t>；</w:t>
      </w:r>
    </w:p>
    <w:p w14:paraId="1CA95C2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2"/>
          <w:sz w:val="24"/>
          <w:szCs w:val="24"/>
          <w:highlight w:val="none"/>
        </w:rPr>
        <w:t>发包人向承包人提供图纸的内容：</w:t>
      </w:r>
      <w:r>
        <w:rPr>
          <w:rFonts w:hint="eastAsia" w:ascii="宋体" w:hAnsi="宋体" w:eastAsia="宋体" w:cs="宋体"/>
          <w:color w:val="auto"/>
          <w:kern w:val="0"/>
          <w:sz w:val="24"/>
          <w:szCs w:val="24"/>
          <w:highlight w:val="none"/>
          <w:u w:val="single"/>
          <w:lang w:eastAsia="zh-CN"/>
        </w:rPr>
        <w:t>完整的施工图纸</w:t>
      </w:r>
      <w:r>
        <w:rPr>
          <w:rFonts w:hint="eastAsia" w:ascii="宋体" w:hAnsi="宋体" w:eastAsia="宋体" w:cs="宋体"/>
          <w:color w:val="auto"/>
          <w:kern w:val="0"/>
          <w:sz w:val="24"/>
          <w:szCs w:val="24"/>
          <w:highlight w:val="none"/>
          <w:u w:val="none"/>
        </w:rPr>
        <w:t>。</w:t>
      </w:r>
    </w:p>
    <w:p w14:paraId="70D4961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1.6.4 承包人文件</w:t>
      </w:r>
    </w:p>
    <w:p w14:paraId="11269C7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需要由承包人提供的文件，包括：</w:t>
      </w:r>
      <w:r>
        <w:rPr>
          <w:rFonts w:hint="eastAsia" w:ascii="宋体" w:hAnsi="宋体" w:eastAsia="宋体" w:cs="宋体"/>
          <w:color w:val="auto"/>
          <w:kern w:val="0"/>
          <w:sz w:val="24"/>
          <w:szCs w:val="24"/>
          <w:highlight w:val="none"/>
          <w:u w:val="single"/>
        </w:rPr>
        <w:t>按</w:t>
      </w:r>
      <w:r>
        <w:rPr>
          <w:rFonts w:hint="eastAsia" w:ascii="宋体" w:hAnsi="宋体" w:eastAsia="宋体" w:cs="宋体"/>
          <w:color w:val="auto"/>
          <w:kern w:val="0"/>
          <w:sz w:val="24"/>
          <w:szCs w:val="24"/>
          <w:highlight w:val="none"/>
          <w:u w:val="single"/>
          <w:lang w:eastAsia="zh-CN"/>
        </w:rPr>
        <w:t>建筑工程相关</w:t>
      </w:r>
      <w:r>
        <w:rPr>
          <w:rFonts w:hint="eastAsia" w:ascii="宋体" w:hAnsi="宋体" w:eastAsia="宋体" w:cs="宋体"/>
          <w:color w:val="auto"/>
          <w:kern w:val="0"/>
          <w:sz w:val="24"/>
          <w:szCs w:val="24"/>
          <w:highlight w:val="none"/>
          <w:u w:val="single"/>
        </w:rPr>
        <w:t>规范要求</w:t>
      </w:r>
      <w:r>
        <w:rPr>
          <w:rFonts w:hint="eastAsia" w:ascii="宋体" w:hAnsi="宋体" w:eastAsia="宋体" w:cs="宋体"/>
          <w:color w:val="auto"/>
          <w:kern w:val="0"/>
          <w:sz w:val="24"/>
          <w:szCs w:val="24"/>
          <w:highlight w:val="none"/>
          <w:u w:val="single"/>
          <w:lang w:eastAsia="zh-CN"/>
        </w:rPr>
        <w:t>及相关法律法规</w:t>
      </w:r>
      <w:r>
        <w:rPr>
          <w:rFonts w:hint="eastAsia" w:ascii="宋体" w:hAnsi="宋体" w:eastAsia="宋体" w:cs="宋体"/>
          <w:color w:val="auto"/>
          <w:kern w:val="0"/>
          <w:sz w:val="24"/>
          <w:szCs w:val="24"/>
          <w:highlight w:val="none"/>
          <w:u w:val="single"/>
        </w:rPr>
        <w:t>和监理工程师要求</w:t>
      </w:r>
      <w:r>
        <w:rPr>
          <w:rFonts w:hint="eastAsia" w:ascii="宋体" w:hAnsi="宋体" w:eastAsia="宋体" w:cs="宋体"/>
          <w:color w:val="auto"/>
          <w:kern w:val="0"/>
          <w:sz w:val="24"/>
          <w:szCs w:val="24"/>
          <w:highlight w:val="none"/>
        </w:rPr>
        <w:t>；</w:t>
      </w:r>
    </w:p>
    <w:p w14:paraId="45BE36C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承包人提供的文件的期限为：</w:t>
      </w:r>
      <w:r>
        <w:rPr>
          <w:rFonts w:hint="eastAsia" w:ascii="宋体" w:hAnsi="宋体" w:eastAsia="宋体" w:cs="宋体"/>
          <w:color w:val="auto"/>
          <w:kern w:val="0"/>
          <w:sz w:val="24"/>
          <w:szCs w:val="24"/>
          <w:highlight w:val="none"/>
          <w:u w:val="single"/>
        </w:rPr>
        <w:t>每月25日提供进度报表，其它按工程师要求</w:t>
      </w:r>
      <w:r>
        <w:rPr>
          <w:rFonts w:hint="eastAsia" w:ascii="宋体" w:hAnsi="宋体" w:eastAsia="宋体" w:cs="宋体"/>
          <w:color w:val="auto"/>
          <w:kern w:val="0"/>
          <w:sz w:val="24"/>
          <w:szCs w:val="24"/>
          <w:highlight w:val="none"/>
          <w:u w:val="single"/>
          <w:lang w:eastAsia="zh-CN"/>
        </w:rPr>
        <w:t>，同时根据施工进度情况申报材料及工序验收资料</w:t>
      </w:r>
      <w:r>
        <w:rPr>
          <w:rFonts w:hint="eastAsia" w:ascii="宋体" w:hAnsi="宋体" w:eastAsia="宋体" w:cs="宋体"/>
          <w:color w:val="auto"/>
          <w:kern w:val="2"/>
          <w:sz w:val="24"/>
          <w:szCs w:val="24"/>
          <w:highlight w:val="none"/>
        </w:rPr>
        <w:t>；</w:t>
      </w:r>
    </w:p>
    <w:p w14:paraId="6009F01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承包人提供的文件的数量为：</w:t>
      </w:r>
      <w:r>
        <w:rPr>
          <w:rFonts w:hint="eastAsia" w:ascii="宋体" w:hAnsi="宋体" w:eastAsia="宋体" w:cs="宋体"/>
          <w:color w:val="auto"/>
          <w:kern w:val="0"/>
          <w:sz w:val="24"/>
          <w:szCs w:val="24"/>
          <w:highlight w:val="none"/>
          <w:u w:val="single"/>
          <w:lang w:eastAsia="zh-CN"/>
        </w:rPr>
        <w:t>三份</w:t>
      </w:r>
      <w:r>
        <w:rPr>
          <w:rFonts w:hint="eastAsia" w:ascii="宋体" w:hAnsi="宋体" w:eastAsia="宋体" w:cs="宋体"/>
          <w:color w:val="auto"/>
          <w:kern w:val="2"/>
          <w:sz w:val="24"/>
          <w:szCs w:val="24"/>
          <w:highlight w:val="none"/>
        </w:rPr>
        <w:t>；</w:t>
      </w:r>
    </w:p>
    <w:p w14:paraId="5B2DCB1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承包人提供的文件的形式为：</w:t>
      </w:r>
      <w:r>
        <w:rPr>
          <w:rFonts w:hint="eastAsia" w:ascii="宋体" w:hAnsi="宋体" w:eastAsia="宋体" w:cs="宋体"/>
          <w:color w:val="auto"/>
          <w:kern w:val="0"/>
          <w:sz w:val="24"/>
          <w:szCs w:val="24"/>
          <w:highlight w:val="none"/>
          <w:u w:val="single"/>
          <w:lang w:eastAsia="zh-CN"/>
        </w:rPr>
        <w:t>纸质及电子形式</w:t>
      </w:r>
      <w:r>
        <w:rPr>
          <w:rFonts w:hint="eastAsia" w:ascii="宋体" w:hAnsi="宋体" w:eastAsia="宋体" w:cs="宋体"/>
          <w:color w:val="auto"/>
          <w:kern w:val="2"/>
          <w:sz w:val="24"/>
          <w:szCs w:val="24"/>
          <w:highlight w:val="none"/>
        </w:rPr>
        <w:t>；</w:t>
      </w:r>
    </w:p>
    <w:p w14:paraId="739F3EA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发包人审批承包人文件的期限：</w:t>
      </w:r>
      <w:r>
        <w:rPr>
          <w:rFonts w:hint="eastAsia" w:ascii="宋体" w:hAnsi="宋体" w:eastAsia="宋体" w:cs="宋体"/>
          <w:color w:val="auto"/>
          <w:kern w:val="0"/>
          <w:sz w:val="24"/>
          <w:szCs w:val="24"/>
          <w:highlight w:val="none"/>
          <w:u w:val="single"/>
        </w:rPr>
        <w:t>收到后7日内</w:t>
      </w:r>
      <w:r>
        <w:rPr>
          <w:rFonts w:hint="eastAsia" w:ascii="宋体" w:hAnsi="宋体" w:eastAsia="宋体" w:cs="宋体"/>
          <w:color w:val="auto"/>
          <w:kern w:val="2"/>
          <w:sz w:val="24"/>
          <w:szCs w:val="24"/>
          <w:highlight w:val="none"/>
        </w:rPr>
        <w:t>。</w:t>
      </w:r>
    </w:p>
    <w:p w14:paraId="4E06FB2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1.6.5 现场图纸准备</w:t>
      </w:r>
    </w:p>
    <w:p w14:paraId="70D9C03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关于现场图纸准备的约定：</w:t>
      </w:r>
      <w:r>
        <w:rPr>
          <w:rFonts w:hint="eastAsia" w:ascii="宋体" w:hAnsi="宋体" w:eastAsia="宋体" w:cs="宋体"/>
          <w:color w:val="auto"/>
          <w:kern w:val="0"/>
          <w:sz w:val="24"/>
          <w:szCs w:val="24"/>
          <w:highlight w:val="none"/>
          <w:u w:val="single"/>
        </w:rPr>
        <w:t>承包人</w:t>
      </w:r>
      <w:r>
        <w:rPr>
          <w:rFonts w:hint="eastAsia" w:ascii="宋体" w:hAnsi="宋体" w:eastAsia="宋体" w:cs="宋体"/>
          <w:color w:val="auto"/>
          <w:kern w:val="0"/>
          <w:sz w:val="24"/>
          <w:szCs w:val="24"/>
          <w:highlight w:val="none"/>
          <w:u w:val="single"/>
          <w:lang w:eastAsia="zh-CN"/>
        </w:rPr>
        <w:t>自行准备</w:t>
      </w:r>
      <w:r>
        <w:rPr>
          <w:rFonts w:hint="eastAsia" w:ascii="宋体" w:hAnsi="宋体" w:eastAsia="宋体" w:cs="宋体"/>
          <w:color w:val="auto"/>
          <w:kern w:val="2"/>
          <w:sz w:val="24"/>
          <w:szCs w:val="24"/>
          <w:highlight w:val="none"/>
        </w:rPr>
        <w:t>。</w:t>
      </w:r>
    </w:p>
    <w:p w14:paraId="022A3D0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6" w:name="_Toc256000025"/>
      <w:r>
        <w:rPr>
          <w:rFonts w:hint="eastAsia" w:ascii="宋体" w:hAnsi="宋体" w:eastAsia="宋体" w:cs="宋体"/>
          <w:color w:val="auto"/>
          <w:kern w:val="2"/>
          <w:sz w:val="24"/>
          <w:szCs w:val="24"/>
          <w:highlight w:val="none"/>
        </w:rPr>
        <w:t>1.7 联络</w:t>
      </w:r>
      <w:bookmarkEnd w:id="66"/>
    </w:p>
    <w:p w14:paraId="53838DD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kern w:val="2"/>
          <w:sz w:val="24"/>
          <w:szCs w:val="24"/>
          <w:highlight w:val="none"/>
          <w:u w:val="single"/>
        </w:rPr>
        <w:t xml:space="preserve">7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0161CAD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kern w:val="2"/>
          <w:sz w:val="24"/>
          <w:szCs w:val="24"/>
          <w:highlight w:val="none"/>
          <w:u w:val="single"/>
        </w:rPr>
        <w:t>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w:t>
      </w:r>
    </w:p>
    <w:p w14:paraId="008AC9E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kern w:val="2"/>
          <w:sz w:val="24"/>
          <w:szCs w:val="24"/>
          <w:highlight w:val="none"/>
          <w:u w:val="single"/>
        </w:rPr>
        <w:t xml:space="preserve">     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w:t>
      </w:r>
    </w:p>
    <w:p w14:paraId="46525D3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w:t>
      </w:r>
    </w:p>
    <w:p w14:paraId="1A9598F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kern w:val="2"/>
          <w:sz w:val="24"/>
          <w:szCs w:val="24"/>
          <w:highlight w:val="none"/>
          <w:u w:val="single"/>
        </w:rPr>
        <w:t>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0"/>
          <w:sz w:val="24"/>
          <w:szCs w:val="24"/>
          <w:highlight w:val="none"/>
        </w:rPr>
        <w:t>。</w:t>
      </w:r>
    </w:p>
    <w:p w14:paraId="63330FF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w:t>
      </w:r>
    </w:p>
    <w:p w14:paraId="5528FC2A">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w:t>
      </w:r>
    </w:p>
    <w:p w14:paraId="74AB1BA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7" w:name="_Toc256000026"/>
      <w:r>
        <w:rPr>
          <w:rFonts w:hint="eastAsia" w:ascii="宋体" w:hAnsi="宋体" w:eastAsia="宋体" w:cs="宋体"/>
          <w:color w:val="auto"/>
          <w:kern w:val="2"/>
          <w:sz w:val="24"/>
          <w:szCs w:val="24"/>
          <w:highlight w:val="none"/>
        </w:rPr>
        <w:t>1.10 交通运输</w:t>
      </w:r>
      <w:bookmarkEnd w:id="67"/>
    </w:p>
    <w:p w14:paraId="043CDD5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68" w:name="_Toc256000027"/>
      <w:r>
        <w:rPr>
          <w:rFonts w:hint="eastAsia" w:ascii="宋体" w:hAnsi="宋体" w:eastAsia="宋体" w:cs="宋体"/>
          <w:color w:val="auto"/>
          <w:kern w:val="2"/>
          <w:sz w:val="24"/>
          <w:szCs w:val="24"/>
          <w:highlight w:val="none"/>
        </w:rPr>
        <w:t>1</w:t>
      </w:r>
      <w:bookmarkStart w:id="69" w:name="_Toc312677986"/>
      <w:bookmarkStart w:id="70" w:name="_Toc300934943"/>
      <w:bookmarkStart w:id="71" w:name="_Toc318581155"/>
      <w:bookmarkStart w:id="72" w:name="_Toc304295521"/>
      <w:bookmarkStart w:id="73" w:name="_Toc303539100"/>
      <w:r>
        <w:rPr>
          <w:rFonts w:hint="eastAsia" w:ascii="宋体" w:hAnsi="宋体" w:eastAsia="宋体" w:cs="宋体"/>
          <w:color w:val="auto"/>
          <w:kern w:val="2"/>
          <w:sz w:val="24"/>
          <w:szCs w:val="24"/>
          <w:highlight w:val="none"/>
        </w:rPr>
        <w:t>.10.1 出入现场的权利</w:t>
      </w:r>
      <w:bookmarkEnd w:id="68"/>
    </w:p>
    <w:p w14:paraId="5B6764B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lang w:eastAsia="zh-CN"/>
        </w:rPr>
      </w:pPr>
      <w:bookmarkStart w:id="74" w:name="_Toc256000028"/>
      <w:r>
        <w:rPr>
          <w:rFonts w:hint="eastAsia" w:ascii="宋体" w:hAnsi="宋体" w:eastAsia="宋体" w:cs="宋体"/>
          <w:color w:val="auto"/>
          <w:kern w:val="2"/>
          <w:sz w:val="24"/>
          <w:szCs w:val="24"/>
          <w:highlight w:val="none"/>
        </w:rPr>
        <w:t>关于出入现场的权利的约定：</w:t>
      </w:r>
      <w:r>
        <w:rPr>
          <w:rFonts w:hint="eastAsia" w:ascii="宋体" w:hAnsi="宋体" w:eastAsia="宋体" w:cs="宋体"/>
          <w:color w:val="auto"/>
          <w:kern w:val="0"/>
          <w:sz w:val="24"/>
          <w:szCs w:val="24"/>
          <w:highlight w:val="none"/>
          <w:u w:val="single"/>
        </w:rPr>
        <w:t xml:space="preserve"> 办理出入施工场地专用和临时道路的通行权 </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修建权和承担有关费用的约定：</w:t>
      </w:r>
      <w:r>
        <w:rPr>
          <w:rFonts w:hint="eastAsia" w:ascii="宋体" w:hAnsi="宋体" w:eastAsia="宋体" w:cs="宋体"/>
          <w:color w:val="auto"/>
          <w:kern w:val="2"/>
          <w:sz w:val="24"/>
          <w:szCs w:val="24"/>
          <w:highlight w:val="none"/>
          <w:u w:val="single"/>
          <w:lang w:eastAsia="zh-CN"/>
        </w:rPr>
        <w:t>纳入承包人统一管理并由承包人承担相应费用</w:t>
      </w:r>
      <w:r>
        <w:rPr>
          <w:rFonts w:hint="eastAsia" w:ascii="宋体" w:hAnsi="宋体" w:eastAsia="宋体" w:cs="宋体"/>
          <w:color w:val="auto"/>
          <w:kern w:val="2"/>
          <w:sz w:val="24"/>
          <w:szCs w:val="24"/>
          <w:highlight w:val="none"/>
          <w:lang w:eastAsia="zh-CN"/>
        </w:rPr>
        <w:t>。</w:t>
      </w:r>
      <w:bookmarkEnd w:id="74"/>
    </w:p>
    <w:bookmarkEnd w:id="69"/>
    <w:bookmarkEnd w:id="70"/>
    <w:bookmarkEnd w:id="71"/>
    <w:bookmarkEnd w:id="72"/>
    <w:bookmarkEnd w:id="73"/>
    <w:p w14:paraId="71D6E0B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75" w:name="_Toc256000029"/>
      <w:r>
        <w:rPr>
          <w:rFonts w:hint="eastAsia" w:ascii="宋体" w:hAnsi="宋体" w:eastAsia="宋体" w:cs="宋体"/>
          <w:color w:val="auto"/>
          <w:kern w:val="2"/>
          <w:sz w:val="24"/>
          <w:szCs w:val="24"/>
          <w:highlight w:val="none"/>
        </w:rPr>
        <w:t>1.10.</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 xml:space="preserve"> 场内交通</w:t>
      </w:r>
      <w:bookmarkEnd w:id="75"/>
      <w:r>
        <w:rPr>
          <w:rFonts w:hint="eastAsia" w:ascii="宋体" w:hAnsi="宋体" w:eastAsia="宋体" w:cs="宋体"/>
          <w:color w:val="auto"/>
          <w:kern w:val="2"/>
          <w:sz w:val="24"/>
          <w:szCs w:val="24"/>
          <w:highlight w:val="none"/>
        </w:rPr>
        <w:t xml:space="preserve"> </w:t>
      </w:r>
    </w:p>
    <w:p w14:paraId="145595F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关于场外交通和场内交通的边界的约定：</w:t>
      </w:r>
      <w:r>
        <w:rPr>
          <w:rFonts w:hint="eastAsia" w:ascii="宋体" w:hAnsi="宋体" w:eastAsia="宋体" w:cs="宋体"/>
          <w:color w:val="auto"/>
          <w:kern w:val="2"/>
          <w:sz w:val="24"/>
          <w:szCs w:val="24"/>
          <w:highlight w:val="none"/>
          <w:u w:val="single"/>
        </w:rPr>
        <w:t xml:space="preserve">  以规划红线为准   </w:t>
      </w:r>
    </w:p>
    <w:p w14:paraId="104BEEA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关于工程施工需要的场内道路和交通设施的约定：</w:t>
      </w:r>
      <w:r>
        <w:rPr>
          <w:rFonts w:hint="eastAsia" w:ascii="宋体" w:hAnsi="宋体" w:eastAsia="宋体" w:cs="宋体"/>
          <w:color w:val="auto"/>
          <w:kern w:val="2"/>
          <w:sz w:val="24"/>
          <w:szCs w:val="24"/>
          <w:highlight w:val="none"/>
          <w:u w:val="single"/>
          <w:lang w:eastAsia="zh-CN"/>
        </w:rPr>
        <w:t>由承包人负责，发包人和监理人无偿使用承包人修建的临时道路和交通设施</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0E73914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bookmarkStart w:id="76" w:name="_Toc318581157"/>
      <w:r>
        <w:rPr>
          <w:rFonts w:hint="eastAsia" w:ascii="宋体" w:hAnsi="宋体" w:eastAsia="宋体" w:cs="宋体"/>
          <w:color w:val="auto"/>
          <w:kern w:val="2"/>
          <w:sz w:val="24"/>
          <w:szCs w:val="24"/>
          <w:highlight w:val="none"/>
        </w:rPr>
        <w:t>1.10.</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超大件和超重件的运输</w:t>
      </w:r>
    </w:p>
    <w:p w14:paraId="1EA0741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运输超大件或超重件所需的道路和桥梁临时加固改造费用和其他有关费用由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承包人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承担。</w:t>
      </w:r>
    </w:p>
    <w:bookmarkEnd w:id="76"/>
    <w:p w14:paraId="0E06DD9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77" w:name="_Toc256000030"/>
      <w:r>
        <w:rPr>
          <w:rFonts w:hint="eastAsia" w:ascii="宋体" w:hAnsi="宋体" w:eastAsia="宋体" w:cs="宋体"/>
          <w:color w:val="auto"/>
          <w:kern w:val="2"/>
          <w:sz w:val="24"/>
          <w:szCs w:val="24"/>
          <w:highlight w:val="none"/>
        </w:rPr>
        <w:t>1.11 知识产权</w:t>
      </w:r>
      <w:bookmarkEnd w:id="77"/>
    </w:p>
    <w:p w14:paraId="344C9A5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4"/>
          <w:szCs w:val="24"/>
          <w:highlight w:val="none"/>
          <w:u w:val="single"/>
        </w:rPr>
        <w:t xml:space="preserve">发包人所有，未经发包人同意，承包人和监理人均不得为合同以外的目的泄露给他人或公开发表与引用 </w:t>
      </w:r>
      <w:r>
        <w:rPr>
          <w:rFonts w:hint="eastAsia" w:ascii="宋体" w:hAnsi="宋体" w:eastAsia="宋体" w:cs="宋体"/>
          <w:color w:val="auto"/>
          <w:kern w:val="2"/>
          <w:sz w:val="24"/>
          <w:szCs w:val="24"/>
          <w:highlight w:val="none"/>
        </w:rPr>
        <w:t>。</w:t>
      </w:r>
    </w:p>
    <w:p w14:paraId="703F367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关于发包人提供的上述文件的使用限制的要求：</w:t>
      </w:r>
      <w:r>
        <w:rPr>
          <w:rFonts w:hint="eastAsia" w:ascii="宋体" w:hAnsi="宋体" w:eastAsia="宋体" w:cs="宋体"/>
          <w:color w:val="auto"/>
          <w:kern w:val="2"/>
          <w:sz w:val="24"/>
          <w:szCs w:val="24"/>
          <w:highlight w:val="none"/>
          <w:u w:val="single"/>
          <w:lang w:eastAsia="zh-CN"/>
        </w:rPr>
        <w:t>仅限于本项目</w:t>
      </w:r>
      <w:r>
        <w:rPr>
          <w:rFonts w:hint="eastAsia" w:ascii="宋体" w:hAnsi="宋体" w:eastAsia="宋体" w:cs="宋体"/>
          <w:color w:val="auto"/>
          <w:kern w:val="2"/>
          <w:sz w:val="24"/>
          <w:szCs w:val="24"/>
          <w:highlight w:val="none"/>
        </w:rPr>
        <w:t>。</w:t>
      </w:r>
    </w:p>
    <w:p w14:paraId="791A334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bookmarkStart w:id="78" w:name="_Toc256000031"/>
      <w:r>
        <w:rPr>
          <w:rFonts w:hint="eastAsia" w:ascii="宋体" w:hAnsi="宋体" w:eastAsia="宋体" w:cs="宋体"/>
          <w:color w:val="auto"/>
          <w:kern w:val="2"/>
          <w:sz w:val="24"/>
          <w:szCs w:val="24"/>
          <w:highlight w:val="none"/>
        </w:rPr>
        <w:t>1.11.2 关于承包人为实施工程所编制文件的著作权的归属：</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rPr>
        <w:t>。</w:t>
      </w:r>
      <w:bookmarkEnd w:id="78"/>
    </w:p>
    <w:p w14:paraId="3969A1AA">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关于承包人提供的上述文件的使用限制的要求：</w:t>
      </w:r>
      <w:r>
        <w:rPr>
          <w:rFonts w:hint="eastAsia" w:ascii="宋体" w:hAnsi="宋体" w:eastAsia="宋体" w:cs="宋体"/>
          <w:color w:val="auto"/>
          <w:kern w:val="2"/>
          <w:sz w:val="24"/>
          <w:szCs w:val="24"/>
          <w:highlight w:val="none"/>
          <w:u w:val="single"/>
        </w:rPr>
        <w:t xml:space="preserve">按通用合同条款 </w:t>
      </w:r>
      <w:r>
        <w:rPr>
          <w:rFonts w:hint="eastAsia" w:ascii="宋体" w:hAnsi="宋体" w:eastAsia="宋体" w:cs="宋体"/>
          <w:color w:val="auto"/>
          <w:kern w:val="2"/>
          <w:sz w:val="24"/>
          <w:szCs w:val="24"/>
          <w:highlight w:val="none"/>
        </w:rPr>
        <w:t>。</w:t>
      </w:r>
    </w:p>
    <w:p w14:paraId="351480A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1.11.4 承包人在施工过程中所采用的专利、专有技术、技术秘密的使用费的承担方式：</w:t>
      </w:r>
      <w:r>
        <w:rPr>
          <w:rFonts w:hint="eastAsia" w:ascii="宋体" w:hAnsi="宋体" w:eastAsia="宋体" w:cs="宋体"/>
          <w:color w:val="auto"/>
          <w:kern w:val="2"/>
          <w:sz w:val="24"/>
          <w:szCs w:val="24"/>
          <w:highlight w:val="none"/>
          <w:u w:val="single"/>
        </w:rPr>
        <w:t xml:space="preserve">  由承包人承担 </w:t>
      </w:r>
      <w:r>
        <w:rPr>
          <w:rFonts w:hint="eastAsia" w:ascii="宋体" w:hAnsi="宋体" w:eastAsia="宋体" w:cs="宋体"/>
          <w:color w:val="auto"/>
          <w:kern w:val="2"/>
          <w:sz w:val="24"/>
          <w:szCs w:val="24"/>
          <w:highlight w:val="none"/>
        </w:rPr>
        <w:t>。</w:t>
      </w:r>
    </w:p>
    <w:p w14:paraId="714CDF3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1.13工程量清单错误的修正</w:t>
      </w:r>
    </w:p>
    <w:p w14:paraId="7EBEEFD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出现工程量清单错误时，是否调整合同价格：</w:t>
      </w:r>
      <w:r>
        <w:rPr>
          <w:rFonts w:hint="eastAsia" w:ascii="宋体" w:hAnsi="宋体" w:eastAsia="宋体" w:cs="宋体"/>
          <w:color w:val="auto"/>
          <w:kern w:val="2"/>
          <w:sz w:val="24"/>
          <w:szCs w:val="24"/>
          <w:highlight w:val="none"/>
          <w:u w:val="single"/>
        </w:rPr>
        <w:t xml:space="preserve">  是，按10.2执行  </w:t>
      </w:r>
      <w:r>
        <w:rPr>
          <w:rFonts w:hint="eastAsia" w:ascii="宋体" w:hAnsi="宋体" w:eastAsia="宋体" w:cs="宋体"/>
          <w:color w:val="auto"/>
          <w:kern w:val="2"/>
          <w:sz w:val="24"/>
          <w:szCs w:val="24"/>
          <w:highlight w:val="none"/>
        </w:rPr>
        <w:t>。</w:t>
      </w:r>
    </w:p>
    <w:p w14:paraId="2DC5542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b/>
          <w:bCs/>
          <w:color w:val="auto"/>
          <w:kern w:val="2"/>
          <w:sz w:val="24"/>
          <w:szCs w:val="24"/>
          <w:highlight w:val="none"/>
          <w:u w:val="single"/>
        </w:rPr>
      </w:pPr>
      <w:r>
        <w:rPr>
          <w:rFonts w:hint="eastAsia" w:ascii="宋体" w:hAnsi="宋体" w:eastAsia="宋体" w:cs="宋体"/>
          <w:color w:val="auto"/>
          <w:kern w:val="2"/>
          <w:sz w:val="24"/>
          <w:szCs w:val="24"/>
          <w:highlight w:val="none"/>
        </w:rPr>
        <w:t>允许调整合同价格的工程量偏差范围：</w:t>
      </w:r>
      <w:r>
        <w:rPr>
          <w:rFonts w:hint="eastAsia" w:ascii="宋体" w:hAnsi="宋体" w:eastAsia="宋体" w:cs="宋体"/>
          <w:b/>
          <w:bCs/>
          <w:color w:val="auto"/>
          <w:kern w:val="2"/>
          <w:sz w:val="24"/>
          <w:szCs w:val="24"/>
          <w:highlight w:val="none"/>
          <w:u w:val="single"/>
        </w:rPr>
        <w:t>按湘建价[20</w:t>
      </w:r>
      <w:r>
        <w:rPr>
          <w:rFonts w:hint="eastAsia" w:ascii="宋体" w:hAnsi="宋体" w:eastAsia="宋体" w:cs="宋体"/>
          <w:b/>
          <w:bCs/>
          <w:color w:val="auto"/>
          <w:kern w:val="2"/>
          <w:sz w:val="24"/>
          <w:szCs w:val="24"/>
          <w:highlight w:val="none"/>
          <w:u w:val="single"/>
          <w:lang w:val="en-US" w:eastAsia="zh-CN"/>
        </w:rPr>
        <w:t>20</w:t>
      </w:r>
      <w:r>
        <w:rPr>
          <w:rFonts w:hint="eastAsia" w:ascii="宋体" w:hAnsi="宋体" w:eastAsia="宋体" w:cs="宋体"/>
          <w:b/>
          <w:bCs/>
          <w:color w:val="auto"/>
          <w:kern w:val="2"/>
          <w:sz w:val="24"/>
          <w:szCs w:val="24"/>
          <w:highlight w:val="none"/>
          <w:u w:val="single"/>
        </w:rPr>
        <w:t>]</w:t>
      </w:r>
      <w:r>
        <w:rPr>
          <w:rFonts w:hint="eastAsia" w:ascii="宋体" w:hAnsi="宋体" w:eastAsia="宋体" w:cs="宋体"/>
          <w:b/>
          <w:bCs/>
          <w:color w:val="auto"/>
          <w:kern w:val="2"/>
          <w:sz w:val="24"/>
          <w:szCs w:val="24"/>
          <w:highlight w:val="none"/>
          <w:u w:val="single"/>
          <w:lang w:val="en-US" w:eastAsia="zh-CN"/>
        </w:rPr>
        <w:t>56</w:t>
      </w:r>
      <w:r>
        <w:rPr>
          <w:rFonts w:hint="eastAsia" w:ascii="宋体" w:hAnsi="宋体" w:eastAsia="宋体" w:cs="宋体"/>
          <w:b/>
          <w:bCs/>
          <w:color w:val="auto"/>
          <w:kern w:val="2"/>
          <w:sz w:val="24"/>
          <w:szCs w:val="24"/>
          <w:highlight w:val="none"/>
          <w:u w:val="single"/>
        </w:rPr>
        <w:t>号文执行</w:t>
      </w:r>
      <w:r>
        <w:rPr>
          <w:rFonts w:hint="eastAsia" w:ascii="宋体" w:hAnsi="宋体" w:eastAsia="宋体" w:cs="宋体"/>
          <w:b/>
          <w:bCs/>
          <w:color w:val="auto"/>
          <w:kern w:val="2"/>
          <w:sz w:val="24"/>
          <w:szCs w:val="24"/>
          <w:highlight w:val="none"/>
        </w:rPr>
        <w:t>。</w:t>
      </w:r>
    </w:p>
    <w:p w14:paraId="20455E9A">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79" w:name="_Toc351203634"/>
      <w:r>
        <w:rPr>
          <w:rFonts w:hint="eastAsia" w:ascii="宋体" w:hAnsi="宋体" w:eastAsia="宋体" w:cs="宋体"/>
          <w:b/>
          <w:bCs/>
          <w:color w:val="auto"/>
          <w:kern w:val="2"/>
          <w:sz w:val="24"/>
          <w:szCs w:val="24"/>
          <w:highlight w:val="none"/>
        </w:rPr>
        <w:t>2</w:t>
      </w:r>
      <w:bookmarkStart w:id="80" w:name="_Toc296891197"/>
      <w:bookmarkStart w:id="81" w:name="_Toc297120457"/>
      <w:bookmarkStart w:id="82" w:name="_Toc296503157"/>
      <w:bookmarkStart w:id="83" w:name="_Toc296944496"/>
      <w:bookmarkStart w:id="84" w:name="_Toc296346658"/>
      <w:bookmarkStart w:id="85" w:name="_Toc297048343"/>
      <w:bookmarkStart w:id="86" w:name="_Toc292559867"/>
      <w:bookmarkStart w:id="87" w:name="_Toc292559362"/>
      <w:bookmarkStart w:id="88" w:name="_Toc296347156"/>
      <w:bookmarkStart w:id="89" w:name="_Toc296890985"/>
      <w:r>
        <w:rPr>
          <w:rFonts w:hint="eastAsia" w:ascii="宋体" w:hAnsi="宋体" w:eastAsia="宋体" w:cs="宋体"/>
          <w:b/>
          <w:bCs/>
          <w:color w:val="auto"/>
          <w:kern w:val="2"/>
          <w:sz w:val="24"/>
          <w:szCs w:val="24"/>
          <w:highlight w:val="none"/>
        </w:rPr>
        <w:t>. 发包人</w:t>
      </w:r>
      <w:bookmarkEnd w:id="79"/>
    </w:p>
    <w:bookmarkEnd w:id="80"/>
    <w:bookmarkEnd w:id="81"/>
    <w:bookmarkEnd w:id="82"/>
    <w:bookmarkEnd w:id="83"/>
    <w:bookmarkEnd w:id="84"/>
    <w:bookmarkEnd w:id="85"/>
    <w:bookmarkEnd w:id="86"/>
    <w:bookmarkEnd w:id="87"/>
    <w:bookmarkEnd w:id="88"/>
    <w:bookmarkEnd w:id="89"/>
    <w:p w14:paraId="0B43AD9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90" w:name="_Toc256000032"/>
      <w:r>
        <w:rPr>
          <w:rFonts w:hint="eastAsia" w:ascii="宋体" w:hAnsi="宋体" w:eastAsia="宋体" w:cs="宋体"/>
          <w:color w:val="auto"/>
          <w:kern w:val="2"/>
          <w:sz w:val="24"/>
          <w:szCs w:val="24"/>
          <w:highlight w:val="none"/>
        </w:rPr>
        <w:t>2.2 发包人代表</w:t>
      </w:r>
      <w:bookmarkEnd w:id="90"/>
    </w:p>
    <w:p w14:paraId="164C505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发包人代表：</w:t>
      </w:r>
    </w:p>
    <w:p w14:paraId="0705E86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477D80F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16928E2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    务：</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76A4972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0B2769B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电子信箱：</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04D11AA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通信地址：</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4A95029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发包人对发包人代表的授权范围如下：</w:t>
      </w:r>
      <w:r>
        <w:rPr>
          <w:rFonts w:hint="eastAsia" w:ascii="宋体" w:hAnsi="宋体" w:eastAsia="宋体" w:cs="宋体"/>
          <w:color w:val="auto"/>
          <w:kern w:val="2"/>
          <w:sz w:val="24"/>
          <w:szCs w:val="24"/>
          <w:highlight w:val="none"/>
          <w:u w:val="single"/>
        </w:rPr>
        <w:t>代表发包人行使本项目建设工程管理</w:t>
      </w:r>
      <w:r>
        <w:rPr>
          <w:rFonts w:hint="eastAsia" w:ascii="宋体" w:hAnsi="宋体" w:eastAsia="宋体" w:cs="宋体"/>
          <w:color w:val="auto"/>
          <w:kern w:val="2"/>
          <w:sz w:val="24"/>
          <w:szCs w:val="24"/>
          <w:highlight w:val="none"/>
        </w:rPr>
        <w:t>。</w:t>
      </w:r>
    </w:p>
    <w:p w14:paraId="23773FA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91" w:name="_Toc256000033"/>
      <w:r>
        <w:rPr>
          <w:rFonts w:hint="eastAsia" w:ascii="宋体" w:hAnsi="宋体" w:eastAsia="宋体" w:cs="宋体"/>
          <w:color w:val="auto"/>
          <w:kern w:val="2"/>
          <w:sz w:val="24"/>
          <w:szCs w:val="24"/>
          <w:highlight w:val="none"/>
        </w:rPr>
        <w:t>2.4 施工现场、施工条件和基础资料的提供</w:t>
      </w:r>
      <w:bookmarkEnd w:id="91"/>
    </w:p>
    <w:p w14:paraId="1655D86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2.4.1 提供施工现场</w:t>
      </w:r>
    </w:p>
    <w:p w14:paraId="7E99F59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关于发包人移交施工现场的期限要求：</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rPr>
        <w:t>。</w:t>
      </w:r>
    </w:p>
    <w:p w14:paraId="6F9D2A4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2.4.2 提供施工条件</w:t>
      </w:r>
    </w:p>
    <w:p w14:paraId="6E9D418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关于发包人应负责提供施工所需要的条件，包括：</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none"/>
          <w:lang w:eastAsia="zh-CN"/>
        </w:rPr>
        <w:t>。</w:t>
      </w:r>
    </w:p>
    <w:p w14:paraId="58B3E64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92" w:name="_Toc256000034"/>
      <w:r>
        <w:rPr>
          <w:rFonts w:hint="eastAsia" w:ascii="宋体" w:hAnsi="宋体" w:eastAsia="宋体" w:cs="宋体"/>
          <w:color w:val="auto"/>
          <w:kern w:val="2"/>
          <w:sz w:val="24"/>
          <w:szCs w:val="24"/>
          <w:highlight w:val="none"/>
        </w:rPr>
        <w:t>2.5 资金来源证明及支付担保</w:t>
      </w:r>
      <w:bookmarkEnd w:id="92"/>
    </w:p>
    <w:p w14:paraId="5AAF8EE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发包人提供资金来源证明的期限要求：</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5E7491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发包人是否提供支付担保：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否</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7F0CE93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发包人提供支付担保的形式：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DEC2219">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93" w:name="_Toc351203635"/>
      <w:r>
        <w:rPr>
          <w:rFonts w:hint="eastAsia" w:ascii="宋体" w:hAnsi="宋体" w:eastAsia="宋体" w:cs="宋体"/>
          <w:b/>
          <w:bCs/>
          <w:color w:val="auto"/>
          <w:kern w:val="2"/>
          <w:sz w:val="24"/>
          <w:szCs w:val="24"/>
          <w:highlight w:val="none"/>
        </w:rPr>
        <w:t>3</w:t>
      </w:r>
      <w:bookmarkStart w:id="94" w:name="_Toc296890986"/>
      <w:bookmarkStart w:id="95" w:name="_Toc296346659"/>
      <w:bookmarkStart w:id="96" w:name="_Toc296503158"/>
      <w:bookmarkStart w:id="97" w:name="_Toc292559868"/>
      <w:bookmarkStart w:id="98" w:name="_Toc292559363"/>
      <w:bookmarkStart w:id="99" w:name="_Toc297120458"/>
      <w:bookmarkStart w:id="100" w:name="_Toc296347157"/>
      <w:bookmarkStart w:id="101" w:name="_Toc296891198"/>
      <w:bookmarkStart w:id="102" w:name="_Toc296944497"/>
      <w:bookmarkStart w:id="103" w:name="_Toc297048344"/>
      <w:r>
        <w:rPr>
          <w:rFonts w:hint="eastAsia" w:ascii="宋体" w:hAnsi="宋体" w:eastAsia="宋体" w:cs="宋体"/>
          <w:b/>
          <w:bCs/>
          <w:color w:val="auto"/>
          <w:kern w:val="2"/>
          <w:sz w:val="24"/>
          <w:szCs w:val="24"/>
          <w:highlight w:val="none"/>
        </w:rPr>
        <w:t>. 承包人</w:t>
      </w:r>
      <w:bookmarkEnd w:id="93"/>
    </w:p>
    <w:bookmarkEnd w:id="94"/>
    <w:bookmarkEnd w:id="95"/>
    <w:bookmarkEnd w:id="96"/>
    <w:bookmarkEnd w:id="97"/>
    <w:bookmarkEnd w:id="98"/>
    <w:bookmarkEnd w:id="99"/>
    <w:bookmarkEnd w:id="100"/>
    <w:bookmarkEnd w:id="101"/>
    <w:bookmarkEnd w:id="102"/>
    <w:bookmarkEnd w:id="103"/>
    <w:p w14:paraId="50C2040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 承包人的一般义务</w:t>
      </w:r>
    </w:p>
    <w:p w14:paraId="56274F9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2"/>
          <w:sz w:val="24"/>
          <w:szCs w:val="24"/>
          <w:highlight w:val="none"/>
        </w:rPr>
        <w:t>承包人提交的竣工资料的内容：</w:t>
      </w:r>
      <w:r>
        <w:rPr>
          <w:rFonts w:hint="eastAsia" w:ascii="宋体" w:hAnsi="宋体" w:eastAsia="宋体" w:cs="宋体"/>
          <w:color w:val="auto"/>
          <w:kern w:val="2"/>
          <w:sz w:val="24"/>
          <w:szCs w:val="24"/>
          <w:highlight w:val="none"/>
          <w:u w:val="single"/>
        </w:rPr>
        <w:t xml:space="preserve">质监部门和城建档案馆需要的全套竣工资料  </w:t>
      </w:r>
      <w:r>
        <w:rPr>
          <w:rFonts w:hint="eastAsia" w:ascii="宋体" w:hAnsi="宋体" w:eastAsia="宋体" w:cs="宋体"/>
          <w:color w:val="auto"/>
          <w:kern w:val="2"/>
          <w:sz w:val="24"/>
          <w:szCs w:val="24"/>
          <w:highlight w:val="none"/>
        </w:rPr>
        <w:t>。</w:t>
      </w:r>
    </w:p>
    <w:p w14:paraId="6D07920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承包人需要提交的竣工资料套数：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4</w:t>
      </w:r>
      <w:r>
        <w:rPr>
          <w:rFonts w:hint="eastAsia" w:ascii="宋体" w:hAnsi="宋体" w:eastAsia="宋体" w:cs="宋体"/>
          <w:color w:val="auto"/>
          <w:kern w:val="2"/>
          <w:sz w:val="24"/>
          <w:szCs w:val="24"/>
          <w:highlight w:val="none"/>
          <w:u w:val="single"/>
        </w:rPr>
        <w:t>套</w:t>
      </w:r>
      <w:r>
        <w:rPr>
          <w:rFonts w:hint="eastAsia" w:ascii="宋体" w:hAnsi="宋体" w:eastAsia="宋体" w:cs="宋体"/>
          <w:color w:val="auto"/>
          <w:kern w:val="2"/>
          <w:sz w:val="24"/>
          <w:szCs w:val="24"/>
          <w:highlight w:val="none"/>
        </w:rPr>
        <w:t>。</w:t>
      </w:r>
    </w:p>
    <w:p w14:paraId="25E3A89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承包人提交的竣工资料的费用承担：</w:t>
      </w:r>
      <w:r>
        <w:rPr>
          <w:rFonts w:hint="eastAsia" w:ascii="宋体" w:hAnsi="宋体" w:eastAsia="宋体" w:cs="宋体"/>
          <w:color w:val="auto"/>
          <w:kern w:val="2"/>
          <w:sz w:val="24"/>
          <w:szCs w:val="24"/>
          <w:highlight w:val="none"/>
          <w:u w:val="single"/>
        </w:rPr>
        <w:t xml:space="preserve">  承包人承担         </w:t>
      </w:r>
      <w:r>
        <w:rPr>
          <w:rFonts w:hint="eastAsia" w:ascii="宋体" w:hAnsi="宋体" w:eastAsia="宋体" w:cs="宋体"/>
          <w:color w:val="auto"/>
          <w:kern w:val="2"/>
          <w:sz w:val="24"/>
          <w:szCs w:val="24"/>
          <w:highlight w:val="none"/>
        </w:rPr>
        <w:t>。</w:t>
      </w:r>
    </w:p>
    <w:p w14:paraId="2077E38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承包人提交的竣工资料移交时间：</w:t>
      </w:r>
      <w:r>
        <w:rPr>
          <w:rFonts w:hint="eastAsia" w:ascii="宋体" w:hAnsi="宋体" w:eastAsia="宋体" w:cs="宋体"/>
          <w:color w:val="auto"/>
          <w:kern w:val="2"/>
          <w:sz w:val="24"/>
          <w:szCs w:val="24"/>
          <w:highlight w:val="none"/>
          <w:u w:val="single"/>
        </w:rPr>
        <w:t>工程竣工后</w:t>
      </w:r>
      <w:r>
        <w:rPr>
          <w:rFonts w:hint="eastAsia" w:ascii="宋体" w:hAnsi="宋体" w:eastAsia="宋体" w:cs="宋体"/>
          <w:color w:val="auto"/>
          <w:kern w:val="2"/>
          <w:sz w:val="24"/>
          <w:szCs w:val="24"/>
          <w:highlight w:val="none"/>
          <w:u w:val="single"/>
          <w:lang w:val="en-US" w:eastAsia="zh-CN"/>
        </w:rPr>
        <w:t>30</w:t>
      </w:r>
      <w:r>
        <w:rPr>
          <w:rFonts w:hint="eastAsia" w:ascii="宋体" w:hAnsi="宋体" w:eastAsia="宋体" w:cs="宋体"/>
          <w:color w:val="auto"/>
          <w:kern w:val="2"/>
          <w:sz w:val="24"/>
          <w:szCs w:val="24"/>
          <w:highlight w:val="none"/>
          <w:u w:val="single"/>
        </w:rPr>
        <w:t>日历天内</w:t>
      </w:r>
      <w:r>
        <w:rPr>
          <w:rFonts w:hint="eastAsia" w:ascii="宋体" w:hAnsi="宋体" w:eastAsia="宋体" w:cs="宋体"/>
          <w:color w:val="auto"/>
          <w:kern w:val="2"/>
          <w:sz w:val="24"/>
          <w:szCs w:val="24"/>
          <w:highlight w:val="none"/>
        </w:rPr>
        <w:t>。</w:t>
      </w:r>
    </w:p>
    <w:p w14:paraId="755E7D5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承包人提交的竣工资料形式要求：</w:t>
      </w:r>
      <w:r>
        <w:rPr>
          <w:rFonts w:hint="eastAsia" w:ascii="宋体" w:hAnsi="宋体" w:eastAsia="宋体" w:cs="宋体"/>
          <w:color w:val="auto"/>
          <w:kern w:val="2"/>
          <w:sz w:val="24"/>
          <w:szCs w:val="24"/>
          <w:highlight w:val="none"/>
          <w:u w:val="single"/>
          <w:lang w:eastAsia="zh-CN"/>
        </w:rPr>
        <w:t>纸质文件（并附交电子版</w:t>
      </w:r>
      <w:r>
        <w:rPr>
          <w:rFonts w:hint="eastAsia" w:ascii="宋体" w:hAnsi="宋体" w:eastAsia="宋体" w:cs="宋体"/>
          <w:color w:val="auto"/>
          <w:kern w:val="2"/>
          <w:sz w:val="24"/>
          <w:szCs w:val="24"/>
          <w:highlight w:val="none"/>
          <w:u w:val="single"/>
          <w:lang w:val="en-US" w:eastAsia="zh-CN"/>
        </w:rPr>
        <w:t>1份</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rPr>
        <w:t>。</w:t>
      </w:r>
    </w:p>
    <w:p w14:paraId="7EA2E60E">
      <w:pPr>
        <w:keepNext w:val="0"/>
        <w:keepLines w:val="0"/>
        <w:pageBreakBefore w:val="0"/>
        <w:numPr>
          <w:ilvl w:val="0"/>
          <w:numId w:val="2"/>
        </w:numPr>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承包人应履行的其他义务：</w:t>
      </w:r>
    </w:p>
    <w:p w14:paraId="337930B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承包人除完成本合同规定的任务和履行合同约定的义务外，还应完成的工作和履行的义务（包括但不限于）：</w:t>
      </w:r>
    </w:p>
    <w:p w14:paraId="69C5202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①需由设计资质等级和业务范围允许的承包人完成的设计文件提交时间；</w:t>
      </w:r>
    </w:p>
    <w:p w14:paraId="2CE7926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②应提供计划、报表的名称和时间：承包人应在每月25日前向工程师提供下月工程进度计划及当月相应进度和质量统计报表和工程事故报告各4份。</w:t>
      </w:r>
    </w:p>
    <w:p w14:paraId="532E56A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③承担施工安全保卫工作及非夜间施工照明的责任和要求：承包人负责在工程施工、竣工及保修的整个过程中施工现场全部人员的安全，并承担由此引起的一切经济赔偿和法律责任</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承包人负责在需要的时间和地点，根据有关部门要求，自费提供和维护所有灯光、护板、栅栏、警告信号和警卫，以及对工程进行保护或为公众提供安全和方便。</w:t>
      </w:r>
    </w:p>
    <w:p w14:paraId="7C04F66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④向发包人提供的办公和生活房屋及设施的要求：本工程不考虑。</w:t>
      </w:r>
    </w:p>
    <w:p w14:paraId="1C7CD6C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⑤承包人负责办理有关施工场地交通、环卫、渣土和施工噪音管理等手续，承担并缴纳相关费用。</w:t>
      </w:r>
    </w:p>
    <w:p w14:paraId="4A6D082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⑥已完工程成品的特殊要求及费用承担：按本合同《通用条款》。</w:t>
      </w:r>
    </w:p>
    <w:p w14:paraId="4EDA2ED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⑦施工场地周围地下管线和邻近建筑物、构筑物（含文物保护建筑）、古树名木的保护要求及费用承担：按本合同《通用条款》。</w:t>
      </w:r>
    </w:p>
    <w:p w14:paraId="43A072A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⑧隐蔽工程在隐蔽前，承包人应当通知发包人及监理检查确认，若承包人未书面通知造成的损失由承包人全部承担。</w:t>
      </w:r>
    </w:p>
    <w:p w14:paraId="09FB036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⑨施工场地清洁卫生的要求：承包人负责施工场地清洁卫生，并配备必要的设施和人员在施工期间每天对施工场地进行清洁，及时清理及运走垃圾、废品，并且在交付工程前将所有建筑废品及垃圾清除运出现场，施工场地内多有建筑废品及垃圾的清除、运出费用有承包人承担。</w:t>
      </w:r>
    </w:p>
    <w:p w14:paraId="668026C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⑩承包方负责处理扰民和民扰工作。</w:t>
      </w:r>
    </w:p>
    <w:p w14:paraId="7F5BC0E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⑪双方约定承包人应做的其他工作：</w:t>
      </w:r>
    </w:p>
    <w:p w14:paraId="4048705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1）承包人应将项目负责人、技术负责人</w:t>
      </w:r>
      <w:r>
        <w:rPr>
          <w:rFonts w:hint="eastAsia" w:ascii="宋体" w:hAnsi="宋体" w:eastAsia="宋体" w:cs="宋体"/>
          <w:color w:val="auto"/>
          <w:kern w:val="2"/>
          <w:sz w:val="24"/>
          <w:szCs w:val="24"/>
          <w:highlight w:val="none"/>
          <w:u w:val="single"/>
          <w:lang w:eastAsia="zh-CN"/>
        </w:rPr>
        <w:t>、施工员、专职安全员、质量员</w:t>
      </w:r>
      <w:r>
        <w:rPr>
          <w:rFonts w:hint="eastAsia" w:ascii="宋体" w:hAnsi="宋体" w:eastAsia="宋体" w:cs="宋体"/>
          <w:color w:val="auto"/>
          <w:kern w:val="2"/>
          <w:sz w:val="24"/>
          <w:szCs w:val="24"/>
          <w:highlight w:val="none"/>
          <w:u w:val="single"/>
        </w:rPr>
        <w:t>名单及职责在收到开工通知后3天内以书面形式提交给发包人和监理。承包人项目部管理人员在本工程或其分项工程施工期间（包括准备和收尾阶段），均须按所报人员配置；如需变更①人员安排、②机械设备、③施工方案等，必须提前一周书面上报发包人和监理人并经同意后方可执行，否则，承包人每违约一项（或一人），需支付违约金5000元（并按照发包人指令要求变更过来）。</w:t>
      </w:r>
    </w:p>
    <w:p w14:paraId="00E9185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承包人以下人员，经监理提出，发包人同意，必须在24小时内调离本工程范围，否则每人次承包人支付违约金2000元；同时，承包人应在3天内完成用合格的人员(发包人批准)代替上述调离的任何人员，否则每拖延1天承包人支付违约金每人次500元。</w:t>
      </w:r>
    </w:p>
    <w:p w14:paraId="0C5C658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a.发包人确认无法胜任工作者，包括：对分部分项工程施工进度及施工质量达不到合同要求负有责任的施工人员、不熟悉本专业工作的施工人员、工作责任心不强的施工人员、不积极配合发包人工作或不积极执行发包人指令者；</w:t>
      </w:r>
    </w:p>
    <w:p w14:paraId="0DC09EB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b.不能积极配合监理及发包人正常工作（包括销售）者；</w:t>
      </w:r>
    </w:p>
    <w:p w14:paraId="5B6AF88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c.违反发包人或承包人工地现场管理规定者；</w:t>
      </w:r>
    </w:p>
    <w:p w14:paraId="699876B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d.无证上岗者（适用于按规定必须有上岗证）；</w:t>
      </w:r>
    </w:p>
    <w:p w14:paraId="0305AE1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e.与本合同规定名册不符者；</w:t>
      </w:r>
    </w:p>
    <w:p w14:paraId="3B41A7A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f.与本工程施工无关的人员；</w:t>
      </w:r>
    </w:p>
    <w:p w14:paraId="59600DC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g.高空抛倒建筑垃圾者；</w:t>
      </w:r>
    </w:p>
    <w:p w14:paraId="4C239A1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h.随地大小便者；</w:t>
      </w:r>
    </w:p>
    <w:p w14:paraId="054F3E1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i.三次书面签字而工作未落实者；</w:t>
      </w:r>
    </w:p>
    <w:p w14:paraId="295C6DA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j.承包人项目负责人、技术负责人必须参加每周工程例会，因故不能参加的应提前4小时向发包人或监理提出申请并在获得发包人或监理批准后方可缺席，否则承包人向发包人支付违约金500元/人次。项目负责人或技术负责人如离开工地，应向发包人代表请假并经批准，否则承包人向发包人支付违约金1000元/次，若发生超过三次，承包人向发包人支付违约金5000元/次。</w:t>
      </w:r>
    </w:p>
    <w:p w14:paraId="3EF0557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承包人如因工程进度、质量、安全、配合等问题而导致注册建造师被发包人驱逐，承包人每发生一次支付发包人违约金人民币5000元，项目负责人被发包人驱逐达3次，发包人有权与承包人解除合同，承包人赔偿发包人因此所造成的全部损失并支付发包人合同预算总价2%的违约金。项目部其他人员因上述原因被驱逐或调职调岗者，承包人每一人次支付发包人人民币</w:t>
      </w:r>
      <w:r>
        <w:rPr>
          <w:rFonts w:hint="eastAsia" w:ascii="宋体" w:hAnsi="宋体" w:eastAsia="宋体" w:cs="宋体"/>
          <w:color w:val="auto"/>
          <w:kern w:val="2"/>
          <w:sz w:val="24"/>
          <w:szCs w:val="24"/>
          <w:highlight w:val="none"/>
          <w:u w:val="single"/>
          <w:lang w:val="en-US" w:eastAsia="zh-CN"/>
        </w:rPr>
        <w:t>500</w:t>
      </w:r>
      <w:r>
        <w:rPr>
          <w:rFonts w:hint="eastAsia" w:ascii="宋体" w:hAnsi="宋体" w:eastAsia="宋体" w:cs="宋体"/>
          <w:color w:val="auto"/>
          <w:kern w:val="2"/>
          <w:sz w:val="24"/>
          <w:szCs w:val="24"/>
          <w:highlight w:val="none"/>
          <w:u w:val="single"/>
        </w:rPr>
        <w:t>元违约金。</w:t>
      </w:r>
    </w:p>
    <w:p w14:paraId="797D85A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2）承包人应及时提出用水、用电申请，经批准后在发包人提供的水、电设置点装表计量，其水、电设置点位置的维护、管理费用由承包人负责。水、电费用按表计量，费用按当地收费标准向收费单位缴纳。</w:t>
      </w:r>
    </w:p>
    <w:p w14:paraId="1A4050B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承包人负责完成由设置点起至施工区域内的水、电、通讯线路的架设及施工区域内的施工通道的修建，费用由承包人承担。</w:t>
      </w:r>
    </w:p>
    <w:p w14:paraId="16B4070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3）本工程施工所需设备、临时设施进入现场后，即应被视为是专门供本工程施工使用。施工期间，承包人如需运出现场，需征得工程师</w:t>
      </w:r>
      <w:r>
        <w:rPr>
          <w:rFonts w:hint="eastAsia" w:ascii="宋体" w:hAnsi="宋体" w:eastAsia="宋体" w:cs="宋体"/>
          <w:color w:val="auto"/>
          <w:kern w:val="2"/>
          <w:sz w:val="24"/>
          <w:szCs w:val="24"/>
          <w:highlight w:val="none"/>
          <w:u w:val="single"/>
          <w:lang w:eastAsia="zh-CN"/>
        </w:rPr>
        <w:t>和发包人</w:t>
      </w:r>
      <w:r>
        <w:rPr>
          <w:rFonts w:hint="eastAsia" w:ascii="宋体" w:hAnsi="宋体" w:eastAsia="宋体" w:cs="宋体"/>
          <w:color w:val="auto"/>
          <w:kern w:val="2"/>
          <w:sz w:val="24"/>
          <w:szCs w:val="24"/>
          <w:highlight w:val="none"/>
          <w:u w:val="single"/>
        </w:rPr>
        <w:t>的书面同意</w:t>
      </w:r>
      <w:r>
        <w:rPr>
          <w:rFonts w:hint="eastAsia" w:ascii="宋体" w:hAnsi="宋体" w:eastAsia="宋体" w:cs="宋体"/>
          <w:color w:val="auto"/>
          <w:kern w:val="2"/>
          <w:sz w:val="24"/>
          <w:szCs w:val="24"/>
          <w:highlight w:val="none"/>
          <w:u w:val="single"/>
          <w:lang w:eastAsia="zh-CN"/>
        </w:rPr>
        <w:t>，且因此产生的费用由承包人自行负责</w:t>
      </w:r>
      <w:r>
        <w:rPr>
          <w:rFonts w:hint="eastAsia" w:ascii="宋体" w:hAnsi="宋体" w:eastAsia="宋体" w:cs="宋体"/>
          <w:color w:val="auto"/>
          <w:kern w:val="2"/>
          <w:sz w:val="24"/>
          <w:szCs w:val="24"/>
          <w:highlight w:val="none"/>
          <w:u w:val="single"/>
        </w:rPr>
        <w:t>。</w:t>
      </w:r>
    </w:p>
    <w:p w14:paraId="70EAAF4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4）除合同另有规定外，发包人无论何时均不对上述承包人的设备、临时设施和材料的损失或损坏承担任何责任。</w:t>
      </w:r>
    </w:p>
    <w:p w14:paraId="750A2DF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5）承包人应维护和爱护施工现场周围环境，包括现场周围现有的设施、花草等均不得损害，否则其一切费用由承包人负责。</w:t>
      </w:r>
    </w:p>
    <w:p w14:paraId="6D47C634">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6）承包人应对本工程的资金设立专门帐户，并做到专款专用。</w:t>
      </w:r>
    </w:p>
    <w:p w14:paraId="4FD5566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7) 负责协助发包人办理开工证前(含施工许可证)、办理施工临时占用道路等合法手续，并及时提供相关资料。</w:t>
      </w:r>
    </w:p>
    <w:p w14:paraId="6DF95CF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8）实行《周报》和《月报》制度。《周报》在每周例会前一天报送发包人和监理人，《周报》包括下周计划和本周已完成的工作、未完成情况说明（包括拟采取措施、最终完成时间）；《月报》在每月二十五日前报送发包人和监理人，《月报》包括次月施工进度计划和当月工作总结，月施工进度计划必须具体、详细，并且必须按本合同约定的进度要求编制。如不按时、按要求报送，承包人应向发包人支付违约金1000元/次。</w:t>
      </w:r>
    </w:p>
    <w:p w14:paraId="5802427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9）承包人应充分考虑因天气影响、施工人员在场外食宿、材料设备二次搬运、土石方二次转运、成品保护等各种可能因素影响施工所需增加的费用和工期，承包人承诺在前述可能影响工期和费用的因素出现时不要求发包人增加费用和顺延工期。</w:t>
      </w:r>
    </w:p>
    <w:p w14:paraId="17B64BE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10）承包人应在开工前对场地内的地形原状标高进行测量，并将成果报发包人和监理人复测：实施至土方、石方交界处，应及时向发包人和监理人报送分界面坐标并进行复测确认。同时，承包人应向发包人和监理人提交原地面及土石分界面的全套影像资料。</w:t>
      </w:r>
    </w:p>
    <w:p w14:paraId="49D0BD9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 项目经理</w:t>
      </w:r>
    </w:p>
    <w:p w14:paraId="4B74A13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kern w:val="2"/>
          <w:sz w:val="24"/>
          <w:szCs w:val="24"/>
          <w:highlight w:val="none"/>
        </w:rPr>
        <w:t>项目经理：</w:t>
      </w:r>
    </w:p>
    <w:p w14:paraId="4BDEDEF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07D1A28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4D21832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建造师执业资格等级：</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1834180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建造师注册证书号：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580F6AE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建造师执业印章号：</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1C9F3A4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安全生产考核合格证书号：</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738BA40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747F5D0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电子信箱：</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592A8D2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通信地址：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p w14:paraId="564B504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承包人对项目经理的授权范围如下：</w:t>
      </w:r>
      <w:r>
        <w:rPr>
          <w:rFonts w:hint="eastAsia" w:ascii="宋体" w:hAnsi="宋体" w:eastAsia="宋体" w:cs="宋体"/>
          <w:color w:val="auto"/>
          <w:kern w:val="2"/>
          <w:sz w:val="24"/>
          <w:szCs w:val="24"/>
          <w:highlight w:val="none"/>
          <w:u w:val="single"/>
        </w:rPr>
        <w:t>全面履行项目经理的职责和权利</w:t>
      </w:r>
      <w:r>
        <w:rPr>
          <w:rFonts w:hint="eastAsia" w:ascii="宋体" w:hAnsi="宋体" w:eastAsia="宋体" w:cs="宋体"/>
          <w:color w:val="auto"/>
          <w:kern w:val="2"/>
          <w:sz w:val="24"/>
          <w:szCs w:val="24"/>
          <w:highlight w:val="none"/>
        </w:rPr>
        <w:t>。</w:t>
      </w:r>
    </w:p>
    <w:p w14:paraId="37B41B5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关于项目经理每月在施工现场的时间要求：</w:t>
      </w:r>
      <w:r>
        <w:rPr>
          <w:rFonts w:hint="eastAsia" w:ascii="宋体" w:hAnsi="宋体" w:eastAsia="宋体" w:cs="宋体"/>
          <w:color w:val="auto"/>
          <w:kern w:val="2"/>
          <w:sz w:val="24"/>
          <w:szCs w:val="24"/>
          <w:highlight w:val="none"/>
          <w:u w:val="single"/>
        </w:rPr>
        <w:t xml:space="preserve">不少于 22天   </w:t>
      </w:r>
      <w:r>
        <w:rPr>
          <w:rFonts w:hint="eastAsia" w:ascii="宋体" w:hAnsi="宋体" w:eastAsia="宋体" w:cs="宋体"/>
          <w:color w:val="auto"/>
          <w:kern w:val="2"/>
          <w:sz w:val="24"/>
          <w:szCs w:val="24"/>
          <w:highlight w:val="none"/>
        </w:rPr>
        <w:t>。</w:t>
      </w:r>
    </w:p>
    <w:p w14:paraId="415C524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承包人未提交劳动合同，以及没有为项目经理缴纳社会保险证明的违约责任：</w:t>
      </w:r>
      <w:r>
        <w:rPr>
          <w:rFonts w:hint="eastAsia" w:ascii="宋体" w:hAnsi="宋体" w:eastAsia="宋体" w:cs="宋体"/>
          <w:color w:val="auto"/>
          <w:kern w:val="2"/>
          <w:sz w:val="24"/>
          <w:szCs w:val="24"/>
          <w:highlight w:val="none"/>
          <w:u w:val="single"/>
        </w:rPr>
        <w:t>按</w:t>
      </w:r>
      <w:r>
        <w:rPr>
          <w:rFonts w:hint="eastAsia" w:ascii="宋体" w:hAnsi="宋体" w:eastAsia="宋体" w:cs="宋体"/>
          <w:color w:val="auto"/>
          <w:kern w:val="2"/>
          <w:sz w:val="24"/>
          <w:szCs w:val="24"/>
          <w:highlight w:val="none"/>
          <w:u w:val="single"/>
          <w:lang w:eastAsia="zh-CN"/>
        </w:rPr>
        <w:t>国家相关文件规定</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0D8F4D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0"/>
          <w:sz w:val="24"/>
          <w:szCs w:val="24"/>
          <w:highlight w:val="none"/>
        </w:rPr>
        <w:t>项目经理未经批准，擅自离开施工现场的违约责任：</w:t>
      </w:r>
      <w:r>
        <w:rPr>
          <w:rFonts w:hint="eastAsia" w:ascii="宋体" w:hAnsi="宋体" w:eastAsia="宋体" w:cs="宋体"/>
          <w:color w:val="auto"/>
          <w:kern w:val="2"/>
          <w:sz w:val="24"/>
          <w:szCs w:val="24"/>
          <w:highlight w:val="none"/>
          <w:u w:val="single"/>
        </w:rPr>
        <w:t xml:space="preserve"> 承包人向发包人支付违约金</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000元/次，超过3次，承包人向发包人支付违约金5000元/次  。</w:t>
      </w:r>
    </w:p>
    <w:p w14:paraId="7370C7B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3.2.3 承包人擅自更换项目经理的违约责任：</w:t>
      </w:r>
      <w:r>
        <w:rPr>
          <w:rFonts w:hint="eastAsia" w:ascii="宋体" w:hAnsi="宋体" w:eastAsia="宋体" w:cs="宋体"/>
          <w:color w:val="auto"/>
          <w:kern w:val="2"/>
          <w:sz w:val="24"/>
          <w:szCs w:val="24"/>
          <w:highlight w:val="none"/>
          <w:u w:val="single"/>
        </w:rPr>
        <w:t>本项目实施期间，未经发包人同意，承包人施工项目部主要项目管理人员不得更换，若承包人主要项目管理人员不能按投标承诺到岗履职的，</w:t>
      </w:r>
      <w:r>
        <w:rPr>
          <w:rFonts w:hint="eastAsia" w:ascii="宋体" w:hAnsi="宋体" w:eastAsia="宋体" w:cs="宋体"/>
          <w:color w:val="auto"/>
          <w:kern w:val="2"/>
          <w:sz w:val="24"/>
          <w:szCs w:val="24"/>
          <w:highlight w:val="none"/>
          <w:u w:val="single"/>
          <w:lang w:val="en-US" w:eastAsia="zh-CN"/>
        </w:rPr>
        <w:t>则成交</w:t>
      </w:r>
      <w:r>
        <w:rPr>
          <w:rFonts w:hint="eastAsia" w:ascii="宋体" w:hAnsi="宋体" w:eastAsia="宋体" w:cs="宋体"/>
          <w:color w:val="auto"/>
          <w:kern w:val="2"/>
          <w:sz w:val="24"/>
          <w:szCs w:val="24"/>
          <w:highlight w:val="none"/>
          <w:u w:val="single"/>
        </w:rPr>
        <w:t>结果无效，</w:t>
      </w:r>
      <w:r>
        <w:rPr>
          <w:rFonts w:hint="eastAsia" w:ascii="宋体" w:hAnsi="宋体" w:eastAsia="宋体" w:cs="宋体"/>
          <w:color w:val="auto"/>
          <w:kern w:val="2"/>
          <w:sz w:val="24"/>
          <w:szCs w:val="24"/>
          <w:highlight w:val="none"/>
          <w:u w:val="single"/>
          <w:lang w:val="en-US" w:eastAsia="zh-CN"/>
        </w:rPr>
        <w:t>发包人</w:t>
      </w:r>
      <w:r>
        <w:rPr>
          <w:rFonts w:hint="eastAsia" w:ascii="宋体" w:hAnsi="宋体" w:eastAsia="宋体" w:cs="宋体"/>
          <w:color w:val="auto"/>
          <w:kern w:val="2"/>
          <w:sz w:val="24"/>
          <w:szCs w:val="24"/>
          <w:highlight w:val="none"/>
          <w:u w:val="single"/>
        </w:rPr>
        <w:t>有权单方面终止合同，全部履约保证金作为违约金全部赔偿给</w:t>
      </w:r>
      <w:r>
        <w:rPr>
          <w:rFonts w:hint="eastAsia" w:ascii="宋体" w:hAnsi="宋体" w:eastAsia="宋体" w:cs="宋体"/>
          <w:color w:val="auto"/>
          <w:kern w:val="2"/>
          <w:sz w:val="24"/>
          <w:szCs w:val="24"/>
          <w:highlight w:val="none"/>
          <w:u w:val="single"/>
          <w:lang w:val="en-US" w:eastAsia="zh-CN"/>
        </w:rPr>
        <w:t>发包人</w:t>
      </w:r>
      <w:r>
        <w:rPr>
          <w:rFonts w:hint="eastAsia" w:ascii="宋体" w:hAnsi="宋体" w:eastAsia="宋体" w:cs="宋体"/>
          <w:color w:val="auto"/>
          <w:kern w:val="2"/>
          <w:sz w:val="24"/>
          <w:szCs w:val="24"/>
          <w:highlight w:val="none"/>
          <w:u w:val="single"/>
        </w:rPr>
        <w:t>。项目负责人、技术负责人每月必须不少于22天在岗，如发现不在岗一次，提出警告，累计发现两次，有权扣减10%履约保证金作为违约金并报送建设主管部门处理，累计发现三次，有权解除双方合同，并扣减全部履约保证金作为违约金</w:t>
      </w:r>
      <w:r>
        <w:rPr>
          <w:rFonts w:hint="eastAsia" w:ascii="宋体" w:hAnsi="宋体" w:eastAsia="宋体" w:cs="宋体"/>
          <w:color w:val="auto"/>
          <w:kern w:val="2"/>
          <w:sz w:val="24"/>
          <w:szCs w:val="24"/>
          <w:highlight w:val="none"/>
        </w:rPr>
        <w:t>。</w:t>
      </w:r>
    </w:p>
    <w:p w14:paraId="677E943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3.2.4 除3.2.3款规定外，承包人擅自更换项目经理的违约责任：</w:t>
      </w:r>
      <w:r>
        <w:rPr>
          <w:rFonts w:hint="eastAsia" w:ascii="宋体" w:hAnsi="宋体" w:eastAsia="宋体" w:cs="宋体"/>
          <w:color w:val="auto"/>
          <w:kern w:val="2"/>
          <w:sz w:val="24"/>
          <w:szCs w:val="24"/>
          <w:highlight w:val="none"/>
          <w:u w:val="single"/>
        </w:rPr>
        <w:t>承包人向发包人支付违约金</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0000元/次</w:t>
      </w:r>
      <w:r>
        <w:rPr>
          <w:rFonts w:hint="eastAsia" w:ascii="宋体" w:hAnsi="宋体" w:eastAsia="宋体" w:cs="宋体"/>
          <w:color w:val="auto"/>
          <w:kern w:val="2"/>
          <w:sz w:val="24"/>
          <w:szCs w:val="24"/>
          <w:highlight w:val="none"/>
        </w:rPr>
        <w:t>。</w:t>
      </w:r>
    </w:p>
    <w:p w14:paraId="3699609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3.2.5 除3.2.3款规定外，承包人无正当理由拒绝更换项目经理的违约责任：</w:t>
      </w:r>
      <w:r>
        <w:rPr>
          <w:rFonts w:hint="eastAsia" w:ascii="宋体" w:hAnsi="宋体" w:eastAsia="宋体" w:cs="宋体"/>
          <w:color w:val="auto"/>
          <w:kern w:val="2"/>
          <w:sz w:val="24"/>
          <w:szCs w:val="24"/>
          <w:highlight w:val="none"/>
          <w:u w:val="single"/>
        </w:rPr>
        <w:t>承包人向发包人支付违约金</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0000元/次</w:t>
      </w:r>
      <w:r>
        <w:rPr>
          <w:rFonts w:hint="eastAsia" w:ascii="宋体" w:hAnsi="宋体" w:eastAsia="宋体" w:cs="宋体"/>
          <w:color w:val="auto"/>
          <w:kern w:val="2"/>
          <w:sz w:val="24"/>
          <w:szCs w:val="24"/>
          <w:highlight w:val="none"/>
        </w:rPr>
        <w:t>。</w:t>
      </w:r>
    </w:p>
    <w:p w14:paraId="58949C6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 承包人人员</w:t>
      </w:r>
    </w:p>
    <w:p w14:paraId="4CB90A8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3.3.1 承包人提交项目管理机构及施工现场管理人员安排报告的期限：</w:t>
      </w:r>
      <w:r>
        <w:rPr>
          <w:rFonts w:hint="eastAsia" w:ascii="宋体" w:hAnsi="宋体" w:eastAsia="宋体" w:cs="宋体"/>
          <w:b/>
          <w:bCs/>
          <w:color w:val="auto"/>
          <w:kern w:val="2"/>
          <w:sz w:val="24"/>
          <w:szCs w:val="24"/>
          <w:highlight w:val="none"/>
          <w:u w:val="single"/>
          <w:lang w:eastAsia="zh-CN"/>
        </w:rPr>
        <w:t>按通用合同条款</w:t>
      </w:r>
      <w:r>
        <w:rPr>
          <w:rFonts w:hint="eastAsia" w:ascii="宋体" w:hAnsi="宋体" w:eastAsia="宋体" w:cs="宋体"/>
          <w:b/>
          <w:bCs/>
          <w:color w:val="auto"/>
          <w:kern w:val="2"/>
          <w:sz w:val="24"/>
          <w:szCs w:val="24"/>
          <w:highlight w:val="none"/>
        </w:rPr>
        <w:t>。</w:t>
      </w:r>
    </w:p>
    <w:p w14:paraId="1E9D657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3.3.3 承包人无正当理由拒绝撤换主要施工管理人员的违约责任：</w:t>
      </w:r>
      <w:r>
        <w:rPr>
          <w:rFonts w:hint="eastAsia" w:ascii="宋体" w:hAnsi="宋体" w:eastAsia="宋体" w:cs="宋体"/>
          <w:color w:val="auto"/>
          <w:kern w:val="2"/>
          <w:sz w:val="24"/>
          <w:szCs w:val="24"/>
          <w:highlight w:val="none"/>
          <w:u w:val="single"/>
        </w:rPr>
        <w:t>承包人向发包人支付违约金5000元/次</w:t>
      </w:r>
      <w:r>
        <w:rPr>
          <w:rFonts w:hint="eastAsia" w:ascii="宋体" w:hAnsi="宋体" w:eastAsia="宋体" w:cs="宋体"/>
          <w:color w:val="auto"/>
          <w:kern w:val="2"/>
          <w:sz w:val="24"/>
          <w:szCs w:val="24"/>
          <w:highlight w:val="none"/>
        </w:rPr>
        <w:t>。</w:t>
      </w:r>
    </w:p>
    <w:p w14:paraId="4D3A2DD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3.3.4 承包人主要施工管理人员离开施工现场的批准要求：</w:t>
      </w:r>
      <w:r>
        <w:rPr>
          <w:rFonts w:hint="eastAsia" w:ascii="宋体" w:hAnsi="宋体" w:eastAsia="宋体" w:cs="宋体"/>
          <w:color w:val="auto"/>
          <w:kern w:val="2"/>
          <w:sz w:val="24"/>
          <w:szCs w:val="24"/>
          <w:highlight w:val="none"/>
          <w:u w:val="single"/>
        </w:rPr>
        <w:t xml:space="preserve"> 应提前4小时向发包人或监理人提出申请并在获得发包人或监理人批准后方可离开  </w:t>
      </w:r>
      <w:r>
        <w:rPr>
          <w:rFonts w:hint="eastAsia" w:ascii="宋体" w:hAnsi="宋体" w:eastAsia="宋体" w:cs="宋体"/>
          <w:color w:val="auto"/>
          <w:kern w:val="2"/>
          <w:sz w:val="24"/>
          <w:szCs w:val="24"/>
          <w:highlight w:val="none"/>
        </w:rPr>
        <w:t>。</w:t>
      </w:r>
    </w:p>
    <w:p w14:paraId="3AF73E3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3.3.5承包人擅自更换主要施工管理人员的违约责任：</w:t>
      </w:r>
      <w:r>
        <w:rPr>
          <w:rFonts w:hint="eastAsia" w:ascii="宋体" w:hAnsi="宋体" w:eastAsia="宋体" w:cs="宋体"/>
          <w:color w:val="auto"/>
          <w:kern w:val="2"/>
          <w:sz w:val="24"/>
          <w:szCs w:val="24"/>
          <w:highlight w:val="none"/>
          <w:u w:val="single"/>
        </w:rPr>
        <w:t>承包人向发包人支付违约金5000元/次。</w:t>
      </w:r>
    </w:p>
    <w:p w14:paraId="3FCB3D4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承包人主要施工管理人员擅自离开施工现场的违约责任：</w:t>
      </w:r>
      <w:r>
        <w:rPr>
          <w:rFonts w:hint="eastAsia" w:ascii="宋体" w:hAnsi="宋体" w:eastAsia="宋体" w:cs="宋体"/>
          <w:color w:val="auto"/>
          <w:kern w:val="2"/>
          <w:sz w:val="24"/>
          <w:szCs w:val="24"/>
          <w:highlight w:val="none"/>
          <w:u w:val="single"/>
        </w:rPr>
        <w:t>承包人向发包人支付违约金1000元/次，超过3次，承包人向发包人支付违约金5000元/次。</w:t>
      </w:r>
    </w:p>
    <w:p w14:paraId="4458381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bookmarkStart w:id="104" w:name="_Toc303539102"/>
      <w:bookmarkStart w:id="105" w:name="_Toc296890987"/>
      <w:bookmarkStart w:id="106" w:name="_Toc292559364"/>
      <w:bookmarkStart w:id="107" w:name="_Toc312677988"/>
      <w:bookmarkStart w:id="108" w:name="_Toc296347158"/>
      <w:bookmarkStart w:id="109" w:name="_Toc304295523"/>
      <w:bookmarkStart w:id="110" w:name="_Toc296503159"/>
      <w:bookmarkStart w:id="111" w:name="_Toc292559869"/>
      <w:bookmarkStart w:id="112" w:name="_Toc300934945"/>
      <w:bookmarkStart w:id="113" w:name="_Toc297216151"/>
      <w:bookmarkStart w:id="114" w:name="_Toc296346660"/>
      <w:bookmarkStart w:id="115" w:name="_Toc297120459"/>
      <w:bookmarkStart w:id="116" w:name="_Toc296944498"/>
      <w:bookmarkStart w:id="117" w:name="_Toc297123492"/>
      <w:bookmarkStart w:id="118" w:name="_Toc296891199"/>
      <w:bookmarkStart w:id="119" w:name="_Toc297048345"/>
      <w:r>
        <w:rPr>
          <w:rFonts w:hint="eastAsia" w:ascii="宋体" w:hAnsi="宋体" w:eastAsia="宋体" w:cs="宋体"/>
          <w:color w:val="auto"/>
          <w:kern w:val="2"/>
          <w:sz w:val="24"/>
          <w:szCs w:val="24"/>
          <w:highlight w:val="none"/>
        </w:rPr>
        <w:t>.5 分包</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45110F0A">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bookmarkStart w:id="120" w:name="_Toc297216152"/>
      <w:bookmarkStart w:id="121" w:name="_Toc296346661"/>
      <w:bookmarkStart w:id="122" w:name="_Toc296503160"/>
      <w:bookmarkStart w:id="123" w:name="_Toc300934946"/>
      <w:bookmarkStart w:id="124" w:name="_Toc296347159"/>
      <w:bookmarkStart w:id="125" w:name="_Toc292559870"/>
      <w:bookmarkStart w:id="126" w:name="_Toc303539103"/>
      <w:bookmarkStart w:id="127" w:name="_Toc296944499"/>
      <w:bookmarkStart w:id="128" w:name="_Toc296891200"/>
      <w:bookmarkStart w:id="129" w:name="_Toc297120460"/>
      <w:bookmarkStart w:id="130" w:name="_Toc297048346"/>
      <w:bookmarkStart w:id="131" w:name="_Toc292559365"/>
      <w:bookmarkStart w:id="132" w:name="_Toc296890988"/>
      <w:bookmarkStart w:id="133" w:name="_Toc304295524"/>
      <w:bookmarkStart w:id="134" w:name="_Toc297123493"/>
      <w:bookmarkStart w:id="135" w:name="_Toc318581158"/>
      <w:bookmarkStart w:id="136" w:name="_Toc312677989"/>
      <w:r>
        <w:rPr>
          <w:rFonts w:hint="eastAsia" w:ascii="宋体" w:hAnsi="宋体" w:eastAsia="宋体" w:cs="宋体"/>
          <w:color w:val="auto"/>
          <w:kern w:val="2"/>
          <w:sz w:val="24"/>
          <w:szCs w:val="24"/>
          <w:highlight w:val="none"/>
        </w:rPr>
        <w:t>.5.1 分包的一般约定</w:t>
      </w:r>
    </w:p>
    <w:p w14:paraId="2A67A24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禁止分包的工程包括：</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ACC9A7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主体结构、关键性工作的范围：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7" w:name="_Toc297120461"/>
      <w:bookmarkStart w:id="138" w:name="_Toc296503161"/>
      <w:bookmarkStart w:id="139" w:name="_Toc296890989"/>
      <w:bookmarkStart w:id="140" w:name="_Toc296346662"/>
      <w:bookmarkStart w:id="141" w:name="_Toc296347160"/>
      <w:bookmarkStart w:id="142" w:name="_Toc304295525"/>
      <w:bookmarkStart w:id="143" w:name="_Toc303539104"/>
      <w:bookmarkStart w:id="144" w:name="_Toc296891201"/>
      <w:bookmarkStart w:id="145" w:name="_Toc297216153"/>
      <w:bookmarkStart w:id="146" w:name="_Toc296944500"/>
      <w:bookmarkStart w:id="147" w:name="_Toc300934947"/>
      <w:bookmarkStart w:id="148" w:name="_Toc297048347"/>
      <w:bookmarkStart w:id="149" w:name="_Toc297123494"/>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7872A1B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bookmarkStart w:id="150" w:name="_Toc318581159"/>
      <w:bookmarkStart w:id="151" w:name="_Toc312677990"/>
      <w:r>
        <w:rPr>
          <w:rFonts w:hint="eastAsia" w:ascii="宋体" w:hAnsi="宋体" w:eastAsia="宋体" w:cs="宋体"/>
          <w:color w:val="auto"/>
          <w:kern w:val="2"/>
          <w:sz w:val="24"/>
          <w:szCs w:val="24"/>
          <w:highlight w:val="none"/>
        </w:rPr>
        <w:t>.5.2分包的确定</w:t>
      </w:r>
    </w:p>
    <w:p w14:paraId="49382CB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允许分包的专业工程包括：</w:t>
      </w:r>
      <w:r>
        <w:rPr>
          <w:rFonts w:hint="eastAsia" w:ascii="宋体" w:hAnsi="宋体" w:eastAsia="宋体" w:cs="宋体"/>
          <w:color w:val="auto"/>
          <w:kern w:val="2"/>
          <w:sz w:val="24"/>
          <w:szCs w:val="24"/>
          <w:highlight w:val="none"/>
          <w:u w:val="single"/>
          <w:lang w:val="en-US" w:eastAsia="zh-CN"/>
        </w:rPr>
        <w:t xml:space="preserve">             /                     </w:t>
      </w:r>
      <w:r>
        <w:rPr>
          <w:rFonts w:hint="eastAsia" w:ascii="宋体" w:hAnsi="宋体" w:eastAsia="宋体" w:cs="宋体"/>
          <w:color w:val="auto"/>
          <w:kern w:val="2"/>
          <w:sz w:val="24"/>
          <w:szCs w:val="24"/>
          <w:highlight w:val="none"/>
        </w:rPr>
        <w:t>。</w:t>
      </w:r>
    </w:p>
    <w:p w14:paraId="49A2F18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其他关于分包的约定：</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41E2AA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3.5.4 分包合同价款</w:t>
      </w:r>
    </w:p>
    <w:p w14:paraId="2A10715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关于分包合同价款支付的约定：</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bookmarkEnd w:id="150"/>
    <w:bookmarkEnd w:id="151"/>
    <w:p w14:paraId="18ABF51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 工程照管与成品、半成品保护</w:t>
      </w:r>
    </w:p>
    <w:p w14:paraId="18243D2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2"/>
          <w:sz w:val="24"/>
          <w:szCs w:val="24"/>
          <w:highlight w:val="none"/>
          <w:u w:val="single"/>
        </w:rPr>
        <w:t>按通用合同条款。</w:t>
      </w:r>
    </w:p>
    <w:p w14:paraId="3DB234E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3.7 履约担保</w:t>
      </w:r>
    </w:p>
    <w:p w14:paraId="2A4DABF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承包人是否提供履约担保：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是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3509462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承包人提供履约担保的形式、金额及期限的：</w:t>
      </w:r>
      <w:r>
        <w:rPr>
          <w:rFonts w:hint="eastAsia" w:ascii="宋体" w:hAnsi="宋体" w:eastAsia="宋体" w:cs="宋体"/>
          <w:iCs/>
          <w:color w:val="000000"/>
          <w:kern w:val="2"/>
          <w:sz w:val="24"/>
          <w:szCs w:val="24"/>
          <w:u w:val="single"/>
        </w:rPr>
        <w:t>中标、成交金额降价幅度不超过采购预算10% 的，履约保证金为中标、成交金额的10%;中标、成交金额降价幅度超过采购预算10%以上的，履约保证金为采购预算减去中标、 成交金额的差额</w:t>
      </w:r>
      <w:r>
        <w:rPr>
          <w:rFonts w:hint="eastAsia" w:ascii="宋体" w:hAnsi="宋体" w:eastAsia="宋体" w:cs="宋体"/>
          <w:iCs/>
          <w:color w:val="000000"/>
          <w:kern w:val="2"/>
          <w:sz w:val="24"/>
          <w:szCs w:val="24"/>
          <w:u w:val="single"/>
          <w:lang w:eastAsia="zh-CN"/>
        </w:rPr>
        <w:t>（只接受银行保函或现金转账）；</w:t>
      </w:r>
      <w:r>
        <w:rPr>
          <w:rFonts w:hint="eastAsia" w:ascii="宋体" w:hAnsi="宋体" w:eastAsia="宋体" w:cs="宋体"/>
          <w:iCs/>
          <w:color w:val="000000"/>
          <w:kern w:val="2"/>
          <w:sz w:val="24"/>
          <w:szCs w:val="24"/>
          <w:u w:val="single"/>
        </w:rPr>
        <w:t>供应商提交的银行保函，在项目交付使用前不可撤销、不可转让、见索即付，履约担保责任至对应项目交付使用之日终止。银行保函应当是投标人注册地或者项目所在地市域内的银行出具的保函</w:t>
      </w:r>
      <w:r>
        <w:rPr>
          <w:rFonts w:hint="eastAsia" w:ascii="宋体" w:hAnsi="宋体" w:eastAsia="宋体" w:cs="宋体"/>
          <w:iCs/>
          <w:color w:val="000000"/>
          <w:kern w:val="2"/>
          <w:sz w:val="24"/>
          <w:szCs w:val="24"/>
          <w:u w:val="single"/>
          <w:lang w:eastAsia="zh-CN"/>
        </w:rPr>
        <w:t>；</w:t>
      </w:r>
      <w:r>
        <w:rPr>
          <w:rFonts w:hint="eastAsia" w:ascii="宋体" w:hAnsi="宋体" w:eastAsia="宋体" w:cs="宋体"/>
          <w:iCs/>
          <w:color w:val="000000"/>
          <w:kern w:val="2"/>
          <w:sz w:val="24"/>
          <w:szCs w:val="24"/>
          <w:u w:val="single"/>
        </w:rPr>
        <w:t>供应商自领取中标、成交通知书后7个工作日内提交履约保证金。</w:t>
      </w:r>
    </w:p>
    <w:p w14:paraId="2E252FEA">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152" w:name="_Toc351203636"/>
      <w:r>
        <w:rPr>
          <w:rFonts w:hint="eastAsia" w:ascii="宋体" w:hAnsi="宋体" w:eastAsia="宋体" w:cs="宋体"/>
          <w:b/>
          <w:bCs/>
          <w:color w:val="auto"/>
          <w:kern w:val="2"/>
          <w:sz w:val="24"/>
          <w:szCs w:val="24"/>
          <w:highlight w:val="none"/>
        </w:rPr>
        <w:t>4</w:t>
      </w:r>
      <w:bookmarkStart w:id="153" w:name="_Toc296347161"/>
      <w:bookmarkStart w:id="154" w:name="_Toc292559871"/>
      <w:bookmarkStart w:id="155" w:name="_Toc297048348"/>
      <w:bookmarkStart w:id="156" w:name="_Toc296944501"/>
      <w:bookmarkStart w:id="157" w:name="_Toc296891202"/>
      <w:bookmarkStart w:id="158" w:name="_Toc292559366"/>
      <w:bookmarkStart w:id="159" w:name="_Toc296346663"/>
      <w:bookmarkStart w:id="160" w:name="_Toc296890990"/>
      <w:bookmarkStart w:id="161" w:name="_Toc267251413"/>
      <w:bookmarkStart w:id="162" w:name="_Toc296503162"/>
      <w:bookmarkStart w:id="163" w:name="_Toc297120462"/>
      <w:r>
        <w:rPr>
          <w:rFonts w:hint="eastAsia" w:ascii="宋体" w:hAnsi="宋体" w:eastAsia="宋体" w:cs="宋体"/>
          <w:b/>
          <w:bCs/>
          <w:color w:val="auto"/>
          <w:kern w:val="2"/>
          <w:sz w:val="24"/>
          <w:szCs w:val="24"/>
          <w:highlight w:val="none"/>
        </w:rPr>
        <w:t>. 监</w:t>
      </w:r>
      <w:bookmarkEnd w:id="153"/>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b/>
          <w:bCs/>
          <w:color w:val="auto"/>
          <w:kern w:val="2"/>
          <w:sz w:val="24"/>
          <w:szCs w:val="24"/>
          <w:highlight w:val="none"/>
        </w:rPr>
        <w:t>理人</w:t>
      </w:r>
      <w:bookmarkEnd w:id="152"/>
    </w:p>
    <w:p w14:paraId="219D51B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4.1监理人的一般规定</w:t>
      </w:r>
    </w:p>
    <w:p w14:paraId="5DFDA35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关于监理人的监理内容：</w:t>
      </w:r>
      <w:r>
        <w:rPr>
          <w:rFonts w:hint="eastAsia" w:ascii="宋体" w:hAnsi="宋体" w:eastAsia="宋体" w:cs="宋体"/>
          <w:color w:val="auto"/>
          <w:kern w:val="2"/>
          <w:sz w:val="24"/>
          <w:szCs w:val="24"/>
          <w:highlight w:val="none"/>
          <w:u w:val="single"/>
        </w:rPr>
        <w:t>按《监理合同》执行</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rPr>
        <w:t>。</w:t>
      </w:r>
    </w:p>
    <w:p w14:paraId="1B71386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关于监理人的监理权限：</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u w:val="single"/>
        </w:rPr>
        <w:t>按</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《监理合同》执行</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 </w:t>
      </w:r>
    </w:p>
    <w:p w14:paraId="6CA32C7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关于监理人在施工现场的办公场所、生活场所的提供和费用承担的约定：</w:t>
      </w:r>
      <w:r>
        <w:rPr>
          <w:rFonts w:hint="eastAsia" w:ascii="宋体" w:hAnsi="宋体" w:eastAsia="宋体" w:cs="宋体"/>
          <w:color w:val="auto"/>
          <w:kern w:val="2"/>
          <w:sz w:val="24"/>
          <w:szCs w:val="24"/>
          <w:highlight w:val="none"/>
          <w:u w:val="single"/>
        </w:rPr>
        <w:t>按国家相关规定。</w:t>
      </w:r>
    </w:p>
    <w:p w14:paraId="3174533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4.2 监理人员</w:t>
      </w:r>
    </w:p>
    <w:p w14:paraId="6EB82B0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总监理工程师：</w:t>
      </w:r>
    </w:p>
    <w:p w14:paraId="547D6C2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678C180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    务：</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06FCB27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监理工程师执业资格证书号：</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rPr>
        <w:t>；</w:t>
      </w:r>
    </w:p>
    <w:p w14:paraId="1F6C697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 </w:t>
      </w:r>
      <w:r>
        <w:rPr>
          <w:rFonts w:hint="eastAsia" w:ascii="宋体" w:hAnsi="宋体" w:eastAsia="宋体" w:cs="宋体"/>
          <w:color w:val="auto"/>
          <w:kern w:val="2"/>
          <w:sz w:val="24"/>
          <w:szCs w:val="24"/>
          <w:highlight w:val="none"/>
        </w:rPr>
        <w:t>；</w:t>
      </w:r>
    </w:p>
    <w:p w14:paraId="36C937E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电子信箱：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1E04B95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通信地址：</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w:t>
      </w:r>
    </w:p>
    <w:p w14:paraId="42FBF1A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关于监理人的其他约定：</w:t>
      </w:r>
      <w:r>
        <w:rPr>
          <w:rFonts w:hint="eastAsia" w:ascii="宋体" w:hAnsi="宋体" w:eastAsia="宋体" w:cs="宋体"/>
          <w:color w:val="auto"/>
          <w:kern w:val="2"/>
          <w:sz w:val="24"/>
          <w:szCs w:val="24"/>
          <w:highlight w:val="none"/>
          <w:u w:val="single"/>
          <w:lang w:eastAsia="zh-CN"/>
        </w:rPr>
        <w:t>按监理相关规范配备充足的监理人员，并要求人证相符</w:t>
      </w:r>
      <w:r>
        <w:rPr>
          <w:rFonts w:hint="eastAsia" w:ascii="宋体" w:hAnsi="宋体" w:eastAsia="宋体" w:cs="宋体"/>
          <w:color w:val="auto"/>
          <w:kern w:val="2"/>
          <w:sz w:val="24"/>
          <w:szCs w:val="24"/>
          <w:highlight w:val="none"/>
        </w:rPr>
        <w:t>。</w:t>
      </w:r>
    </w:p>
    <w:p w14:paraId="4B36438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4.4 商定或确定</w:t>
      </w:r>
    </w:p>
    <w:p w14:paraId="0D0E34BA">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164" w:name="_Toc267251418"/>
      <w:r>
        <w:rPr>
          <w:rFonts w:hint="eastAsia" w:ascii="宋体" w:hAnsi="宋体" w:eastAsia="宋体" w:cs="宋体"/>
          <w:color w:val="auto"/>
          <w:kern w:val="2"/>
          <w:sz w:val="24"/>
          <w:szCs w:val="24"/>
          <w:highlight w:val="none"/>
        </w:rPr>
        <w:t>在发包人和承包人不能通过协商达成一致意见时，发包人授权监理人对以下事项进行确定：</w:t>
      </w:r>
    </w:p>
    <w:p w14:paraId="2692F5A2">
      <w:pPr>
        <w:keepNext w:val="0"/>
        <w:keepLines w:val="0"/>
        <w:pageBreakBefore w:val="0"/>
        <w:numPr>
          <w:ilvl w:val="0"/>
          <w:numId w:val="0"/>
        </w:numPr>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eastAsia="zh-CN"/>
        </w:rPr>
        <w:t>工程质量</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5A55ACA3">
      <w:pPr>
        <w:keepNext w:val="0"/>
        <w:keepLines w:val="0"/>
        <w:pageBreakBefore w:val="0"/>
        <w:numPr>
          <w:ilvl w:val="0"/>
          <w:numId w:val="0"/>
        </w:numPr>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eastAsia="zh-CN"/>
        </w:rPr>
        <w:t>施工安全</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223211D7">
      <w:pPr>
        <w:keepNext w:val="0"/>
        <w:keepLines w:val="0"/>
        <w:pageBreakBefore w:val="0"/>
        <w:numPr>
          <w:ilvl w:val="0"/>
          <w:numId w:val="0"/>
        </w:numPr>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eastAsia="zh-CN"/>
        </w:rPr>
        <w:t>工程进度</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349837AC">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165" w:name="_Toc351203637"/>
      <w:r>
        <w:rPr>
          <w:rFonts w:hint="eastAsia" w:ascii="宋体" w:hAnsi="宋体" w:eastAsia="宋体" w:cs="宋体"/>
          <w:b/>
          <w:bCs/>
          <w:color w:val="auto"/>
          <w:kern w:val="2"/>
          <w:sz w:val="24"/>
          <w:szCs w:val="24"/>
          <w:highlight w:val="none"/>
        </w:rPr>
        <w:t>5</w:t>
      </w:r>
      <w:bookmarkEnd w:id="164"/>
      <w:bookmarkStart w:id="166" w:name="_Toc297048349"/>
      <w:bookmarkStart w:id="167" w:name="_Toc296944502"/>
      <w:bookmarkStart w:id="168" w:name="_Toc296347162"/>
      <w:bookmarkStart w:id="169" w:name="_Toc296891203"/>
      <w:bookmarkStart w:id="170" w:name="_Toc292559367"/>
      <w:bookmarkStart w:id="171" w:name="_Toc292559872"/>
      <w:bookmarkStart w:id="172" w:name="_Toc296346664"/>
      <w:bookmarkStart w:id="173" w:name="_Toc297120463"/>
      <w:bookmarkStart w:id="174" w:name="_Toc296503163"/>
      <w:bookmarkStart w:id="175" w:name="_Toc296890991"/>
      <w:r>
        <w:rPr>
          <w:rFonts w:hint="eastAsia" w:ascii="宋体" w:hAnsi="宋体" w:eastAsia="宋体" w:cs="宋体"/>
          <w:b/>
          <w:bCs/>
          <w:color w:val="auto"/>
          <w:kern w:val="2"/>
          <w:sz w:val="24"/>
          <w:szCs w:val="24"/>
          <w:highlight w:val="none"/>
        </w:rPr>
        <w:t>. 工程质量</w:t>
      </w:r>
      <w:bookmarkEnd w:id="165"/>
    </w:p>
    <w:p w14:paraId="5455741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176" w:name="_Toc256000035"/>
      <w:r>
        <w:rPr>
          <w:rFonts w:hint="eastAsia" w:ascii="宋体" w:hAnsi="宋体" w:eastAsia="宋体" w:cs="宋体"/>
          <w:color w:val="auto"/>
          <w:kern w:val="2"/>
          <w:sz w:val="24"/>
          <w:szCs w:val="24"/>
          <w:highlight w:val="none"/>
        </w:rPr>
        <w:t>5.1 质量要求</w:t>
      </w:r>
      <w:bookmarkEnd w:id="176"/>
    </w:p>
    <w:p w14:paraId="4B8C095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5</w:t>
      </w:r>
      <w:bookmarkStart w:id="177" w:name="_Toc312677997"/>
      <w:bookmarkStart w:id="178" w:name="_Toc318581164"/>
      <w:bookmarkStart w:id="179" w:name="_Toc297216155"/>
      <w:bookmarkStart w:id="180" w:name="_Toc303539106"/>
      <w:bookmarkStart w:id="181" w:name="_Toc304295527"/>
      <w:bookmarkStart w:id="182" w:name="_Toc300934949"/>
      <w:bookmarkStart w:id="183" w:name="_Toc297123496"/>
      <w:r>
        <w:rPr>
          <w:rFonts w:hint="eastAsia" w:ascii="宋体" w:hAnsi="宋体" w:eastAsia="宋体" w:cs="宋体"/>
          <w:color w:val="auto"/>
          <w:kern w:val="2"/>
          <w:sz w:val="24"/>
          <w:szCs w:val="24"/>
          <w:highlight w:val="none"/>
        </w:rPr>
        <w:t>.1.1 特殊质量标准和要求：</w:t>
      </w:r>
      <w:r>
        <w:rPr>
          <w:rFonts w:hint="eastAsia" w:ascii="宋体" w:hAnsi="宋体" w:eastAsia="宋体" w:cs="宋体"/>
          <w:color w:val="auto"/>
          <w:kern w:val="2"/>
          <w:sz w:val="24"/>
          <w:szCs w:val="24"/>
          <w:highlight w:val="none"/>
          <w:u w:val="single"/>
        </w:rPr>
        <w:t>执行相关规定的同时，还须满足下列约定；</w:t>
      </w:r>
    </w:p>
    <w:p w14:paraId="1B36A47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1）施工过程中专业设备的采购及使用，需提前报业主审批，且专业设备需满足其对应的质量标准要求；</w:t>
      </w:r>
    </w:p>
    <w:p w14:paraId="31A8180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承包人必须严格按施工图纸及技术说明进行施工，未经发包人和设计单位同意不得修改；如确因设计图纸有误或施工原因需修改时，需经过发包人和设计单位、监理人同意，由设计单位发变更通知单方可施工。</w:t>
      </w:r>
    </w:p>
    <w:p w14:paraId="558B0FD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3）工程具备隐蔽条件或达到中间验收部位，承包人自检合格后，在隐蔽和中间验收48小时前通知发包人代表和总监理工程师参加。通知包括承包人自检记录、隐蔽和中间验收的内容、验收时间和地点。由承包人准备验收记录，经发包人代表和总监理工程师验收合格并在验收记录签字确认后，承包人方可进行隐蔽和继续施工。验收不合格，承包人在限定时间内整改后重新验收。整改后工程仍不合格的，发包人有权要求承包人再整改直至合格为止，延误的工期不予顺延，造成的损失全部由承包人承担。</w:t>
      </w:r>
    </w:p>
    <w:p w14:paraId="60F1AA9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4）无论发包人代表和总监理工程师是否参加验收，当其提出对已经验收的隐蔽工程重新检验的要求时，承包人应按要求进行剥露，并在检验后重新隐蔽或修复后隐蔽。</w:t>
      </w:r>
    </w:p>
    <w:p w14:paraId="569A238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关于工程奖项的约定：</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3E0A24A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184" w:name="_Toc256000036"/>
      <w:r>
        <w:rPr>
          <w:rFonts w:hint="eastAsia" w:ascii="宋体" w:hAnsi="宋体" w:eastAsia="宋体" w:cs="宋体"/>
          <w:color w:val="auto"/>
          <w:kern w:val="2"/>
          <w:sz w:val="24"/>
          <w:szCs w:val="24"/>
          <w:highlight w:val="none"/>
        </w:rPr>
        <w:t>5.3 隐蔽工程检查</w:t>
      </w:r>
      <w:bookmarkEnd w:id="184"/>
    </w:p>
    <w:p w14:paraId="310DCF4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5.3.2承包人提前通知监理人隐蔽工程检查的期限的约定：</w:t>
      </w:r>
      <w:r>
        <w:rPr>
          <w:rFonts w:hint="eastAsia" w:ascii="宋体" w:hAnsi="宋体" w:eastAsia="宋体" w:cs="宋体"/>
          <w:color w:val="auto"/>
          <w:kern w:val="2"/>
          <w:sz w:val="24"/>
          <w:szCs w:val="24"/>
          <w:highlight w:val="none"/>
          <w:u w:val="single"/>
          <w:lang w:eastAsia="zh-CN"/>
        </w:rPr>
        <w:t>按通合同条款</w:t>
      </w:r>
      <w:r>
        <w:rPr>
          <w:rFonts w:hint="eastAsia" w:ascii="宋体" w:hAnsi="宋体" w:eastAsia="宋体" w:cs="宋体"/>
          <w:color w:val="auto"/>
          <w:kern w:val="2"/>
          <w:sz w:val="24"/>
          <w:szCs w:val="24"/>
          <w:highlight w:val="none"/>
        </w:rPr>
        <w:t>。</w:t>
      </w:r>
    </w:p>
    <w:p w14:paraId="7A786D6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监理人不能按时进行检查时，应提前</w:t>
      </w:r>
      <w:r>
        <w:rPr>
          <w:rFonts w:hint="eastAsia" w:ascii="宋体" w:hAnsi="宋体" w:eastAsia="宋体" w:cs="宋体"/>
          <w:color w:val="auto"/>
          <w:kern w:val="2"/>
          <w:sz w:val="24"/>
          <w:szCs w:val="24"/>
          <w:highlight w:val="none"/>
          <w:u w:val="single"/>
        </w:rPr>
        <w:t xml:space="preserve">  24  </w:t>
      </w:r>
      <w:r>
        <w:rPr>
          <w:rFonts w:hint="eastAsia" w:ascii="宋体" w:hAnsi="宋体" w:eastAsia="宋体" w:cs="宋体"/>
          <w:color w:val="auto"/>
          <w:kern w:val="2"/>
          <w:sz w:val="24"/>
          <w:szCs w:val="24"/>
          <w:highlight w:val="none"/>
        </w:rPr>
        <w:t>小时提交书面延期要求。</w:t>
      </w:r>
    </w:p>
    <w:p w14:paraId="339468F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关于延期最长不得超过：</w:t>
      </w:r>
      <w:r>
        <w:rPr>
          <w:rFonts w:hint="eastAsia" w:ascii="宋体" w:hAnsi="宋体" w:eastAsia="宋体" w:cs="宋体"/>
          <w:color w:val="auto"/>
          <w:kern w:val="2"/>
          <w:sz w:val="24"/>
          <w:szCs w:val="24"/>
          <w:highlight w:val="none"/>
          <w:u w:val="single"/>
        </w:rPr>
        <w:t xml:space="preserve">  48 </w:t>
      </w:r>
      <w:r>
        <w:rPr>
          <w:rFonts w:hint="eastAsia" w:ascii="宋体" w:hAnsi="宋体" w:eastAsia="宋体" w:cs="宋体"/>
          <w:color w:val="auto"/>
          <w:kern w:val="2"/>
          <w:sz w:val="24"/>
          <w:szCs w:val="24"/>
          <w:highlight w:val="none"/>
        </w:rPr>
        <w:t>小时。</w:t>
      </w:r>
    </w:p>
    <w:p w14:paraId="75F17C35">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185" w:name="_Toc351203638"/>
      <w:r>
        <w:rPr>
          <w:rFonts w:hint="eastAsia" w:ascii="宋体" w:hAnsi="宋体" w:eastAsia="宋体" w:cs="宋体"/>
          <w:b/>
          <w:bCs/>
          <w:color w:val="auto"/>
          <w:kern w:val="2"/>
          <w:sz w:val="24"/>
          <w:szCs w:val="24"/>
          <w:highlight w:val="none"/>
        </w:rPr>
        <w:t>6. 安全文明施工与环境保护</w:t>
      </w:r>
      <w:bookmarkEnd w:id="185"/>
    </w:p>
    <w:p w14:paraId="5111ABF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6.1安全文明施工</w:t>
      </w:r>
    </w:p>
    <w:p w14:paraId="6768351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6.1.1 项目安全生产的达标目标及相应事项的约定：</w:t>
      </w:r>
    </w:p>
    <w:p w14:paraId="6C5D0F0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（1）全面按照所有留在现场的人员的安全，保持其管辖范围内的现场和尚未完工的和发包人尚未占用的工程出于有条不紊的状态，以免发生人身事故；</w:t>
      </w:r>
    </w:p>
    <w:p w14:paraId="78F08A4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（2）严格按张建发［201</w:t>
      </w:r>
      <w:r>
        <w:rPr>
          <w:rFonts w:hint="eastAsia" w:ascii="宋体" w:hAnsi="宋体" w:eastAsia="宋体" w:cs="宋体"/>
          <w:color w:val="auto"/>
          <w:kern w:val="2"/>
          <w:sz w:val="24"/>
          <w:szCs w:val="24"/>
          <w:highlight w:val="none"/>
          <w:u w:val="single"/>
          <w:lang w:val="en-US" w:eastAsia="zh-CN"/>
        </w:rPr>
        <w:t>7</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13</w:t>
      </w:r>
      <w:r>
        <w:rPr>
          <w:rFonts w:hint="eastAsia" w:ascii="宋体" w:hAnsi="宋体" w:eastAsia="宋体" w:cs="宋体"/>
          <w:color w:val="auto"/>
          <w:kern w:val="2"/>
          <w:sz w:val="24"/>
          <w:szCs w:val="24"/>
          <w:highlight w:val="none"/>
          <w:u w:val="single"/>
        </w:rPr>
        <w:t>号文件《张家界市建筑工程</w:t>
      </w:r>
      <w:r>
        <w:rPr>
          <w:rFonts w:hint="eastAsia" w:ascii="宋体" w:hAnsi="宋体" w:eastAsia="宋体" w:cs="宋体"/>
          <w:color w:val="auto"/>
          <w:kern w:val="2"/>
          <w:sz w:val="24"/>
          <w:szCs w:val="24"/>
          <w:highlight w:val="none"/>
          <w:u w:val="single"/>
          <w:lang w:eastAsia="zh-CN"/>
        </w:rPr>
        <w:t>渣土扬尘管理考核暂行办法</w:t>
      </w:r>
      <w:r>
        <w:rPr>
          <w:rFonts w:hint="eastAsia" w:ascii="宋体" w:hAnsi="宋体" w:eastAsia="宋体" w:cs="宋体"/>
          <w:color w:val="auto"/>
          <w:kern w:val="2"/>
          <w:sz w:val="24"/>
          <w:szCs w:val="24"/>
          <w:highlight w:val="none"/>
          <w:u w:val="single"/>
        </w:rPr>
        <w:t>》执行，对工程进行保护或为公众提供安全和方便。</w:t>
      </w:r>
    </w:p>
    <w:p w14:paraId="2F9F86C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（3）施工中发生安全责任事故，按通用条款6.1.9.2执行。。</w:t>
      </w:r>
    </w:p>
    <w:p w14:paraId="37D241C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6.1.4 关于治安保卫的特别约定：</w:t>
      </w:r>
    </w:p>
    <w:p w14:paraId="046F359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（1）现场建立治安管理机构或联防组织的协作约定：由发包方代表和承包方代表担任组长和副组长，由承包方代表组织成立治安联防小组。</w:t>
      </w:r>
    </w:p>
    <w:p w14:paraId="547484A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编制施工场地治安管理计划，制定对突发治安事件的紧急预案的协作工作的约定：无论在工程施工期间或者是在保修期间内，如果在工程的任何部分中发生事故或者其他事件，工程师认为进行紧急补救或其他工作或修理是工程安全的紧急需要，而承包人无能力或不愿立即进行此类工作或修理时，发包人可以工程师认为必须时，雇用其他人员从事该项工作或修理，并支付有关费用，如果工程师认为由发包人如此完成的工作或修理按规定应由承包人自费进行，则经与发包人和承包人商议后，工程师将确定此项工作的全部费用，并由发包人向承包人索回，发包人可从将付或应付给承包人的金额中扣除，工程师应通知承包人，并将一副本交发包人。但在发生上述情况后，工程师应尽快通知承包人。</w:t>
      </w:r>
    </w:p>
    <w:p w14:paraId="5ACD75F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关于编制施工场地治安管理计划的约定：</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1D360000">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6.1.5 文明施工</w:t>
      </w:r>
    </w:p>
    <w:p w14:paraId="60745E2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合同当事人对文明施工的要求：</w:t>
      </w:r>
    </w:p>
    <w:p w14:paraId="250DBD1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（1）承包人必须择请有资质、全封闭的运输车辆及时清运施工渣土，运输渣土、回填料的车辆不得沿途洒落，否则按【201</w:t>
      </w:r>
      <w:r>
        <w:rPr>
          <w:rFonts w:hint="eastAsia" w:ascii="宋体" w:hAnsi="宋体" w:eastAsia="宋体" w:cs="宋体"/>
          <w:color w:val="auto"/>
          <w:kern w:val="2"/>
          <w:sz w:val="24"/>
          <w:szCs w:val="24"/>
          <w:highlight w:val="none"/>
          <w:u w:val="single"/>
          <w:lang w:val="en-US" w:eastAsia="zh-CN"/>
        </w:rPr>
        <w:t>7</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13</w:t>
      </w:r>
      <w:r>
        <w:rPr>
          <w:rFonts w:hint="eastAsia" w:ascii="宋体" w:hAnsi="宋体" w:eastAsia="宋体" w:cs="宋体"/>
          <w:color w:val="auto"/>
          <w:kern w:val="2"/>
          <w:sz w:val="24"/>
          <w:szCs w:val="24"/>
          <w:highlight w:val="none"/>
          <w:u w:val="single"/>
        </w:rPr>
        <w:t>号《张家界市建筑工程</w:t>
      </w:r>
      <w:r>
        <w:rPr>
          <w:rFonts w:hint="eastAsia" w:ascii="宋体" w:hAnsi="宋体" w:eastAsia="宋体" w:cs="宋体"/>
          <w:color w:val="auto"/>
          <w:kern w:val="2"/>
          <w:sz w:val="24"/>
          <w:szCs w:val="24"/>
          <w:highlight w:val="none"/>
          <w:u w:val="single"/>
          <w:lang w:eastAsia="zh-CN"/>
        </w:rPr>
        <w:t>渣土扬尘管理考核暂行办法</w:t>
      </w:r>
      <w:r>
        <w:rPr>
          <w:rFonts w:hint="eastAsia" w:ascii="宋体" w:hAnsi="宋体" w:eastAsia="宋体" w:cs="宋体"/>
          <w:color w:val="auto"/>
          <w:kern w:val="2"/>
          <w:sz w:val="24"/>
          <w:szCs w:val="24"/>
          <w:highlight w:val="none"/>
          <w:u w:val="single"/>
        </w:rPr>
        <w:t>》、张</w:t>
      </w:r>
      <w:r>
        <w:rPr>
          <w:rFonts w:hint="eastAsia" w:ascii="宋体" w:hAnsi="宋体" w:eastAsia="宋体" w:cs="宋体"/>
          <w:color w:val="auto"/>
          <w:kern w:val="2"/>
          <w:sz w:val="24"/>
          <w:szCs w:val="24"/>
          <w:highlight w:val="none"/>
          <w:u w:val="single"/>
          <w:lang w:eastAsia="zh-CN"/>
        </w:rPr>
        <w:t>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8】</w:t>
      </w:r>
      <w:r>
        <w:rPr>
          <w:rFonts w:hint="eastAsia" w:ascii="宋体" w:hAnsi="宋体" w:eastAsia="宋体" w:cs="宋体"/>
          <w:color w:val="auto"/>
          <w:kern w:val="2"/>
          <w:sz w:val="24"/>
          <w:szCs w:val="24"/>
          <w:highlight w:val="none"/>
          <w:u w:val="single"/>
          <w:lang w:val="en-US" w:eastAsia="zh-CN"/>
        </w:rPr>
        <w:t>69</w:t>
      </w:r>
      <w:r>
        <w:rPr>
          <w:rFonts w:hint="eastAsia" w:ascii="宋体" w:hAnsi="宋体" w:eastAsia="宋体" w:cs="宋体"/>
          <w:color w:val="auto"/>
          <w:kern w:val="2"/>
          <w:sz w:val="24"/>
          <w:szCs w:val="24"/>
          <w:highlight w:val="none"/>
          <w:u w:val="single"/>
        </w:rPr>
        <w:t>号</w:t>
      </w:r>
      <w:r>
        <w:rPr>
          <w:rFonts w:hint="eastAsia" w:ascii="宋体" w:hAnsi="宋体" w:eastAsia="宋体" w:cs="宋体"/>
          <w:color w:val="auto"/>
          <w:kern w:val="2"/>
          <w:sz w:val="24"/>
          <w:szCs w:val="24"/>
          <w:highlight w:val="none"/>
          <w:u w:val="single"/>
          <w:lang w:eastAsia="zh-CN"/>
        </w:rPr>
        <w:t>《关于实施在建工地视频监控和扬尘在线监测的通知》及《张家界市扬尘污染防治条例》标准实施，否则按《张家界市扬尘污染防治条例》从严处罚</w:t>
      </w:r>
      <w:r>
        <w:rPr>
          <w:rFonts w:hint="eastAsia" w:ascii="宋体" w:hAnsi="宋体" w:eastAsia="宋体" w:cs="宋体"/>
          <w:color w:val="auto"/>
          <w:kern w:val="2"/>
          <w:sz w:val="24"/>
          <w:szCs w:val="24"/>
          <w:highlight w:val="none"/>
          <w:u w:val="single"/>
        </w:rPr>
        <w:t>。</w:t>
      </w:r>
    </w:p>
    <w:p w14:paraId="3F6C1AF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（2）渣土运输车辆出施工场地时须清洗和冲洗轮胎。</w:t>
      </w:r>
    </w:p>
    <w:p w14:paraId="4890664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（3）施工场地裸露地面须有遮挡和降尘具体措施。</w:t>
      </w:r>
    </w:p>
    <w:p w14:paraId="059C04D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6.1.6 关于安全文明施工费支付比例和支付期限的约定：</w:t>
      </w:r>
      <w:r>
        <w:rPr>
          <w:rFonts w:hint="eastAsia" w:ascii="宋体" w:hAnsi="宋体" w:eastAsia="宋体" w:cs="宋体"/>
          <w:color w:val="auto"/>
          <w:kern w:val="2"/>
          <w:sz w:val="24"/>
          <w:szCs w:val="24"/>
          <w:highlight w:val="none"/>
          <w:u w:val="single"/>
        </w:rPr>
        <w:t xml:space="preserve"> 按</w:t>
      </w:r>
      <w:r>
        <w:rPr>
          <w:rFonts w:hint="eastAsia" w:ascii="宋体" w:hAnsi="宋体" w:eastAsia="宋体" w:cs="宋体"/>
          <w:color w:val="auto"/>
          <w:kern w:val="2"/>
          <w:sz w:val="24"/>
          <w:szCs w:val="24"/>
          <w:highlight w:val="none"/>
          <w:u w:val="single"/>
          <w:lang w:eastAsia="zh-CN"/>
        </w:rPr>
        <w:t>相关管理条例规定执行</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0B1DC8F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6.1.</w:t>
      </w:r>
      <w:r>
        <w:rPr>
          <w:rFonts w:hint="eastAsia" w:ascii="宋体" w:hAnsi="宋体" w:eastAsia="宋体" w:cs="宋体"/>
          <w:color w:val="auto"/>
          <w:kern w:val="2"/>
          <w:sz w:val="24"/>
          <w:szCs w:val="24"/>
          <w:highlight w:val="none"/>
          <w:lang w:val="en-US" w:eastAsia="zh-CN"/>
        </w:rPr>
        <w:t>7 施工过程中发生的安全事故均由承包人负责。</w:t>
      </w:r>
    </w:p>
    <w:bookmarkEnd w:id="177"/>
    <w:bookmarkEnd w:id="178"/>
    <w:bookmarkEnd w:id="179"/>
    <w:bookmarkEnd w:id="180"/>
    <w:bookmarkEnd w:id="181"/>
    <w:bookmarkEnd w:id="182"/>
    <w:bookmarkEnd w:id="183"/>
    <w:p w14:paraId="3E06F455">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186" w:name="_Toc351203639"/>
      <w:r>
        <w:rPr>
          <w:rFonts w:hint="eastAsia" w:ascii="宋体" w:hAnsi="宋体" w:eastAsia="宋体" w:cs="宋体"/>
          <w:b/>
          <w:bCs/>
          <w:color w:val="auto"/>
          <w:kern w:val="2"/>
          <w:sz w:val="24"/>
          <w:szCs w:val="24"/>
          <w:highlight w:val="none"/>
        </w:rPr>
        <w:t>7. 工期和进度</w:t>
      </w:r>
      <w:bookmarkEnd w:id="186"/>
    </w:p>
    <w:p w14:paraId="193DA63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7.1 施工组织设计</w:t>
      </w:r>
    </w:p>
    <w:p w14:paraId="35B5B09D">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0FB8AF68">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6C1EF32C">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rPr>
        <w:t>。</w:t>
      </w:r>
    </w:p>
    <w:p w14:paraId="5623A79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发包人和监理人在收到详细的施工组织设计后确认或提出修改意见的期限：</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rPr>
        <w:t>。</w:t>
      </w:r>
    </w:p>
    <w:p w14:paraId="6E2DD4B4">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bookmarkStart w:id="187" w:name="_Toc303539123"/>
      <w:bookmarkStart w:id="188" w:name="_Toc297123514"/>
      <w:bookmarkStart w:id="189" w:name="_Toc300934966"/>
      <w:bookmarkStart w:id="190" w:name="_Toc312678005"/>
      <w:bookmarkStart w:id="191" w:name="_Toc312677479"/>
      <w:bookmarkStart w:id="192" w:name="_Toc304295541"/>
      <w:bookmarkStart w:id="193" w:name="_Toc297216173"/>
      <w:r>
        <w:rPr>
          <w:rFonts w:hint="eastAsia" w:ascii="宋体" w:hAnsi="宋体" w:eastAsia="宋体" w:cs="宋体"/>
          <w:color w:val="auto"/>
          <w:kern w:val="2"/>
          <w:sz w:val="24"/>
          <w:szCs w:val="24"/>
          <w:highlight w:val="none"/>
        </w:rPr>
        <w:t>.2 施工进度计划</w:t>
      </w:r>
    </w:p>
    <w:p w14:paraId="6C35507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7.2.2 施工进度计划的修订</w:t>
      </w:r>
    </w:p>
    <w:p w14:paraId="1B89F99B">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发包人和监理人在收到修订的施工进度计划后确认或提出修改意见的期限：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7F662BA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7.3 开工</w:t>
      </w:r>
    </w:p>
    <w:p w14:paraId="3BA0CD5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7.3.1 开工准备</w:t>
      </w:r>
    </w:p>
    <w:p w14:paraId="028E8CB4">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kern w:val="2"/>
          <w:sz w:val="24"/>
          <w:szCs w:val="24"/>
          <w:highlight w:val="none"/>
          <w:u w:val="single"/>
        </w:rPr>
        <w:t xml:space="preserve">  按通用合同条款</w:t>
      </w:r>
      <w:r>
        <w:rPr>
          <w:rFonts w:hint="eastAsia" w:ascii="宋体" w:hAnsi="宋体" w:eastAsia="宋体" w:cs="宋体"/>
          <w:color w:val="auto"/>
          <w:kern w:val="2"/>
          <w:sz w:val="24"/>
          <w:szCs w:val="24"/>
          <w:highlight w:val="none"/>
        </w:rPr>
        <w:t>。</w:t>
      </w:r>
    </w:p>
    <w:p w14:paraId="7E90ECDD">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关于发包人应完成的其他开工准备工作及期限：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6D447D48">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关于承包人应完成的其他开工准备工作及期限：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677161A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7.3.2开工通知</w:t>
      </w:r>
    </w:p>
    <w:p w14:paraId="2549820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因发包人原因造成监理人未能在计划开工日期之日起</w:t>
      </w:r>
      <w:r>
        <w:rPr>
          <w:rFonts w:hint="eastAsia" w:ascii="宋体" w:hAnsi="宋体" w:eastAsia="宋体" w:cs="宋体"/>
          <w:color w:val="auto"/>
          <w:kern w:val="2"/>
          <w:sz w:val="24"/>
          <w:szCs w:val="24"/>
          <w:highlight w:val="none"/>
          <w:u w:val="single"/>
        </w:rPr>
        <w:t xml:space="preserve"> 90 </w:t>
      </w:r>
      <w:r>
        <w:rPr>
          <w:rFonts w:hint="eastAsia" w:ascii="宋体" w:hAnsi="宋体" w:eastAsia="宋体" w:cs="宋体"/>
          <w:color w:val="auto"/>
          <w:kern w:val="2"/>
          <w:sz w:val="24"/>
          <w:szCs w:val="24"/>
          <w:highlight w:val="none"/>
        </w:rPr>
        <w:t>天内发出开工通知的，承包人有权提出价格调整要求，或者解除合同。</w:t>
      </w:r>
    </w:p>
    <w:bookmarkEnd w:id="187"/>
    <w:bookmarkEnd w:id="188"/>
    <w:bookmarkEnd w:id="189"/>
    <w:bookmarkEnd w:id="190"/>
    <w:bookmarkEnd w:id="191"/>
    <w:bookmarkEnd w:id="192"/>
    <w:bookmarkEnd w:id="193"/>
    <w:p w14:paraId="4C1692E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7.4 测量放线</w:t>
      </w:r>
    </w:p>
    <w:p w14:paraId="58E65C8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7.4.1发包人通过监理人向承包人提供测量基准点、基准线和水准点及其书面资料的期限：</w:t>
      </w:r>
      <w:r>
        <w:rPr>
          <w:rFonts w:hint="eastAsia" w:ascii="宋体" w:hAnsi="宋体" w:eastAsia="宋体" w:cs="宋体"/>
          <w:color w:val="auto"/>
          <w:kern w:val="2"/>
          <w:sz w:val="24"/>
          <w:szCs w:val="24"/>
          <w:highlight w:val="none"/>
          <w:u w:val="single"/>
        </w:rPr>
        <w:t>发包人负责在开工前7天将测量基准点、基准线和水准点以书面形式交给承包人,承包人在收到提供的以上资料后应及时申报复测方案、组织复测并提交复测报告</w:t>
      </w:r>
      <w:r>
        <w:rPr>
          <w:rFonts w:hint="eastAsia" w:ascii="宋体" w:hAnsi="宋体" w:eastAsia="宋体" w:cs="宋体"/>
          <w:color w:val="auto"/>
          <w:kern w:val="2"/>
          <w:sz w:val="24"/>
          <w:szCs w:val="24"/>
          <w:highlight w:val="none"/>
        </w:rPr>
        <w:t>。</w:t>
      </w:r>
    </w:p>
    <w:p w14:paraId="6F00EA5A">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bookmarkStart w:id="194" w:name="_Toc300934968"/>
      <w:bookmarkStart w:id="195" w:name="_Toc312677484"/>
      <w:bookmarkStart w:id="196" w:name="_Toc312678010"/>
      <w:bookmarkStart w:id="197" w:name="_Toc303539125"/>
      <w:bookmarkStart w:id="198" w:name="_Toc297123516"/>
      <w:bookmarkStart w:id="199" w:name="_Toc304295546"/>
      <w:bookmarkStart w:id="200" w:name="_Toc297216175"/>
      <w:r>
        <w:rPr>
          <w:rFonts w:hint="eastAsia" w:ascii="宋体" w:hAnsi="宋体" w:eastAsia="宋体" w:cs="宋体"/>
          <w:color w:val="auto"/>
          <w:kern w:val="2"/>
          <w:sz w:val="24"/>
          <w:szCs w:val="24"/>
          <w:highlight w:val="none"/>
        </w:rPr>
        <w:t>.5 工期延误</w:t>
      </w:r>
    </w:p>
    <w:bookmarkEnd w:id="194"/>
    <w:bookmarkEnd w:id="195"/>
    <w:bookmarkEnd w:id="196"/>
    <w:bookmarkEnd w:id="197"/>
    <w:bookmarkEnd w:id="198"/>
    <w:bookmarkEnd w:id="199"/>
    <w:bookmarkEnd w:id="200"/>
    <w:p w14:paraId="3962BB8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rPr>
      </w:pPr>
      <w:bookmarkStart w:id="201" w:name="_Toc312678014"/>
      <w:bookmarkStart w:id="202" w:name="_Toc318581171"/>
      <w:r>
        <w:rPr>
          <w:rFonts w:hint="eastAsia" w:ascii="宋体" w:hAnsi="宋体" w:eastAsia="宋体" w:cs="宋体"/>
          <w:color w:val="auto"/>
          <w:kern w:val="2"/>
          <w:sz w:val="24"/>
          <w:szCs w:val="24"/>
          <w:highlight w:val="none"/>
        </w:rPr>
        <w:t>7.5.1 因发包人原因导致工期延误</w:t>
      </w:r>
      <w:r>
        <w:rPr>
          <w:rFonts w:hint="eastAsia" w:ascii="宋体" w:hAnsi="宋体" w:eastAsia="宋体" w:cs="宋体"/>
          <w:color w:val="auto"/>
          <w:kern w:val="2"/>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rPr>
        <w:t>。</w:t>
      </w:r>
    </w:p>
    <w:p w14:paraId="7AF60FD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因承包人原因造成工期延误，逾期竣工违约金的上限：</w:t>
      </w:r>
      <w:r>
        <w:rPr>
          <w:rFonts w:hint="eastAsia" w:ascii="宋体" w:hAnsi="宋体" w:eastAsia="宋体" w:cs="宋体"/>
          <w:color w:val="auto"/>
          <w:kern w:val="2"/>
          <w:sz w:val="24"/>
          <w:szCs w:val="24"/>
          <w:highlight w:val="none"/>
          <w:u w:val="single"/>
          <w:lang w:val="en-US" w:eastAsia="zh-CN"/>
        </w:rPr>
        <w:t>总造价的2%</w:t>
      </w:r>
      <w:r>
        <w:rPr>
          <w:rFonts w:hint="eastAsia" w:ascii="宋体" w:hAnsi="宋体" w:eastAsia="宋体" w:cs="宋体"/>
          <w:color w:val="auto"/>
          <w:kern w:val="2"/>
          <w:sz w:val="24"/>
          <w:szCs w:val="24"/>
          <w:highlight w:val="none"/>
          <w:u w:val="none"/>
          <w:lang w:val="en-US" w:eastAsia="zh-CN"/>
        </w:rPr>
        <w:t>。</w:t>
      </w:r>
    </w:p>
    <w:p w14:paraId="2E961F4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7.5.2因承包人原因导致工期延误逾期竣工违约金的计算方法为：每延误一天合同工期，给予承包人</w:t>
      </w:r>
      <w:r>
        <w:rPr>
          <w:rFonts w:hint="eastAsia" w:ascii="宋体" w:hAnsi="宋体" w:eastAsia="宋体" w:cs="宋体"/>
          <w:color w:val="auto"/>
          <w:kern w:val="2"/>
          <w:sz w:val="24"/>
          <w:szCs w:val="24"/>
          <w:highlight w:val="none"/>
          <w:u w:val="single"/>
          <w:lang w:val="en-US" w:eastAsia="zh-CN"/>
        </w:rPr>
        <w:t>10000元/天</w:t>
      </w:r>
      <w:r>
        <w:rPr>
          <w:rFonts w:hint="eastAsia" w:ascii="宋体" w:hAnsi="宋体" w:eastAsia="宋体" w:cs="宋体"/>
          <w:color w:val="auto"/>
          <w:kern w:val="2"/>
          <w:sz w:val="24"/>
          <w:szCs w:val="24"/>
          <w:highlight w:val="none"/>
          <w:lang w:val="en-US" w:eastAsia="zh-CN"/>
        </w:rPr>
        <w:t>的处罚。</w:t>
      </w:r>
    </w:p>
    <w:bookmarkEnd w:id="201"/>
    <w:bookmarkEnd w:id="202"/>
    <w:p w14:paraId="5EF331A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bookmarkStart w:id="203" w:name="_Toc303539128"/>
      <w:bookmarkStart w:id="204" w:name="_Toc300934971"/>
      <w:bookmarkStart w:id="205" w:name="_Toc312678015"/>
      <w:bookmarkStart w:id="206" w:name="_Toc297216178"/>
      <w:bookmarkStart w:id="207" w:name="_Toc297123519"/>
      <w:bookmarkStart w:id="208" w:name="_Toc304295549"/>
      <w:r>
        <w:rPr>
          <w:rFonts w:hint="eastAsia" w:ascii="宋体" w:hAnsi="宋体" w:eastAsia="宋体" w:cs="宋体"/>
          <w:color w:val="auto"/>
          <w:kern w:val="2"/>
          <w:sz w:val="24"/>
          <w:szCs w:val="24"/>
          <w:highlight w:val="none"/>
        </w:rPr>
        <w:t>.6 不</w:t>
      </w:r>
      <w:bookmarkEnd w:id="203"/>
      <w:bookmarkEnd w:id="204"/>
      <w:bookmarkEnd w:id="205"/>
      <w:bookmarkEnd w:id="206"/>
      <w:bookmarkEnd w:id="207"/>
      <w:bookmarkEnd w:id="208"/>
      <w:r>
        <w:rPr>
          <w:rFonts w:hint="eastAsia" w:ascii="宋体" w:hAnsi="宋体" w:eastAsia="宋体" w:cs="宋体"/>
          <w:color w:val="auto"/>
          <w:kern w:val="2"/>
          <w:sz w:val="24"/>
          <w:szCs w:val="24"/>
          <w:highlight w:val="none"/>
        </w:rPr>
        <w:t>利物质条件</w:t>
      </w:r>
    </w:p>
    <w:p w14:paraId="4E3EE4E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bookmarkStart w:id="209" w:name="_Toc297123520"/>
      <w:bookmarkStart w:id="210" w:name="_Toc300934972"/>
      <w:bookmarkStart w:id="211" w:name="_Toc312678016"/>
      <w:bookmarkStart w:id="212" w:name="_Toc297216179"/>
      <w:bookmarkStart w:id="213" w:name="_Toc304295550"/>
      <w:bookmarkStart w:id="214" w:name="_Toc318581172"/>
      <w:bookmarkStart w:id="215" w:name="_Toc303539129"/>
      <w:r>
        <w:rPr>
          <w:rFonts w:hint="eastAsia" w:ascii="宋体" w:hAnsi="宋体" w:eastAsia="宋体" w:cs="宋体"/>
          <w:color w:val="auto"/>
          <w:kern w:val="2"/>
          <w:sz w:val="24"/>
          <w:szCs w:val="24"/>
          <w:highlight w:val="none"/>
        </w:rPr>
        <w:t>不利物质条件的其他情形和有关约定：</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u w:val="none"/>
        </w:rPr>
        <w:t>。</w:t>
      </w:r>
    </w:p>
    <w:bookmarkEnd w:id="209"/>
    <w:bookmarkEnd w:id="210"/>
    <w:bookmarkEnd w:id="211"/>
    <w:bookmarkEnd w:id="212"/>
    <w:bookmarkEnd w:id="213"/>
    <w:bookmarkEnd w:id="214"/>
    <w:bookmarkEnd w:id="215"/>
    <w:p w14:paraId="03F039E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bookmarkStart w:id="216" w:name="_Toc303539130"/>
      <w:bookmarkStart w:id="217" w:name="_Toc297123521"/>
      <w:bookmarkStart w:id="218" w:name="_Toc304295551"/>
      <w:bookmarkStart w:id="219" w:name="_Toc300934973"/>
      <w:bookmarkStart w:id="220" w:name="_Toc312678017"/>
      <w:bookmarkStart w:id="221" w:name="_Toc297216180"/>
      <w:r>
        <w:rPr>
          <w:rFonts w:hint="eastAsia" w:ascii="宋体" w:hAnsi="宋体" w:eastAsia="宋体" w:cs="宋体"/>
          <w:color w:val="auto"/>
          <w:kern w:val="2"/>
          <w:sz w:val="24"/>
          <w:szCs w:val="24"/>
          <w:highlight w:val="none"/>
        </w:rPr>
        <w:t>.7异常恶劣的气候条件</w:t>
      </w:r>
    </w:p>
    <w:bookmarkEnd w:id="216"/>
    <w:bookmarkEnd w:id="217"/>
    <w:bookmarkEnd w:id="218"/>
    <w:bookmarkEnd w:id="219"/>
    <w:bookmarkEnd w:id="220"/>
    <w:bookmarkEnd w:id="221"/>
    <w:p w14:paraId="15ABBAC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发包人和承包人同意以下情形视为异常恶劣的气候条件：</w:t>
      </w:r>
    </w:p>
    <w:p w14:paraId="76AF44E5">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（1）风速大于24.5m/s的10级以上台风灾害</w:t>
      </w:r>
    </w:p>
    <w:p w14:paraId="5E13BD23">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（2）日气温超过38℃的高温大于3天</w:t>
      </w:r>
    </w:p>
    <w:p w14:paraId="702573FC">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（3）日气温低于-5℃的严寒大于3天</w:t>
      </w:r>
    </w:p>
    <w:p w14:paraId="0B421A30">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（4）造成工程损坏的冰雹和大雪天气，日降</w:t>
      </w:r>
      <w:r>
        <w:rPr>
          <w:rFonts w:hint="eastAsia" w:ascii="宋体" w:hAnsi="宋体" w:eastAsia="宋体" w:cs="宋体"/>
          <w:color w:val="auto"/>
          <w:kern w:val="2"/>
          <w:sz w:val="24"/>
          <w:szCs w:val="24"/>
          <w:highlight w:val="none"/>
          <w:u w:val="single"/>
          <w:lang w:eastAsia="zh-CN"/>
        </w:rPr>
        <w:t>雪</w:t>
      </w:r>
      <w:r>
        <w:rPr>
          <w:rFonts w:hint="eastAsia" w:ascii="宋体" w:hAnsi="宋体" w:eastAsia="宋体" w:cs="宋体"/>
          <w:color w:val="auto"/>
          <w:kern w:val="2"/>
          <w:sz w:val="24"/>
          <w:szCs w:val="24"/>
          <w:highlight w:val="none"/>
          <w:u w:val="single"/>
        </w:rPr>
        <w:t>量大于10mm的天气持续2天以上</w:t>
      </w:r>
    </w:p>
    <w:p w14:paraId="4CF2B7FE">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其它异常恶劣气候灾害，以省市气象台发布的气象资料为准</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rPr>
        <w:t>。</w:t>
      </w:r>
    </w:p>
    <w:p w14:paraId="4384A94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222" w:name="_Toc256000037"/>
      <w:r>
        <w:rPr>
          <w:rFonts w:hint="eastAsia" w:ascii="宋体" w:hAnsi="宋体" w:eastAsia="宋体" w:cs="宋体"/>
          <w:color w:val="auto"/>
          <w:kern w:val="2"/>
          <w:sz w:val="24"/>
          <w:szCs w:val="24"/>
          <w:highlight w:val="none"/>
        </w:rPr>
        <w:t>7.9 提前竣工的奖励</w:t>
      </w:r>
      <w:bookmarkEnd w:id="222"/>
    </w:p>
    <w:p w14:paraId="5B98F2D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7.9.2提前竣工的奖励：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69BD093B">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223" w:name="_Toc351203640"/>
      <w:r>
        <w:rPr>
          <w:rFonts w:hint="eastAsia" w:ascii="宋体" w:hAnsi="宋体" w:eastAsia="宋体" w:cs="宋体"/>
          <w:b/>
          <w:bCs/>
          <w:color w:val="auto"/>
          <w:kern w:val="2"/>
          <w:sz w:val="24"/>
          <w:szCs w:val="24"/>
          <w:highlight w:val="none"/>
        </w:rPr>
        <w:t>8. 材料与设备</w:t>
      </w:r>
      <w:bookmarkEnd w:id="223"/>
    </w:p>
    <w:bookmarkEnd w:id="166"/>
    <w:bookmarkEnd w:id="167"/>
    <w:bookmarkEnd w:id="168"/>
    <w:bookmarkEnd w:id="169"/>
    <w:bookmarkEnd w:id="170"/>
    <w:bookmarkEnd w:id="171"/>
    <w:bookmarkEnd w:id="172"/>
    <w:bookmarkEnd w:id="173"/>
    <w:bookmarkEnd w:id="174"/>
    <w:bookmarkEnd w:id="175"/>
    <w:p w14:paraId="0DF152B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bookmarkStart w:id="224" w:name="_Toc297123527"/>
      <w:bookmarkStart w:id="225" w:name="_Toc297120467"/>
      <w:bookmarkStart w:id="226" w:name="_Toc292559372"/>
      <w:bookmarkStart w:id="227" w:name="_Toc296347166"/>
      <w:bookmarkStart w:id="228" w:name="_Toc297216186"/>
      <w:bookmarkStart w:id="229" w:name="_Toc312678019"/>
      <w:bookmarkStart w:id="230" w:name="_Toc312677493"/>
      <w:bookmarkStart w:id="231" w:name="_Toc296891207"/>
      <w:bookmarkStart w:id="232" w:name="_Toc296890995"/>
      <w:bookmarkStart w:id="233" w:name="_Toc303539136"/>
      <w:bookmarkStart w:id="234" w:name="_Toc292559877"/>
      <w:bookmarkStart w:id="235" w:name="_Toc296503167"/>
      <w:bookmarkStart w:id="236" w:name="_Toc296944506"/>
      <w:bookmarkStart w:id="237" w:name="_Toc280868654"/>
      <w:bookmarkStart w:id="238" w:name="_Toc296346668"/>
      <w:bookmarkStart w:id="239" w:name="_Toc300934979"/>
      <w:bookmarkStart w:id="240" w:name="_Toc297048353"/>
      <w:bookmarkStart w:id="241" w:name="_Toc304295556"/>
      <w:bookmarkStart w:id="242" w:name="_Toc267251424"/>
      <w:bookmarkStart w:id="243" w:name="_Toc280868655"/>
      <w:bookmarkStart w:id="244" w:name="_Toc280868656"/>
      <w:r>
        <w:rPr>
          <w:rFonts w:hint="eastAsia" w:ascii="宋体" w:hAnsi="宋体" w:eastAsia="宋体" w:cs="宋体"/>
          <w:color w:val="auto"/>
          <w:kern w:val="2"/>
          <w:sz w:val="24"/>
          <w:szCs w:val="24"/>
          <w:highlight w:val="none"/>
        </w:rPr>
        <w:t>.4材料与工程设备的保管与使用</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46994E6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bookmarkStart w:id="245" w:name="_Toc292559878"/>
      <w:bookmarkStart w:id="246" w:name="_Toc292559373"/>
      <w:bookmarkStart w:id="247" w:name="_Toc312677494"/>
      <w:bookmarkStart w:id="248" w:name="_Toc296347167"/>
      <w:bookmarkStart w:id="249" w:name="_Toc297123528"/>
      <w:bookmarkStart w:id="250" w:name="_Toc312678020"/>
      <w:bookmarkStart w:id="251" w:name="_Toc300934980"/>
      <w:bookmarkStart w:id="252" w:name="_Toc296944507"/>
      <w:bookmarkStart w:id="253" w:name="_Toc304295557"/>
      <w:bookmarkStart w:id="254" w:name="_Toc297120468"/>
      <w:bookmarkStart w:id="255" w:name="_Toc297048354"/>
      <w:bookmarkStart w:id="256" w:name="_Toc303539137"/>
      <w:bookmarkStart w:id="257" w:name="_Toc296890996"/>
      <w:bookmarkStart w:id="258" w:name="_Toc318581173"/>
      <w:bookmarkStart w:id="259" w:name="_Toc296503168"/>
      <w:bookmarkStart w:id="260" w:name="_Toc296346669"/>
      <w:bookmarkStart w:id="261" w:name="_Toc296891208"/>
      <w:bookmarkStart w:id="262" w:name="_Toc297216187"/>
      <w:r>
        <w:rPr>
          <w:rFonts w:hint="eastAsia" w:ascii="宋体" w:hAnsi="宋体" w:eastAsia="宋体" w:cs="宋体"/>
          <w:color w:val="auto"/>
          <w:kern w:val="2"/>
          <w:sz w:val="24"/>
          <w:szCs w:val="24"/>
          <w:highlight w:val="none"/>
        </w:rPr>
        <w:t>.4.1发包人供应的材料设备的保管费用的承担：</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本合同工程发包人不提供任何材料和设备，但业主对设备选型和材料品质有选择权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bookmarkEnd w:id="245"/>
      <w:bookmarkEnd w:id="246"/>
    </w:p>
    <w:p w14:paraId="676D7E0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263" w:name="_Toc256000038"/>
      <w:r>
        <w:rPr>
          <w:rFonts w:hint="eastAsia" w:ascii="宋体" w:hAnsi="宋体" w:eastAsia="宋体" w:cs="宋体"/>
          <w:color w:val="auto"/>
          <w:kern w:val="2"/>
          <w:sz w:val="24"/>
          <w:szCs w:val="24"/>
          <w:highlight w:val="none"/>
        </w:rPr>
        <w:t>8.6 样品</w:t>
      </w:r>
      <w:bookmarkEnd w:id="263"/>
    </w:p>
    <w:p w14:paraId="7372EE7C">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8.6.1样品的报送与封存</w:t>
      </w:r>
    </w:p>
    <w:p w14:paraId="5FDFCEBE">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kern w:val="2"/>
          <w:sz w:val="24"/>
          <w:szCs w:val="24"/>
          <w:highlight w:val="none"/>
          <w:u w:val="single"/>
          <w:lang w:eastAsia="zh-CN"/>
        </w:rPr>
        <w:t>按发包人现场规定执行</w:t>
      </w:r>
      <w:r>
        <w:rPr>
          <w:rFonts w:hint="eastAsia" w:ascii="宋体" w:hAnsi="宋体" w:eastAsia="宋体" w:cs="宋体"/>
          <w:color w:val="auto"/>
          <w:kern w:val="2"/>
          <w:sz w:val="24"/>
          <w:szCs w:val="24"/>
          <w:highlight w:val="none"/>
        </w:rPr>
        <w:t>。</w:t>
      </w:r>
    </w:p>
    <w:p w14:paraId="6EE40CF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264" w:name="_Toc256000039"/>
      <w:r>
        <w:rPr>
          <w:rFonts w:hint="eastAsia" w:ascii="宋体" w:hAnsi="宋体" w:eastAsia="宋体" w:cs="宋体"/>
          <w:color w:val="auto"/>
          <w:kern w:val="2"/>
          <w:sz w:val="24"/>
          <w:szCs w:val="24"/>
          <w:highlight w:val="none"/>
        </w:rPr>
        <w:t>8.8 施工设备和临时设施</w:t>
      </w:r>
      <w:bookmarkEnd w:id="264"/>
    </w:p>
    <w:p w14:paraId="59C0CE23">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8.8.1 承包人提供的施工设备和临时设施</w:t>
      </w:r>
    </w:p>
    <w:p w14:paraId="647B7810">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关于修建临时设施费用承担的约定：</w:t>
      </w:r>
      <w:r>
        <w:rPr>
          <w:rFonts w:hint="eastAsia" w:ascii="宋体" w:hAnsi="宋体" w:eastAsia="宋体" w:cs="宋体"/>
          <w:color w:val="auto"/>
          <w:kern w:val="2"/>
          <w:sz w:val="24"/>
          <w:szCs w:val="24"/>
          <w:highlight w:val="none"/>
          <w:u w:val="single"/>
        </w:rPr>
        <w:t>由承包人承担</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6E2BB848">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265" w:name="_Toc351203641"/>
      <w:r>
        <w:rPr>
          <w:rFonts w:hint="eastAsia" w:ascii="宋体" w:hAnsi="宋体" w:eastAsia="宋体" w:cs="宋体"/>
          <w:b/>
          <w:bCs/>
          <w:color w:val="auto"/>
          <w:kern w:val="2"/>
          <w:sz w:val="24"/>
          <w:szCs w:val="24"/>
          <w:highlight w:val="none"/>
        </w:rPr>
        <w:t>9</w:t>
      </w:r>
      <w:bookmarkEnd w:id="242"/>
      <w:bookmarkEnd w:id="243"/>
      <w:bookmarkEnd w:id="244"/>
      <w:bookmarkStart w:id="266" w:name="_Toc304295559"/>
      <w:bookmarkStart w:id="267" w:name="_Toc312677495"/>
      <w:bookmarkStart w:id="268" w:name="_Toc312678021"/>
      <w:bookmarkStart w:id="269" w:name="_Toc303539139"/>
      <w:bookmarkStart w:id="270" w:name="_Toc297123533"/>
      <w:bookmarkStart w:id="271" w:name="_Toc297216192"/>
      <w:bookmarkStart w:id="272" w:name="_Toc300934982"/>
      <w:bookmarkStart w:id="273" w:name="_Toc296891001"/>
      <w:bookmarkStart w:id="274" w:name="_Toc297120473"/>
      <w:bookmarkStart w:id="275" w:name="_Toc296347172"/>
      <w:bookmarkStart w:id="276" w:name="_Toc292559378"/>
      <w:bookmarkStart w:id="277" w:name="_Toc296891213"/>
      <w:bookmarkStart w:id="278" w:name="_Toc296944512"/>
      <w:bookmarkStart w:id="279" w:name="_Toc267251427"/>
      <w:bookmarkStart w:id="280" w:name="_Toc297048359"/>
      <w:bookmarkStart w:id="281" w:name="_Toc296503173"/>
      <w:bookmarkStart w:id="282" w:name="_Toc296346674"/>
      <w:bookmarkStart w:id="283" w:name="_Toc267251428"/>
      <w:bookmarkStart w:id="284" w:name="_Toc292559883"/>
      <w:r>
        <w:rPr>
          <w:rFonts w:hint="eastAsia" w:ascii="宋体" w:hAnsi="宋体" w:eastAsia="宋体" w:cs="宋体"/>
          <w:b/>
          <w:bCs/>
          <w:color w:val="auto"/>
          <w:kern w:val="2"/>
          <w:sz w:val="24"/>
          <w:szCs w:val="24"/>
          <w:highlight w:val="none"/>
        </w:rPr>
        <w:t>. 试验与检验</w:t>
      </w:r>
      <w:bookmarkEnd w:id="265"/>
    </w:p>
    <w:bookmarkEnd w:id="266"/>
    <w:bookmarkEnd w:id="267"/>
    <w:bookmarkEnd w:id="268"/>
    <w:bookmarkEnd w:id="269"/>
    <w:bookmarkEnd w:id="270"/>
    <w:bookmarkEnd w:id="271"/>
    <w:bookmarkEnd w:id="272"/>
    <w:p w14:paraId="2AA28E51">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bookmarkStart w:id="285" w:name="_Toc351203642"/>
      <w:r>
        <w:rPr>
          <w:rFonts w:hint="eastAsia" w:ascii="宋体" w:hAnsi="宋体" w:eastAsia="宋体" w:cs="宋体"/>
          <w:color w:val="auto"/>
          <w:kern w:val="2"/>
          <w:sz w:val="24"/>
          <w:szCs w:val="24"/>
          <w:highlight w:val="none"/>
          <w:lang w:eastAsia="zh-CN"/>
        </w:rPr>
        <w:t>试验与检验费用的约定：</w:t>
      </w:r>
      <w:r>
        <w:rPr>
          <w:rFonts w:hint="eastAsia" w:ascii="宋体" w:hAnsi="宋体" w:eastAsia="宋体" w:cs="宋体"/>
          <w:color w:val="auto"/>
          <w:kern w:val="2"/>
          <w:sz w:val="24"/>
          <w:szCs w:val="24"/>
          <w:highlight w:val="none"/>
          <w:u w:val="single"/>
          <w:lang w:eastAsia="zh-CN"/>
        </w:rPr>
        <w:t>投标报价中未包含且应由发包人承担的检测费用由发包人承担</w:t>
      </w:r>
      <w:r>
        <w:rPr>
          <w:rFonts w:hint="eastAsia" w:ascii="宋体" w:hAnsi="宋体" w:eastAsia="宋体" w:cs="宋体"/>
          <w:color w:val="auto"/>
          <w:kern w:val="2"/>
          <w:sz w:val="24"/>
          <w:szCs w:val="24"/>
          <w:highlight w:val="none"/>
          <w:lang w:eastAsia="zh-CN"/>
        </w:rPr>
        <w:t>。</w:t>
      </w:r>
    </w:p>
    <w:p w14:paraId="03BA47D0">
      <w:pPr>
        <w:keepNext w:val="0"/>
        <w:keepLines w:val="0"/>
        <w:pageBreakBefore w:val="0"/>
        <w:kinsoku/>
        <w:wordWrap/>
        <w:overflowPunct/>
        <w:topLinePunct w:val="0"/>
        <w:autoSpaceDE w:val="0"/>
        <w:autoSpaceDN w:val="0"/>
        <w:bidi w:val="0"/>
        <w:adjustRightInd w:val="0"/>
        <w:spacing w:line="480" w:lineRule="exact"/>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bookmarkEnd w:id="273"/>
      <w:bookmarkEnd w:id="274"/>
      <w:bookmarkEnd w:id="275"/>
      <w:bookmarkEnd w:id="276"/>
      <w:bookmarkEnd w:id="277"/>
      <w:bookmarkEnd w:id="278"/>
      <w:bookmarkEnd w:id="279"/>
      <w:bookmarkEnd w:id="280"/>
      <w:bookmarkEnd w:id="281"/>
      <w:bookmarkEnd w:id="282"/>
      <w:bookmarkEnd w:id="283"/>
      <w:bookmarkEnd w:id="284"/>
      <w:bookmarkStart w:id="286" w:name="_Toc297120493"/>
      <w:bookmarkStart w:id="287" w:name="_Toc292559903"/>
      <w:bookmarkStart w:id="288" w:name="_Toc300934989"/>
      <w:bookmarkStart w:id="289" w:name="_Toc296944532"/>
      <w:bookmarkStart w:id="290" w:name="_Toc304295566"/>
      <w:bookmarkStart w:id="291" w:name="_Toc296503193"/>
      <w:bookmarkStart w:id="292" w:name="_Toc303539146"/>
      <w:bookmarkStart w:id="293" w:name="_Toc297216199"/>
      <w:bookmarkStart w:id="294" w:name="_Toc296346694"/>
      <w:bookmarkStart w:id="295" w:name="_Toc296891233"/>
      <w:bookmarkStart w:id="296" w:name="_Toc292559398"/>
      <w:bookmarkStart w:id="297" w:name="_Toc296891021"/>
      <w:bookmarkStart w:id="298" w:name="_Toc297123540"/>
      <w:bookmarkStart w:id="299" w:name="_Toc297048379"/>
      <w:bookmarkStart w:id="300" w:name="_Toc296347192"/>
      <w:bookmarkStart w:id="301" w:name="_Toc312678025"/>
      <w:bookmarkStart w:id="302" w:name="_Toc312677499"/>
      <w:bookmarkStart w:id="303" w:name="_Toc267251440"/>
      <w:bookmarkStart w:id="304" w:name="_Toc267251433"/>
      <w:bookmarkStart w:id="305" w:name="_Toc267251441"/>
      <w:bookmarkStart w:id="306" w:name="_Toc267251435"/>
      <w:bookmarkStart w:id="307" w:name="_Toc267251439"/>
      <w:bookmarkStart w:id="308" w:name="_Toc267251437"/>
      <w:bookmarkStart w:id="309" w:name="_Toc267251442"/>
      <w:r>
        <w:rPr>
          <w:rFonts w:hint="eastAsia" w:ascii="宋体" w:hAnsi="宋体" w:eastAsia="宋体" w:cs="宋体"/>
          <w:b/>
          <w:bCs/>
          <w:color w:val="auto"/>
          <w:kern w:val="0"/>
          <w:sz w:val="24"/>
          <w:szCs w:val="24"/>
          <w:highlight w:val="none"/>
        </w:rPr>
        <w:t>0. 变更</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bookmarkEnd w:id="301"/>
    <w:bookmarkEnd w:id="302"/>
    <w:p w14:paraId="48D08872">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bookmarkStart w:id="310" w:name="_Toc296346695"/>
      <w:bookmarkStart w:id="311" w:name="_Toc296891022"/>
      <w:bookmarkStart w:id="312" w:name="_Toc312678026"/>
      <w:bookmarkStart w:id="313" w:name="_Toc304295567"/>
      <w:bookmarkStart w:id="314" w:name="_Toc292559399"/>
      <w:bookmarkStart w:id="315" w:name="_Toc292559904"/>
      <w:bookmarkStart w:id="316" w:name="_Toc303539147"/>
      <w:bookmarkStart w:id="317" w:name="_Toc297120494"/>
      <w:bookmarkStart w:id="318" w:name="_Toc296347193"/>
      <w:bookmarkStart w:id="319" w:name="_Toc312677500"/>
      <w:bookmarkStart w:id="320" w:name="_Toc296503194"/>
      <w:bookmarkStart w:id="321" w:name="_Toc297216200"/>
      <w:bookmarkStart w:id="322" w:name="_Toc297048380"/>
      <w:bookmarkStart w:id="323" w:name="_Toc296944533"/>
      <w:bookmarkStart w:id="324" w:name="_Toc296891234"/>
      <w:bookmarkStart w:id="325" w:name="_Toc300934990"/>
      <w:bookmarkStart w:id="326" w:name="_Toc297123541"/>
      <w:r>
        <w:rPr>
          <w:rFonts w:hint="eastAsia" w:ascii="宋体" w:hAnsi="宋体" w:eastAsia="宋体" w:cs="宋体"/>
          <w:color w:val="auto"/>
          <w:kern w:val="0"/>
          <w:sz w:val="24"/>
          <w:szCs w:val="24"/>
          <w:highlight w:val="none"/>
        </w:rPr>
        <w:t>0.1变更的范围</w:t>
      </w:r>
    </w:p>
    <w:p w14:paraId="631AA4E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关于变更的范围的约定：</w:t>
      </w:r>
    </w:p>
    <w:p w14:paraId="12960CA4">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10.1.1本项目原则上不作变动。</w:t>
      </w:r>
    </w:p>
    <w:p w14:paraId="021CD3E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u w:val="single"/>
        </w:rPr>
        <w:t>10.1.2发包人、承包人及监理均可提出合理化建议，一经采用，以设计单位提供的修改图纸为准，承包人必须无条件按设计变更图纸施工；涉及现场变更，技术处理由建设、监理、设计三方协定后实施</w:t>
      </w:r>
      <w:r>
        <w:rPr>
          <w:rFonts w:hint="eastAsia" w:ascii="宋体" w:hAnsi="宋体" w:eastAsia="宋体" w:cs="宋体"/>
          <w:color w:val="auto"/>
          <w:kern w:val="2"/>
          <w:sz w:val="24"/>
          <w:szCs w:val="24"/>
          <w:highlight w:val="none"/>
          <w:u w:val="single"/>
          <w:lang w:eastAsia="zh-CN"/>
        </w:rPr>
        <w:t>。由变更造成投资额超过合同价款，必须按</w:t>
      </w:r>
      <w:r>
        <w:rPr>
          <w:rFonts w:hint="eastAsia" w:ascii="宋体" w:hAnsi="宋体" w:eastAsia="宋体" w:cs="宋体"/>
          <w:color w:val="auto"/>
          <w:kern w:val="2"/>
          <w:sz w:val="24"/>
          <w:szCs w:val="24"/>
          <w:highlight w:val="none"/>
          <w:u w:val="single"/>
          <w:lang w:val="en-US" w:eastAsia="zh-CN"/>
        </w:rPr>
        <w:t>相关规定的程序报批</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none"/>
          <w:lang w:eastAsia="zh-CN"/>
        </w:rPr>
        <w:t>。</w:t>
      </w:r>
    </w:p>
    <w:p w14:paraId="2B0A8BF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10.2 变更的计价原则 </w:t>
      </w:r>
    </w:p>
    <w:p w14:paraId="4560834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对新增子目的综合单价的组价原则：</w:t>
      </w:r>
    </w:p>
    <w:p w14:paraId="7CF6F6E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中有类似于新增子目的综合单价，参照类似价格变更合同价款；</w:t>
      </w:r>
    </w:p>
    <w:p w14:paraId="7A93889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0000FF"/>
          <w:kern w:val="2"/>
          <w:sz w:val="24"/>
          <w:szCs w:val="24"/>
          <w:highlight w:val="none"/>
        </w:rPr>
      </w:pPr>
      <w:r>
        <w:rPr>
          <w:rFonts w:hint="eastAsia" w:ascii="宋体" w:hAnsi="宋体" w:eastAsia="宋体" w:cs="宋体"/>
          <w:color w:val="auto"/>
          <w:kern w:val="2"/>
          <w:sz w:val="24"/>
          <w:szCs w:val="24"/>
          <w:highlight w:val="none"/>
        </w:rPr>
        <w:t>②.</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中没有适用或类似于新增子目的综合单价，</w:t>
      </w:r>
      <w:r>
        <w:rPr>
          <w:rFonts w:hint="eastAsia" w:ascii="宋体" w:hAnsi="宋体" w:eastAsia="宋体" w:cs="宋体"/>
          <w:color w:val="0000FF"/>
          <w:kern w:val="2"/>
          <w:sz w:val="24"/>
          <w:szCs w:val="24"/>
          <w:highlight w:val="none"/>
        </w:rPr>
        <w:t>按湘建价【2020】56号及施工同期《张家界工程造价信息》规定的办法计价，其材料价格按后述规定执行：计价公式为：计算标准单价×（1-优惠率)，其中工程优惠率=1-投标报价/最高投标限价，计算后为该子目的综合单价。其材料价格：若</w:t>
      </w:r>
      <w:r>
        <w:rPr>
          <w:rFonts w:hint="eastAsia" w:ascii="宋体" w:hAnsi="宋体" w:eastAsia="宋体" w:cs="宋体"/>
          <w:color w:val="0000FF"/>
          <w:kern w:val="2"/>
          <w:sz w:val="24"/>
          <w:szCs w:val="24"/>
          <w:highlight w:val="none"/>
          <w:lang w:eastAsia="zh-CN"/>
        </w:rPr>
        <w:t>响应文件</w:t>
      </w:r>
      <w:r>
        <w:rPr>
          <w:rFonts w:hint="eastAsia" w:ascii="宋体" w:hAnsi="宋体" w:eastAsia="宋体" w:cs="宋体"/>
          <w:color w:val="0000FF"/>
          <w:kern w:val="2"/>
          <w:sz w:val="24"/>
          <w:szCs w:val="24"/>
          <w:highlight w:val="none"/>
        </w:rPr>
        <w:t>中有相同材料价格按</w:t>
      </w:r>
      <w:r>
        <w:rPr>
          <w:rFonts w:hint="eastAsia" w:ascii="宋体" w:hAnsi="宋体" w:eastAsia="宋体" w:cs="宋体"/>
          <w:color w:val="0000FF"/>
          <w:kern w:val="2"/>
          <w:sz w:val="24"/>
          <w:szCs w:val="24"/>
          <w:highlight w:val="none"/>
          <w:lang w:eastAsia="zh-CN"/>
        </w:rPr>
        <w:t>响应文件</w:t>
      </w:r>
      <w:r>
        <w:rPr>
          <w:rFonts w:hint="eastAsia" w:ascii="宋体" w:hAnsi="宋体" w:eastAsia="宋体" w:cs="宋体"/>
          <w:color w:val="0000FF"/>
          <w:kern w:val="2"/>
          <w:sz w:val="24"/>
          <w:szCs w:val="24"/>
          <w:highlight w:val="none"/>
        </w:rPr>
        <w:t>中价格执行；若</w:t>
      </w:r>
      <w:r>
        <w:rPr>
          <w:rFonts w:hint="eastAsia" w:ascii="宋体" w:hAnsi="宋体" w:eastAsia="宋体" w:cs="宋体"/>
          <w:color w:val="0000FF"/>
          <w:kern w:val="2"/>
          <w:sz w:val="24"/>
          <w:szCs w:val="24"/>
          <w:highlight w:val="none"/>
          <w:lang w:eastAsia="zh-CN"/>
        </w:rPr>
        <w:t>响应文件</w:t>
      </w:r>
      <w:r>
        <w:rPr>
          <w:rFonts w:hint="eastAsia" w:ascii="宋体" w:hAnsi="宋体" w:eastAsia="宋体" w:cs="宋体"/>
          <w:color w:val="0000FF"/>
          <w:kern w:val="2"/>
          <w:sz w:val="24"/>
          <w:szCs w:val="24"/>
          <w:highlight w:val="none"/>
        </w:rPr>
        <w:t>中没有相同价格材料价格，其价格按施工同期《张家界建设工程造价信息》执行：对均无上述参照价格的，由三方签证确认，三方签证的材料结算单价不下浮。(注；不可竞争费及税金不在下浮范围内)</w:t>
      </w:r>
    </w:p>
    <w:p w14:paraId="59FA46E4">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施工期间，</w:t>
      </w:r>
      <w:r>
        <w:rPr>
          <w:rFonts w:hint="eastAsia" w:ascii="宋体" w:hAnsi="宋体" w:eastAsia="宋体" w:cs="宋体"/>
          <w:color w:val="auto"/>
          <w:kern w:val="2"/>
          <w:sz w:val="24"/>
          <w:szCs w:val="24"/>
          <w:highlight w:val="none"/>
          <w:lang w:val="en-US" w:eastAsia="zh-CN"/>
        </w:rPr>
        <w:t>项目采购</w:t>
      </w:r>
      <w:r>
        <w:rPr>
          <w:rFonts w:hint="eastAsia" w:ascii="宋体" w:hAnsi="宋体" w:eastAsia="宋体" w:cs="宋体"/>
          <w:color w:val="auto"/>
          <w:kern w:val="2"/>
          <w:sz w:val="24"/>
          <w:szCs w:val="24"/>
          <w:highlight w:val="none"/>
        </w:rPr>
        <w:t>时发布的《材料暂估单价表》由发包人、投资方、监理据实签证，并据此结算；凡双方在《建设工程施工合同》中约定设备、材料价格变化等风险承担范围、幅度及超过约定范围、幅度时规定了调整办法的，按合同规定条款执行；合同中没有具体明确设备、材料价格风险范围、幅度的，有关单位在工程价款调整和工程结算时应按下列规定执行:对于招投标的建筑安装工程，以张家界市建设工程造价管理站各时期发布的材料预算价格为基础，土建及市政工程单项主要材料价格变化幅度正负超过3%时，装饰或安装工程材料价格变化幅度正负超过5%时，该项材料应全部调整，并保持投标报价时的优惠比例。</w:t>
      </w:r>
    </w:p>
    <w:p w14:paraId="7999ACE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10.2.</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非因不可抗力因素，承包方为完成本工程所发生的措施项目费按</w:t>
      </w:r>
      <w:r>
        <w:rPr>
          <w:rFonts w:hint="eastAsia" w:ascii="宋体" w:hAnsi="宋体" w:eastAsia="宋体" w:cs="宋体"/>
          <w:color w:val="auto"/>
          <w:kern w:val="2"/>
          <w:sz w:val="24"/>
          <w:szCs w:val="24"/>
          <w:highlight w:val="none"/>
          <w:lang w:eastAsia="zh-CN"/>
        </w:rPr>
        <w:t>（供应商报价）元包干（含冬雨季施工费），结算时不予调整（安全文明费除外）。</w:t>
      </w:r>
    </w:p>
    <w:p w14:paraId="2498EE4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不可预见费据实签证结算</w:t>
      </w:r>
    </w:p>
    <w:p w14:paraId="1958F8E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新增子目部分结算价款人工费系数按投标时相应的人工费系数标准执行；人工费系数有政策性调整时，文件发布后实施的工程量的人工费系数按新文件规定调整，但</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投标报价时的优惠比例应予保持。</w:t>
      </w:r>
    </w:p>
    <w:p w14:paraId="60CF176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10.4变更估价</w:t>
      </w:r>
    </w:p>
    <w:p w14:paraId="307751B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关于变更估价的约定：</w:t>
      </w:r>
      <w:r>
        <w:rPr>
          <w:rFonts w:hint="eastAsia" w:ascii="宋体" w:hAnsi="宋体" w:eastAsia="宋体" w:cs="宋体"/>
          <w:color w:val="auto"/>
          <w:kern w:val="2"/>
          <w:sz w:val="24"/>
          <w:szCs w:val="24"/>
          <w:highlight w:val="none"/>
          <w:u w:val="single"/>
          <w:lang w:eastAsia="zh-CN"/>
        </w:rPr>
        <w:t>按湘建价</w:t>
      </w:r>
      <w:r>
        <w:rPr>
          <w:rFonts w:hint="eastAsia" w:ascii="宋体" w:hAnsi="宋体" w:eastAsia="宋体" w:cs="宋体"/>
          <w:color w:val="auto"/>
          <w:kern w:val="2"/>
          <w:sz w:val="24"/>
          <w:szCs w:val="24"/>
          <w:highlight w:val="none"/>
          <w:u w:val="single"/>
          <w:lang w:val="en-US" w:eastAsia="zh-CN"/>
        </w:rPr>
        <w:t>[2020]56号执行</w:t>
      </w:r>
      <w:r>
        <w:rPr>
          <w:rFonts w:hint="eastAsia" w:ascii="宋体" w:hAnsi="宋体" w:eastAsia="宋体" w:cs="宋体"/>
          <w:color w:val="auto"/>
          <w:kern w:val="2"/>
          <w:sz w:val="24"/>
          <w:szCs w:val="24"/>
          <w:highlight w:val="none"/>
          <w:u w:val="none"/>
          <w:lang w:eastAsia="zh-CN"/>
        </w:rPr>
        <w:t>。</w:t>
      </w:r>
    </w:p>
    <w:p w14:paraId="7F4E2B6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Start w:id="327" w:name="_Toc297123544"/>
      <w:bookmarkStart w:id="328" w:name="_Toc292559402"/>
      <w:bookmarkStart w:id="329" w:name="_Toc297216203"/>
      <w:bookmarkStart w:id="330" w:name="_Toc296891237"/>
      <w:bookmarkStart w:id="331" w:name="_Toc296891025"/>
      <w:bookmarkStart w:id="332" w:name="_Toc292559907"/>
      <w:bookmarkStart w:id="333" w:name="_Toc296347196"/>
      <w:bookmarkStart w:id="334" w:name="_Toc297048383"/>
      <w:bookmarkStart w:id="335" w:name="_Toc297120497"/>
      <w:bookmarkStart w:id="336" w:name="_Toc300934993"/>
      <w:bookmarkStart w:id="337" w:name="_Toc296503197"/>
      <w:bookmarkStart w:id="338" w:name="_Toc303539150"/>
      <w:bookmarkStart w:id="339" w:name="_Toc296346698"/>
      <w:bookmarkStart w:id="340" w:name="_Toc296944536"/>
      <w:bookmarkStart w:id="341" w:name="_Toc312677503"/>
      <w:bookmarkStart w:id="342" w:name="_Toc312678029"/>
      <w:bookmarkStart w:id="343" w:name="_Toc304295570"/>
      <w:r>
        <w:rPr>
          <w:rFonts w:hint="eastAsia" w:ascii="宋体" w:hAnsi="宋体" w:eastAsia="宋体" w:cs="宋体"/>
          <w:color w:val="auto"/>
          <w:kern w:val="2"/>
          <w:sz w:val="24"/>
          <w:szCs w:val="24"/>
          <w:highlight w:val="none"/>
        </w:rPr>
        <w:t>0.5承</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4" w:name="_Toc300934994"/>
      <w:bookmarkStart w:id="345" w:name="_Toc297123545"/>
      <w:bookmarkStart w:id="346" w:name="_Toc297048389"/>
      <w:bookmarkStart w:id="347" w:name="_Toc297216204"/>
      <w:bookmarkStart w:id="348" w:name="_Toc297120503"/>
      <w:bookmarkStart w:id="349" w:name="_Toc296891031"/>
      <w:bookmarkStart w:id="350" w:name="_Toc296891243"/>
      <w:bookmarkStart w:id="351" w:name="_Toc296944542"/>
      <w:bookmarkStart w:id="352" w:name="_Toc303539151"/>
      <w:bookmarkStart w:id="353" w:name="_Toc296503203"/>
      <w:bookmarkStart w:id="354" w:name="_Toc296347202"/>
      <w:bookmarkStart w:id="355" w:name="_Toc292559408"/>
      <w:bookmarkStart w:id="356" w:name="_Toc292559913"/>
      <w:bookmarkStart w:id="357" w:name="_Toc296346704"/>
      <w:r>
        <w:rPr>
          <w:rFonts w:hint="eastAsia" w:ascii="宋体" w:hAnsi="宋体" w:eastAsia="宋体" w:cs="宋体"/>
          <w:color w:val="auto"/>
          <w:kern w:val="2"/>
          <w:sz w:val="24"/>
          <w:szCs w:val="24"/>
          <w:highlight w:val="none"/>
        </w:rPr>
        <w:t>包人的合理化建议</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3D1A2C4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监理人审查承包人合理化建议的期限：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5B559CF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发包人审批承包人合理化建议的期限：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387D6CA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承</w:t>
      </w:r>
      <w:bookmarkStart w:id="358" w:name="_Toc292559914"/>
      <w:bookmarkStart w:id="359" w:name="_Toc297048390"/>
      <w:bookmarkStart w:id="360" w:name="_Toc296891244"/>
      <w:bookmarkStart w:id="361" w:name="_Toc300934995"/>
      <w:bookmarkStart w:id="362" w:name="_Toc318581175"/>
      <w:bookmarkStart w:id="363" w:name="_Toc303539152"/>
      <w:bookmarkStart w:id="364" w:name="_Toc297216205"/>
      <w:bookmarkStart w:id="365" w:name="_Toc312677504"/>
      <w:bookmarkStart w:id="366" w:name="_Toc312678030"/>
      <w:bookmarkStart w:id="367" w:name="_Toc297120504"/>
      <w:bookmarkStart w:id="368" w:name="_Toc296346705"/>
      <w:bookmarkStart w:id="369" w:name="_Toc296891032"/>
      <w:bookmarkStart w:id="370" w:name="_Toc292559409"/>
      <w:bookmarkStart w:id="371" w:name="_Toc296347203"/>
      <w:bookmarkStart w:id="372" w:name="_Toc297123546"/>
      <w:bookmarkStart w:id="373" w:name="_Toc296944543"/>
      <w:bookmarkStart w:id="374" w:name="_Toc304295571"/>
      <w:bookmarkStart w:id="375" w:name="_Toc296503204"/>
      <w:r>
        <w:rPr>
          <w:rFonts w:hint="eastAsia" w:ascii="宋体" w:hAnsi="宋体" w:eastAsia="宋体" w:cs="宋体"/>
          <w:color w:val="auto"/>
          <w:kern w:val="2"/>
          <w:sz w:val="24"/>
          <w:szCs w:val="24"/>
          <w:highlight w:val="none"/>
        </w:rPr>
        <w:t>包人提出的合理化建议降低了合同价格或者提高了工程经济效益的奖励的方法和金额为：</w:t>
      </w:r>
      <w:r>
        <w:rPr>
          <w:rFonts w:hint="eastAsia" w:ascii="宋体" w:hAnsi="宋体" w:eastAsia="宋体" w:cs="宋体"/>
          <w:color w:val="auto"/>
          <w:kern w:val="2"/>
          <w:sz w:val="24"/>
          <w:szCs w:val="24"/>
          <w:highlight w:val="none"/>
          <w:u w:val="single"/>
        </w:rPr>
        <w:t>承包人提出的设计变更属于合理化建议的，发包人也不进行奖励</w:t>
      </w:r>
      <w:r>
        <w:rPr>
          <w:rFonts w:hint="eastAsia" w:ascii="宋体" w:hAnsi="宋体" w:eastAsia="宋体" w:cs="宋体"/>
          <w:color w:val="auto"/>
          <w:kern w:val="2"/>
          <w:sz w:val="24"/>
          <w:szCs w:val="24"/>
          <w:highlight w:val="none"/>
        </w:rPr>
        <w:t>。</w:t>
      </w: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776EB71F">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376" w:name="_Toc256000040"/>
      <w:r>
        <w:rPr>
          <w:rFonts w:hint="eastAsia" w:ascii="宋体" w:hAnsi="宋体" w:eastAsia="宋体" w:cs="宋体"/>
          <w:color w:val="auto"/>
          <w:kern w:val="2"/>
          <w:sz w:val="24"/>
          <w:szCs w:val="24"/>
          <w:highlight w:val="none"/>
        </w:rPr>
        <w:t>1</w:t>
      </w:r>
      <w:bookmarkStart w:id="377" w:name="_Toc297048385"/>
      <w:bookmarkStart w:id="378" w:name="_Toc312677507"/>
      <w:bookmarkStart w:id="379" w:name="_Toc300934997"/>
      <w:bookmarkStart w:id="380" w:name="_Toc292559909"/>
      <w:bookmarkStart w:id="381" w:name="_Toc296891239"/>
      <w:bookmarkStart w:id="382" w:name="_Toc312678033"/>
      <w:bookmarkStart w:id="383" w:name="_Toc304295574"/>
      <w:bookmarkStart w:id="384" w:name="_Toc297123548"/>
      <w:bookmarkStart w:id="385" w:name="_Toc296944538"/>
      <w:bookmarkStart w:id="386" w:name="_Toc303539154"/>
      <w:bookmarkStart w:id="387" w:name="_Toc296346700"/>
      <w:bookmarkStart w:id="388" w:name="_Toc296503199"/>
      <w:bookmarkStart w:id="389" w:name="_Toc296347198"/>
      <w:bookmarkStart w:id="390" w:name="_Toc297216207"/>
      <w:bookmarkStart w:id="391" w:name="_Toc292559404"/>
      <w:bookmarkStart w:id="392" w:name="_Toc296891027"/>
      <w:bookmarkStart w:id="393" w:name="_Toc297120499"/>
      <w:r>
        <w:rPr>
          <w:rFonts w:hint="eastAsia" w:ascii="宋体" w:hAnsi="宋体" w:eastAsia="宋体" w:cs="宋体"/>
          <w:color w:val="auto"/>
          <w:kern w:val="2"/>
          <w:sz w:val="24"/>
          <w:szCs w:val="24"/>
          <w:highlight w:val="none"/>
        </w:rPr>
        <w:t>0.7 暂估价</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443F40E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暂</w:t>
      </w:r>
      <w:bookmarkStart w:id="394" w:name="_Toc318581176"/>
      <w:bookmarkStart w:id="395" w:name="_Toc312677508"/>
      <w:bookmarkStart w:id="396" w:name="_Toc312678034"/>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kern w:val="2"/>
          <w:sz w:val="24"/>
          <w:szCs w:val="24"/>
          <w:highlight w:val="none"/>
        </w:rPr>
        <w:t>暂估价一览表》</w:t>
      </w:r>
      <w:r>
        <w:rPr>
          <w:rFonts w:hint="eastAsia" w:ascii="宋体" w:hAnsi="宋体" w:eastAsia="宋体" w:cs="宋体"/>
          <w:color w:val="auto"/>
          <w:kern w:val="0"/>
          <w:sz w:val="24"/>
          <w:szCs w:val="24"/>
          <w:highlight w:val="none"/>
        </w:rPr>
        <w:t>。</w:t>
      </w:r>
    </w:p>
    <w:bookmarkEnd w:id="394"/>
    <w:bookmarkEnd w:id="395"/>
    <w:bookmarkEnd w:id="396"/>
    <w:p w14:paraId="17698C3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bookmarkStart w:id="397" w:name="_Toc312677509"/>
      <w:bookmarkStart w:id="398" w:name="_Toc312678035"/>
      <w:bookmarkStart w:id="399" w:name="_Toc318581177"/>
      <w:r>
        <w:rPr>
          <w:rFonts w:hint="eastAsia" w:ascii="宋体" w:hAnsi="宋体" w:eastAsia="宋体" w:cs="宋体"/>
          <w:color w:val="auto"/>
          <w:kern w:val="2"/>
          <w:sz w:val="24"/>
          <w:szCs w:val="24"/>
          <w:highlight w:val="none"/>
        </w:rPr>
        <w:t>0.7.1 依法必须招标的暂估价项目</w:t>
      </w:r>
    </w:p>
    <w:bookmarkEnd w:id="397"/>
    <w:bookmarkEnd w:id="398"/>
    <w:bookmarkEnd w:id="399"/>
    <w:p w14:paraId="5AB9C74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对于依法必须招标的暂估价项目的确认和批准采取第</w:t>
      </w:r>
      <w:r>
        <w:rPr>
          <w:rFonts w:hint="eastAsia" w:ascii="宋体" w:hAnsi="宋体" w:eastAsia="宋体" w:cs="宋体"/>
          <w:color w:val="auto"/>
          <w:kern w:val="2"/>
          <w:sz w:val="24"/>
          <w:szCs w:val="24"/>
          <w:highlight w:val="none"/>
          <w:u w:val="single"/>
        </w:rPr>
        <w:t>通用条款的第1种</w:t>
      </w:r>
      <w:r>
        <w:rPr>
          <w:rFonts w:hint="eastAsia" w:ascii="宋体" w:hAnsi="宋体" w:eastAsia="宋体" w:cs="宋体"/>
          <w:color w:val="auto"/>
          <w:kern w:val="2"/>
          <w:sz w:val="24"/>
          <w:szCs w:val="24"/>
          <w:highlight w:val="none"/>
        </w:rPr>
        <w:t>方式确定。</w:t>
      </w:r>
    </w:p>
    <w:p w14:paraId="50B8BE8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10.7.2 不属于依法必须招标的暂估价项目</w:t>
      </w:r>
    </w:p>
    <w:p w14:paraId="02089AF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对于不属于依法必须招标的暂估价项目的确认和批准采取第</w:t>
      </w:r>
      <w:r>
        <w:rPr>
          <w:rFonts w:hint="eastAsia" w:ascii="宋体" w:hAnsi="宋体" w:eastAsia="宋体" w:cs="宋体"/>
          <w:color w:val="auto"/>
          <w:kern w:val="2"/>
          <w:sz w:val="24"/>
          <w:szCs w:val="24"/>
          <w:highlight w:val="none"/>
          <w:u w:val="single"/>
        </w:rPr>
        <w:t>通用条款的第1 种</w:t>
      </w:r>
      <w:r>
        <w:rPr>
          <w:rFonts w:hint="eastAsia" w:ascii="宋体" w:hAnsi="宋体" w:eastAsia="宋体" w:cs="宋体"/>
          <w:color w:val="auto"/>
          <w:kern w:val="2"/>
          <w:sz w:val="24"/>
          <w:szCs w:val="24"/>
          <w:highlight w:val="none"/>
        </w:rPr>
        <w:t>方式确定。</w:t>
      </w:r>
    </w:p>
    <w:p w14:paraId="692330C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41E824F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承包人直接实施的暂估价项目的约定：</w:t>
      </w:r>
      <w:r>
        <w:rPr>
          <w:rFonts w:hint="eastAsia" w:ascii="宋体" w:hAnsi="宋体" w:eastAsia="宋体" w:cs="宋体"/>
          <w:color w:val="auto"/>
          <w:kern w:val="2"/>
          <w:sz w:val="24"/>
          <w:szCs w:val="24"/>
          <w:highlight w:val="none"/>
          <w:u w:val="single"/>
        </w:rPr>
        <w:t>按通用合同条款。即：按省住建厅《湖南省建设工程计价办法》（湘建价【20</w:t>
      </w:r>
      <w:r>
        <w:rPr>
          <w:rFonts w:hint="eastAsia" w:ascii="宋体" w:hAnsi="宋体" w:eastAsia="宋体" w:cs="宋体"/>
          <w:color w:val="auto"/>
          <w:kern w:val="2"/>
          <w:sz w:val="24"/>
          <w:szCs w:val="24"/>
          <w:highlight w:val="none"/>
          <w:u w:val="single"/>
          <w:lang w:val="en-US" w:eastAsia="zh-CN"/>
        </w:rPr>
        <w:t>20</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56</w:t>
      </w:r>
      <w:r>
        <w:rPr>
          <w:rFonts w:hint="eastAsia" w:ascii="宋体" w:hAnsi="宋体" w:eastAsia="宋体" w:cs="宋体"/>
          <w:color w:val="auto"/>
          <w:kern w:val="2"/>
          <w:sz w:val="24"/>
          <w:szCs w:val="24"/>
          <w:highlight w:val="none"/>
          <w:u w:val="single"/>
        </w:rPr>
        <w:t>号）第九章第九节暂估价的规定执行</w:t>
      </w:r>
      <w:r>
        <w:rPr>
          <w:rFonts w:hint="eastAsia" w:ascii="宋体" w:hAnsi="宋体" w:eastAsia="宋体" w:cs="宋体"/>
          <w:color w:val="auto"/>
          <w:kern w:val="2"/>
          <w:sz w:val="24"/>
          <w:szCs w:val="24"/>
          <w:highlight w:val="none"/>
        </w:rPr>
        <w:t>。</w:t>
      </w:r>
    </w:p>
    <w:p w14:paraId="5F81AA38">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10.8 暂列金额</w:t>
      </w:r>
    </w:p>
    <w:p w14:paraId="0B90770A">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0"/>
          <w:sz w:val="24"/>
          <w:szCs w:val="24"/>
          <w:highlight w:val="none"/>
        </w:rPr>
        <w:t>。</w:t>
      </w:r>
    </w:p>
    <w:p w14:paraId="6F8F60CE">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400" w:name="_Toc351203643"/>
      <w:r>
        <w:rPr>
          <w:rFonts w:hint="eastAsia" w:ascii="宋体" w:hAnsi="宋体" w:eastAsia="宋体" w:cs="宋体"/>
          <w:b/>
          <w:bCs/>
          <w:color w:val="auto"/>
          <w:kern w:val="2"/>
          <w:sz w:val="24"/>
          <w:szCs w:val="24"/>
          <w:highlight w:val="none"/>
        </w:rPr>
        <w:t>11. 价格调整</w:t>
      </w:r>
      <w:bookmarkEnd w:id="400"/>
    </w:p>
    <w:p w14:paraId="4A06684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11.1物价波动引起的价格调整</w:t>
      </w:r>
    </w:p>
    <w:p w14:paraId="42F7F415">
      <w:pPr>
        <w:keepNext w:val="0"/>
        <w:keepLines w:val="0"/>
        <w:pageBreakBefore w:val="0"/>
        <w:numPr>
          <w:ilvl w:val="0"/>
          <w:numId w:val="0"/>
        </w:numPr>
        <w:kinsoku/>
        <w:wordWrap/>
        <w:overflowPunct/>
        <w:topLinePunct w:val="0"/>
        <w:autoSpaceDE w:val="0"/>
        <w:autoSpaceDN w:val="0"/>
        <w:bidi w:val="0"/>
        <w:adjustRightInd w:val="0"/>
        <w:spacing w:line="48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kern w:val="0"/>
          <w:sz w:val="24"/>
          <w:szCs w:val="24"/>
          <w:highlight w:val="none"/>
          <w:lang w:val="en-US" w:eastAsia="zh-CN"/>
        </w:rPr>
        <w:t>否</w:t>
      </w:r>
    </w:p>
    <w:p w14:paraId="0984D835">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其他价格调整方式：</w:t>
      </w:r>
      <w:r>
        <w:rPr>
          <w:rFonts w:hint="eastAsia" w:ascii="宋体" w:hAnsi="宋体" w:eastAsia="宋体" w:cs="宋体"/>
          <w:color w:val="auto"/>
          <w:kern w:val="0"/>
          <w:sz w:val="24"/>
          <w:szCs w:val="24"/>
          <w:highlight w:val="none"/>
          <w:lang w:val="en-US" w:eastAsia="zh-CN"/>
        </w:rPr>
        <w:t>否</w:t>
      </w:r>
    </w:p>
    <w:bookmarkEnd w:id="303"/>
    <w:bookmarkEnd w:id="304"/>
    <w:bookmarkEnd w:id="305"/>
    <w:bookmarkEnd w:id="306"/>
    <w:bookmarkEnd w:id="307"/>
    <w:bookmarkEnd w:id="308"/>
    <w:p w14:paraId="270369E4">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401" w:name="_Toc296944544"/>
      <w:bookmarkStart w:id="402" w:name="_Toc296347204"/>
      <w:bookmarkStart w:id="403" w:name="_Toc292559410"/>
      <w:bookmarkStart w:id="404" w:name="_Toc296891245"/>
      <w:bookmarkStart w:id="405" w:name="_Toc292559915"/>
      <w:bookmarkStart w:id="406" w:name="_Toc296891033"/>
      <w:bookmarkStart w:id="407" w:name="_Toc297120505"/>
      <w:bookmarkStart w:id="408" w:name="_Toc296346706"/>
      <w:bookmarkStart w:id="409" w:name="_Toc296503205"/>
      <w:bookmarkStart w:id="410" w:name="_Toc297048391"/>
      <w:bookmarkStart w:id="411" w:name="_Toc351203644"/>
      <w:bookmarkStart w:id="412" w:name="_Toc297123552"/>
      <w:bookmarkStart w:id="413" w:name="_Toc304295579"/>
      <w:bookmarkStart w:id="414" w:name="_Toc303539159"/>
      <w:bookmarkStart w:id="415" w:name="_Toc297216211"/>
      <w:bookmarkStart w:id="416" w:name="_Toc312678040"/>
      <w:bookmarkStart w:id="417" w:name="_Toc300935002"/>
      <w:r>
        <w:rPr>
          <w:rFonts w:hint="eastAsia" w:ascii="宋体" w:hAnsi="宋体" w:eastAsia="宋体" w:cs="宋体"/>
          <w:b/>
          <w:bCs/>
          <w:color w:val="auto"/>
          <w:kern w:val="2"/>
          <w:sz w:val="24"/>
          <w:szCs w:val="24"/>
          <w:highlight w:val="none"/>
        </w:rPr>
        <w:t xml:space="preserve">12. </w:t>
      </w:r>
      <w:bookmarkEnd w:id="401"/>
      <w:bookmarkEnd w:id="402"/>
      <w:bookmarkEnd w:id="403"/>
      <w:bookmarkEnd w:id="404"/>
      <w:bookmarkEnd w:id="405"/>
      <w:bookmarkEnd w:id="406"/>
      <w:bookmarkEnd w:id="407"/>
      <w:bookmarkEnd w:id="408"/>
      <w:bookmarkEnd w:id="409"/>
      <w:bookmarkEnd w:id="410"/>
      <w:r>
        <w:rPr>
          <w:rFonts w:hint="eastAsia" w:ascii="宋体" w:hAnsi="宋体" w:eastAsia="宋体" w:cs="宋体"/>
          <w:b/>
          <w:bCs/>
          <w:color w:val="auto"/>
          <w:kern w:val="2"/>
          <w:sz w:val="24"/>
          <w:szCs w:val="24"/>
          <w:highlight w:val="none"/>
        </w:rPr>
        <w:t>合同价格、计量与支付</w:t>
      </w:r>
      <w:bookmarkEnd w:id="411"/>
    </w:p>
    <w:bookmarkEnd w:id="412"/>
    <w:bookmarkEnd w:id="413"/>
    <w:bookmarkEnd w:id="414"/>
    <w:bookmarkEnd w:id="415"/>
    <w:bookmarkEnd w:id="416"/>
    <w:bookmarkEnd w:id="417"/>
    <w:p w14:paraId="15836FF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418" w:name="_Toc267251461"/>
      <w:bookmarkStart w:id="419" w:name="_Toc292559916"/>
      <w:bookmarkStart w:id="420" w:name="_Toc292559411"/>
      <w:bookmarkStart w:id="421" w:name="_Toc297048392"/>
      <w:bookmarkStart w:id="422" w:name="_Toc296346707"/>
      <w:bookmarkStart w:id="423" w:name="_Toc296503206"/>
      <w:bookmarkStart w:id="424" w:name="_Toc297120506"/>
      <w:bookmarkStart w:id="425" w:name="_Toc296891034"/>
      <w:bookmarkStart w:id="426" w:name="_Toc296891246"/>
      <w:bookmarkStart w:id="427" w:name="_Toc296944545"/>
      <w:bookmarkStart w:id="428" w:name="_Toc296347205"/>
      <w:bookmarkStart w:id="429" w:name="_Toc300935003"/>
      <w:bookmarkStart w:id="430" w:name="_Toc304295580"/>
      <w:bookmarkStart w:id="431" w:name="_Toc303539160"/>
      <w:bookmarkStart w:id="432" w:name="_Toc297123553"/>
      <w:bookmarkStart w:id="433" w:name="_Toc297216212"/>
      <w:bookmarkStart w:id="434" w:name="_Toc312678041"/>
      <w:r>
        <w:rPr>
          <w:rFonts w:hint="eastAsia" w:ascii="宋体" w:hAnsi="宋体" w:eastAsia="宋体" w:cs="宋体"/>
          <w:color w:val="auto"/>
          <w:kern w:val="2"/>
          <w:sz w:val="24"/>
          <w:szCs w:val="24"/>
          <w:highlight w:val="none"/>
        </w:rPr>
        <w:t>12.1 合</w:t>
      </w:r>
      <w:bookmarkEnd w:id="418"/>
      <w:bookmarkEnd w:id="419"/>
      <w:bookmarkEnd w:id="420"/>
      <w:r>
        <w:rPr>
          <w:rFonts w:hint="eastAsia" w:ascii="宋体" w:hAnsi="宋体" w:eastAsia="宋体" w:cs="宋体"/>
          <w:color w:val="auto"/>
          <w:kern w:val="2"/>
          <w:sz w:val="24"/>
          <w:szCs w:val="24"/>
          <w:highlight w:val="none"/>
        </w:rPr>
        <w:t>同价</w:t>
      </w:r>
      <w:bookmarkEnd w:id="421"/>
      <w:bookmarkEnd w:id="422"/>
      <w:bookmarkEnd w:id="423"/>
      <w:bookmarkEnd w:id="424"/>
      <w:bookmarkEnd w:id="425"/>
      <w:bookmarkEnd w:id="426"/>
      <w:bookmarkEnd w:id="427"/>
      <w:bookmarkEnd w:id="428"/>
      <w:r>
        <w:rPr>
          <w:rFonts w:hint="eastAsia" w:ascii="宋体" w:hAnsi="宋体" w:eastAsia="宋体" w:cs="宋体"/>
          <w:color w:val="auto"/>
          <w:kern w:val="2"/>
          <w:sz w:val="24"/>
          <w:szCs w:val="24"/>
          <w:highlight w:val="none"/>
        </w:rPr>
        <w:t>格形式</w:t>
      </w:r>
    </w:p>
    <w:bookmarkEnd w:id="429"/>
    <w:bookmarkEnd w:id="430"/>
    <w:bookmarkEnd w:id="431"/>
    <w:bookmarkEnd w:id="432"/>
    <w:bookmarkEnd w:id="433"/>
    <w:bookmarkEnd w:id="434"/>
    <w:p w14:paraId="7014DC6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1、单价合同。</w:t>
      </w:r>
    </w:p>
    <w:p w14:paraId="64A448B2">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合同价格形式（</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文件增加）</w:t>
      </w:r>
    </w:p>
    <w:p w14:paraId="2C5EF2E7">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发包人和承包人应在合同协议书中选择下列一种合同价格形式： </w:t>
      </w:r>
    </w:p>
    <w:p w14:paraId="3148690B">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1.单价合同 </w:t>
      </w:r>
    </w:p>
    <w:p w14:paraId="5CAA5FEF">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综合单价包含的风险范围：</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0"/>
          <w:sz w:val="24"/>
          <w:szCs w:val="24"/>
          <w:highlight w:val="none"/>
        </w:rPr>
        <w:t>。</w:t>
      </w:r>
    </w:p>
    <w:p w14:paraId="67B3B9DB">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风险费用的计算方法：：</w:t>
      </w:r>
      <w:r>
        <w:rPr>
          <w:rFonts w:hint="eastAsia" w:ascii="宋体" w:hAnsi="宋体" w:eastAsia="宋体" w:cs="宋体"/>
          <w:color w:val="auto"/>
          <w:kern w:val="2"/>
          <w:sz w:val="24"/>
          <w:szCs w:val="24"/>
          <w:highlight w:val="none"/>
          <w:u w:val="single"/>
          <w:lang w:val="en-US" w:eastAsia="zh-CN"/>
        </w:rPr>
        <w:t>/</w:t>
      </w:r>
    </w:p>
    <w:p w14:paraId="7335D12E">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0"/>
          <w:sz w:val="24"/>
          <w:szCs w:val="24"/>
          <w:highlight w:val="none"/>
        </w:rPr>
        <w:t>风险范围以外合同价格的调整方法：</w:t>
      </w:r>
      <w:r>
        <w:rPr>
          <w:rFonts w:hint="eastAsia" w:ascii="宋体" w:hAnsi="宋体" w:eastAsia="宋体" w:cs="宋体"/>
          <w:color w:val="auto"/>
          <w:kern w:val="0"/>
          <w:sz w:val="24"/>
          <w:szCs w:val="24"/>
          <w:highlight w:val="none"/>
          <w:u w:val="single"/>
        </w:rPr>
        <w:t>不调整</w:t>
      </w:r>
      <w:r>
        <w:rPr>
          <w:rFonts w:hint="eastAsia" w:ascii="宋体" w:hAnsi="宋体" w:eastAsia="宋体" w:cs="宋体"/>
          <w:color w:val="auto"/>
          <w:kern w:val="0"/>
          <w:sz w:val="24"/>
          <w:szCs w:val="24"/>
          <w:highlight w:val="none"/>
        </w:rPr>
        <w:t>。</w:t>
      </w:r>
    </w:p>
    <w:p w14:paraId="2BF1B743">
      <w:pPr>
        <w:keepNext w:val="0"/>
        <w:keepLines w:val="0"/>
        <w:pageBreakBefore w:val="0"/>
        <w:tabs>
          <w:tab w:val="left" w:pos="263"/>
        </w:tabs>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2.总价合同。</w:t>
      </w:r>
    </w:p>
    <w:p w14:paraId="6D5685EC">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总价包含的风险范围：</w:t>
      </w:r>
      <w:r>
        <w:rPr>
          <w:rFonts w:hint="eastAsia" w:ascii="宋体" w:hAnsi="宋体" w:eastAsia="宋体" w:cs="宋体"/>
          <w:color w:val="auto"/>
          <w:kern w:val="0"/>
          <w:sz w:val="24"/>
          <w:szCs w:val="24"/>
          <w:highlight w:val="none"/>
          <w:u w:val="single"/>
        </w:rPr>
        <w:t>变更(第10条)</w:t>
      </w:r>
      <w:r>
        <w:rPr>
          <w:rFonts w:hint="eastAsia" w:ascii="宋体" w:hAnsi="宋体" w:eastAsia="宋体" w:cs="宋体"/>
          <w:color w:val="auto"/>
          <w:kern w:val="2"/>
          <w:sz w:val="24"/>
          <w:szCs w:val="24"/>
          <w:highlight w:val="none"/>
          <w:u w:val="single"/>
          <w:lang w:eastAsia="zh-CN"/>
        </w:rPr>
        <w:t>。</w:t>
      </w:r>
    </w:p>
    <w:p w14:paraId="1DD94D66">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风险费用的计算方法：</w:t>
      </w:r>
      <w:r>
        <w:rPr>
          <w:rFonts w:hint="eastAsia" w:ascii="宋体" w:hAnsi="宋体" w:eastAsia="宋体" w:cs="宋体"/>
          <w:color w:val="auto"/>
          <w:kern w:val="2"/>
          <w:sz w:val="24"/>
          <w:szCs w:val="24"/>
          <w:highlight w:val="none"/>
          <w:lang w:val="en-US" w:eastAsia="zh-CN"/>
        </w:rPr>
        <w:t>按</w:t>
      </w:r>
      <w:r>
        <w:rPr>
          <w:rFonts w:hint="eastAsia" w:ascii="宋体" w:hAnsi="宋体" w:eastAsia="宋体" w:cs="宋体"/>
          <w:color w:val="auto"/>
          <w:kern w:val="0"/>
          <w:sz w:val="24"/>
          <w:szCs w:val="24"/>
          <w:highlight w:val="none"/>
          <w:u w:val="single"/>
        </w:rPr>
        <w:t>变更(第10条)</w:t>
      </w:r>
      <w:r>
        <w:rPr>
          <w:rFonts w:hint="eastAsia" w:ascii="宋体" w:hAnsi="宋体" w:eastAsia="宋体" w:cs="宋体"/>
          <w:color w:val="auto"/>
          <w:kern w:val="0"/>
          <w:sz w:val="24"/>
          <w:szCs w:val="24"/>
          <w:highlight w:val="none"/>
          <w:u w:val="single"/>
          <w:lang w:val="en-US" w:eastAsia="zh-CN"/>
        </w:rPr>
        <w:t>计算</w:t>
      </w:r>
      <w:r>
        <w:rPr>
          <w:rFonts w:hint="eastAsia" w:ascii="宋体" w:hAnsi="宋体" w:eastAsia="宋体" w:cs="宋体"/>
          <w:color w:val="auto"/>
          <w:kern w:val="2"/>
          <w:sz w:val="24"/>
          <w:szCs w:val="24"/>
          <w:highlight w:val="none"/>
          <w:u w:val="single"/>
          <w:lang w:eastAsia="zh-CN"/>
        </w:rPr>
        <w:t>。</w:t>
      </w:r>
    </w:p>
    <w:p w14:paraId="0898AF48">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风险范围以外合同价格的调整方法：</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u w:val="single"/>
        </w:rPr>
        <w:t>不调整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w:t>
      </w:r>
    </w:p>
    <w:p w14:paraId="279EB15F">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3.其他价格方式：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w:t>
      </w:r>
    </w:p>
    <w:p w14:paraId="2F47D60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435" w:name="_Toc312678042"/>
      <w:bookmarkStart w:id="436" w:name="_Toc303539161"/>
      <w:bookmarkStart w:id="437" w:name="_Toc304295581"/>
      <w:bookmarkStart w:id="438" w:name="_Toc297216213"/>
      <w:bookmarkStart w:id="439" w:name="_Toc300935004"/>
      <w:bookmarkStart w:id="440" w:name="_Toc297123554"/>
      <w:bookmarkStart w:id="441" w:name="_Toc296347206"/>
      <w:bookmarkStart w:id="442" w:name="_Toc296891035"/>
      <w:bookmarkStart w:id="443" w:name="_Toc297048393"/>
      <w:bookmarkStart w:id="444" w:name="_Toc296503207"/>
      <w:bookmarkStart w:id="445" w:name="_Toc296944546"/>
      <w:bookmarkStart w:id="446" w:name="_Toc292559917"/>
      <w:bookmarkStart w:id="447" w:name="_Toc296346708"/>
      <w:bookmarkStart w:id="448" w:name="_Toc292559412"/>
      <w:bookmarkStart w:id="449" w:name="_Toc297120507"/>
      <w:bookmarkStart w:id="450" w:name="_Toc296891247"/>
      <w:r>
        <w:rPr>
          <w:rFonts w:hint="eastAsia" w:ascii="宋体" w:hAnsi="宋体" w:eastAsia="宋体" w:cs="宋体"/>
          <w:color w:val="auto"/>
          <w:kern w:val="2"/>
          <w:sz w:val="24"/>
          <w:szCs w:val="24"/>
          <w:highlight w:val="none"/>
        </w:rPr>
        <w:t>12.2 预付款</w:t>
      </w:r>
    </w:p>
    <w:bookmarkEnd w:id="435"/>
    <w:bookmarkEnd w:id="436"/>
    <w:bookmarkEnd w:id="437"/>
    <w:bookmarkEnd w:id="438"/>
    <w:bookmarkEnd w:id="439"/>
    <w:bookmarkEnd w:id="440"/>
    <w:p w14:paraId="4062146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12.2.1 预付款的支付</w:t>
      </w:r>
    </w:p>
    <w:p w14:paraId="5D9AECC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预付款支付比例或金额：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785DC56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预付款支付期限：</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BEF74C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预付款扣回的方式：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859E93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12.2.2 预付款担保</w:t>
      </w:r>
    </w:p>
    <w:p w14:paraId="2523C7D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承包人提交预付款担保的期限：</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48DD179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预付款担保的形式为：</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bookmarkEnd w:id="441"/>
    <w:bookmarkEnd w:id="442"/>
    <w:bookmarkEnd w:id="443"/>
    <w:bookmarkEnd w:id="444"/>
    <w:bookmarkEnd w:id="445"/>
    <w:bookmarkEnd w:id="446"/>
    <w:bookmarkEnd w:id="447"/>
    <w:bookmarkEnd w:id="448"/>
    <w:bookmarkEnd w:id="449"/>
    <w:bookmarkEnd w:id="450"/>
    <w:p w14:paraId="2CF1D387">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 计量</w:t>
      </w:r>
    </w:p>
    <w:p w14:paraId="38387AF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12.3.1 计量原则</w:t>
      </w:r>
    </w:p>
    <w:p w14:paraId="60E5823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工程量计算规则：</w:t>
      </w:r>
      <w:r>
        <w:rPr>
          <w:rFonts w:hint="eastAsia" w:ascii="宋体" w:hAnsi="宋体" w:eastAsia="宋体" w:cs="宋体"/>
          <w:b/>
          <w:bCs/>
          <w:color w:val="auto"/>
          <w:kern w:val="2"/>
          <w:sz w:val="24"/>
          <w:szCs w:val="24"/>
          <w:highlight w:val="none"/>
          <w:u w:val="single"/>
          <w:lang w:eastAsia="zh-CN"/>
        </w:rPr>
        <w:t>《建设工程工程量清单计价规范》</w:t>
      </w:r>
      <w:r>
        <w:rPr>
          <w:rFonts w:hint="eastAsia" w:ascii="宋体" w:hAnsi="宋体" w:eastAsia="宋体" w:cs="宋体"/>
          <w:b/>
          <w:bCs/>
          <w:color w:val="auto"/>
          <w:kern w:val="2"/>
          <w:sz w:val="24"/>
          <w:szCs w:val="24"/>
          <w:highlight w:val="none"/>
          <w:u w:val="single"/>
          <w:lang w:val="en-US" w:eastAsia="zh-CN"/>
        </w:rPr>
        <w:t>GB50500-2013、《湖南省建设工程计价办法》及《湖南省建设工程消耗量标准》湘建价【2020】56号</w:t>
      </w:r>
      <w:r>
        <w:rPr>
          <w:rFonts w:hint="eastAsia" w:ascii="宋体" w:hAnsi="宋体" w:eastAsia="宋体" w:cs="宋体"/>
          <w:color w:val="auto"/>
          <w:kern w:val="2"/>
          <w:sz w:val="24"/>
          <w:szCs w:val="24"/>
          <w:highlight w:val="none"/>
        </w:rPr>
        <w:t>。</w:t>
      </w:r>
    </w:p>
    <w:p w14:paraId="3093BB9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12.3.2 计量周期</w:t>
      </w:r>
    </w:p>
    <w:p w14:paraId="3CB76B0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关于计量周期的约定：</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0C92A83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12.3.3 单价合同的计量</w:t>
      </w:r>
    </w:p>
    <w:p w14:paraId="086B1E9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关于单价合同计量的约定：</w:t>
      </w:r>
      <w:r>
        <w:rPr>
          <w:rFonts w:hint="eastAsia" w:ascii="宋体" w:hAnsi="宋体" w:eastAsia="宋体" w:cs="宋体"/>
          <w:b/>
          <w:bCs/>
          <w:color w:val="auto"/>
          <w:kern w:val="2"/>
          <w:sz w:val="24"/>
          <w:szCs w:val="24"/>
          <w:highlight w:val="none"/>
          <w:u w:val="single"/>
        </w:rPr>
        <w:t>按通用合同条款</w:t>
      </w:r>
      <w:r>
        <w:rPr>
          <w:rFonts w:hint="eastAsia" w:ascii="宋体" w:hAnsi="宋体" w:eastAsia="宋体" w:cs="宋体"/>
          <w:b/>
          <w:bCs/>
          <w:color w:val="auto"/>
          <w:kern w:val="2"/>
          <w:sz w:val="24"/>
          <w:szCs w:val="24"/>
          <w:highlight w:val="none"/>
          <w:u w:val="single"/>
          <w:lang w:eastAsia="zh-CN"/>
        </w:rPr>
        <w:t>即：按湘建价【</w:t>
      </w:r>
      <w:r>
        <w:rPr>
          <w:rFonts w:hint="eastAsia" w:ascii="宋体" w:hAnsi="宋体" w:eastAsia="宋体" w:cs="宋体"/>
          <w:b/>
          <w:bCs/>
          <w:color w:val="auto"/>
          <w:kern w:val="2"/>
          <w:sz w:val="24"/>
          <w:szCs w:val="24"/>
          <w:highlight w:val="none"/>
          <w:u w:val="single"/>
          <w:lang w:val="en-US" w:eastAsia="zh-CN"/>
        </w:rPr>
        <w:t>2020</w:t>
      </w:r>
      <w:r>
        <w:rPr>
          <w:rFonts w:hint="eastAsia" w:ascii="宋体" w:hAnsi="宋体" w:eastAsia="宋体" w:cs="宋体"/>
          <w:b/>
          <w:bCs/>
          <w:color w:val="auto"/>
          <w:kern w:val="2"/>
          <w:sz w:val="24"/>
          <w:szCs w:val="24"/>
          <w:highlight w:val="none"/>
          <w:u w:val="single"/>
          <w:lang w:eastAsia="zh-CN"/>
        </w:rPr>
        <w:t>】</w:t>
      </w:r>
      <w:r>
        <w:rPr>
          <w:rFonts w:hint="eastAsia" w:ascii="宋体" w:hAnsi="宋体" w:eastAsia="宋体" w:cs="宋体"/>
          <w:b/>
          <w:bCs/>
          <w:color w:val="auto"/>
          <w:kern w:val="2"/>
          <w:sz w:val="24"/>
          <w:szCs w:val="24"/>
          <w:highlight w:val="none"/>
          <w:u w:val="single"/>
          <w:lang w:val="en-US" w:eastAsia="zh-CN"/>
        </w:rPr>
        <w:t>56号规定执行</w:t>
      </w:r>
    </w:p>
    <w:p w14:paraId="205577C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12.3.4 总价合同的计量</w:t>
      </w:r>
    </w:p>
    <w:p w14:paraId="7BCD0D3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关于总价合同计量的约定：</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937D84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kern w:val="2"/>
          <w:sz w:val="24"/>
          <w:szCs w:val="24"/>
          <w:highlight w:val="none"/>
        </w:rPr>
        <w:t>约定进行计量：</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是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5648B8D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12.3.6 其他价格形式合同的计量</w:t>
      </w:r>
    </w:p>
    <w:p w14:paraId="711FD65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其他价格形式的计量方式和程序：</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4CBBC1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12.4 工程进度款支付</w:t>
      </w:r>
    </w:p>
    <w:p w14:paraId="5C6FB94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bookmarkStart w:id="451" w:name="_Toc297120511"/>
      <w:bookmarkStart w:id="452" w:name="_Toc296346712"/>
      <w:bookmarkStart w:id="453" w:name="_Toc297048397"/>
      <w:bookmarkStart w:id="454" w:name="_Toc296891039"/>
      <w:bookmarkStart w:id="455" w:name="_Toc296944550"/>
      <w:bookmarkStart w:id="456" w:name="_Toc300935006"/>
      <w:bookmarkStart w:id="457" w:name="_Toc303539163"/>
      <w:bookmarkStart w:id="458" w:name="_Toc297123556"/>
      <w:bookmarkStart w:id="459" w:name="_Toc292559921"/>
      <w:bookmarkStart w:id="460" w:name="_Toc292559416"/>
      <w:bookmarkStart w:id="461" w:name="_Toc297216215"/>
      <w:bookmarkStart w:id="462" w:name="_Toc296347210"/>
      <w:bookmarkStart w:id="463" w:name="_Toc296891251"/>
      <w:bookmarkStart w:id="464" w:name="_Toc296503211"/>
      <w:r>
        <w:rPr>
          <w:rFonts w:hint="eastAsia" w:ascii="宋体" w:hAnsi="宋体" w:eastAsia="宋体" w:cs="宋体"/>
          <w:color w:val="auto"/>
          <w:kern w:val="2"/>
          <w:sz w:val="24"/>
          <w:szCs w:val="24"/>
          <w:highlight w:val="none"/>
        </w:rPr>
        <w:t>12.4.1 付款周期</w:t>
      </w:r>
    </w:p>
    <w:p w14:paraId="298CB5E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关于付款周期的约定：</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CD0ADC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关于工程进度款支付的约定：</w:t>
      </w:r>
      <w:r>
        <w:rPr>
          <w:rFonts w:hint="eastAsia" w:ascii="宋体" w:hAnsi="宋体" w:eastAsia="宋体" w:cs="宋体"/>
          <w:color w:val="auto"/>
          <w:kern w:val="2"/>
          <w:sz w:val="24"/>
          <w:szCs w:val="24"/>
          <w:highlight w:val="none"/>
          <w:u w:val="single"/>
          <w:lang w:val="en-US" w:eastAsia="zh-CN"/>
        </w:rPr>
        <w:t>按月进度计量的80%支付进度款，竣工验收合格后支付到计量进度的80%</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不突破合同价款的80%</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经竣工结算</w:t>
      </w:r>
      <w:r>
        <w:rPr>
          <w:rFonts w:hint="eastAsia" w:ascii="宋体" w:hAnsi="宋体" w:eastAsia="宋体" w:cs="宋体"/>
          <w:color w:val="auto"/>
          <w:kern w:val="2"/>
          <w:sz w:val="24"/>
          <w:szCs w:val="24"/>
          <w:highlight w:val="none"/>
          <w:u w:val="single"/>
          <w:lang w:val="en-US" w:eastAsia="zh-CN"/>
        </w:rPr>
        <w:t>财评或审计后</w:t>
      </w:r>
      <w:r>
        <w:rPr>
          <w:rFonts w:hint="eastAsia" w:ascii="宋体" w:hAnsi="宋体" w:eastAsia="宋体" w:cs="宋体"/>
          <w:color w:val="auto"/>
          <w:kern w:val="2"/>
          <w:sz w:val="24"/>
          <w:szCs w:val="24"/>
          <w:highlight w:val="none"/>
          <w:u w:val="single"/>
        </w:rPr>
        <w:t>付</w:t>
      </w:r>
      <w:r>
        <w:rPr>
          <w:rFonts w:hint="eastAsia" w:ascii="宋体" w:hAnsi="宋体" w:eastAsia="宋体" w:cs="宋体"/>
          <w:color w:val="auto"/>
          <w:kern w:val="2"/>
          <w:sz w:val="24"/>
          <w:szCs w:val="24"/>
          <w:highlight w:val="none"/>
          <w:u w:val="single"/>
          <w:lang w:val="en-US" w:eastAsia="zh-CN"/>
        </w:rPr>
        <w:t>至审定金额的97%</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剩余价款的3%为质保金，在</w:t>
      </w:r>
      <w:r>
        <w:rPr>
          <w:rFonts w:hint="eastAsia" w:ascii="宋体" w:hAnsi="宋体" w:eastAsia="宋体" w:cs="宋体"/>
          <w:color w:val="auto"/>
          <w:kern w:val="2"/>
          <w:sz w:val="24"/>
          <w:szCs w:val="24"/>
          <w:highlight w:val="none"/>
          <w:u w:val="single"/>
        </w:rPr>
        <w:t>质</w:t>
      </w:r>
      <w:r>
        <w:rPr>
          <w:rFonts w:hint="eastAsia" w:ascii="宋体" w:hAnsi="宋体" w:eastAsia="宋体" w:cs="宋体"/>
          <w:color w:val="auto"/>
          <w:kern w:val="2"/>
          <w:sz w:val="24"/>
          <w:szCs w:val="24"/>
          <w:highlight w:val="none"/>
          <w:u w:val="single"/>
          <w:lang w:val="en-US" w:eastAsia="zh-CN"/>
        </w:rPr>
        <w:t>保期满后无息支付</w:t>
      </w:r>
      <w:r>
        <w:rPr>
          <w:rFonts w:hint="eastAsia" w:ascii="宋体" w:hAnsi="宋体" w:eastAsia="宋体" w:cs="宋体"/>
          <w:color w:val="auto"/>
          <w:kern w:val="2"/>
          <w:sz w:val="24"/>
          <w:szCs w:val="24"/>
          <w:highlight w:val="none"/>
          <w:u w:val="single"/>
        </w:rPr>
        <w:t>）。</w:t>
      </w:r>
    </w:p>
    <w:p w14:paraId="5C6479F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12.4.2 进度付款申请单的编制</w:t>
      </w:r>
    </w:p>
    <w:p w14:paraId="38214F3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关于进度付款申请单编制的约定：</w:t>
      </w:r>
      <w:r>
        <w:rPr>
          <w:rFonts w:hint="eastAsia" w:ascii="宋体" w:hAnsi="宋体" w:eastAsia="宋体" w:cs="宋体"/>
          <w:color w:val="auto"/>
          <w:kern w:val="2"/>
          <w:sz w:val="24"/>
          <w:szCs w:val="24"/>
          <w:highlight w:val="none"/>
          <w:u w:val="single"/>
        </w:rPr>
        <w:t>根据发包人工程进度付款申请表格式内容填写，同时提供工程形象进度证明文件；</w:t>
      </w:r>
    </w:p>
    <w:p w14:paraId="0D66B26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宋体" w:hAnsi="宋体" w:eastAsia="宋体" w:cs="宋体"/>
          <w:color w:val="auto"/>
          <w:kern w:val="2"/>
          <w:sz w:val="24"/>
          <w:szCs w:val="24"/>
          <w:highlight w:val="none"/>
        </w:rPr>
        <w:t>2.4.3 进度付款申请单的提交</w:t>
      </w:r>
    </w:p>
    <w:p w14:paraId="4787564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（1）单价合同进度付款申请单提交的约定：</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rPr>
        <w:t>。</w:t>
      </w:r>
    </w:p>
    <w:p w14:paraId="47E39B9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（2）总价合同进度付款申请单提交的约定：</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rPr>
        <w:t>。</w:t>
      </w:r>
    </w:p>
    <w:p w14:paraId="5B8FC7E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（3）其他价格形式合同进度付款申请单提交的约定：</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3B1AA01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12.4.4 进度款审核和支付</w:t>
      </w:r>
    </w:p>
    <w:p w14:paraId="287586E4">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（1）监理人审查并报送发包人的期限：</w:t>
      </w:r>
      <w:r>
        <w:rPr>
          <w:rFonts w:hint="eastAsia" w:ascii="宋体" w:hAnsi="宋体" w:eastAsia="宋体" w:cs="宋体"/>
          <w:color w:val="auto"/>
          <w:kern w:val="2"/>
          <w:sz w:val="24"/>
          <w:szCs w:val="24"/>
          <w:highlight w:val="none"/>
          <w:u w:val="single"/>
        </w:rPr>
        <w:t xml:space="preserve">    7天内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11E16D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发包人完成审批并签发进度款支付证书的期限：</w:t>
      </w:r>
      <w:r>
        <w:rPr>
          <w:rFonts w:hint="eastAsia" w:ascii="宋体" w:hAnsi="宋体" w:eastAsia="宋体" w:cs="宋体"/>
          <w:color w:val="auto"/>
          <w:kern w:val="2"/>
          <w:sz w:val="24"/>
          <w:szCs w:val="24"/>
          <w:highlight w:val="none"/>
          <w:u w:val="single"/>
        </w:rPr>
        <w:t>14天内</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A530F5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（2）发包人支付进度款的期限：</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45C7DB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发包人逾期支付进度款的违约金的计算方式：</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1EB86F7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12.4.6 支付分解表的编制</w:t>
      </w:r>
    </w:p>
    <w:p w14:paraId="36D5301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2、总价合同支付分解表的编制与审批：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0B0994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3、单价合同的总价项目支付分解表的编制与审批：</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rPr>
        <w:t>。</w:t>
      </w:r>
    </w:p>
    <w:bookmarkEnd w:id="309"/>
    <w:p w14:paraId="2D03EDDD">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465" w:name="_Toc351203645"/>
      <w:bookmarkStart w:id="466" w:name="_Toc297048405"/>
      <w:bookmarkStart w:id="467" w:name="_Toc296347218"/>
      <w:bookmarkStart w:id="468" w:name="_Toc296891047"/>
      <w:bookmarkStart w:id="469" w:name="_Toc296503219"/>
      <w:bookmarkStart w:id="470" w:name="_Toc303539172"/>
      <w:bookmarkStart w:id="471" w:name="_Toc312678053"/>
      <w:bookmarkStart w:id="472" w:name="_Toc296346720"/>
      <w:bookmarkStart w:id="473" w:name="_Toc296944558"/>
      <w:bookmarkStart w:id="474" w:name="_Toc296891259"/>
      <w:bookmarkStart w:id="475" w:name="_Toc297216223"/>
      <w:bookmarkStart w:id="476" w:name="_Toc297123564"/>
      <w:bookmarkStart w:id="477" w:name="_Toc304295593"/>
      <w:bookmarkStart w:id="478" w:name="_Toc300935015"/>
      <w:bookmarkStart w:id="479" w:name="_Toc297120519"/>
      <w:bookmarkStart w:id="480" w:name="_Toc292559929"/>
      <w:bookmarkStart w:id="481" w:name="_Toc292559424"/>
      <w:r>
        <w:rPr>
          <w:rFonts w:hint="eastAsia" w:ascii="宋体" w:hAnsi="宋体" w:eastAsia="宋体" w:cs="宋体"/>
          <w:b/>
          <w:bCs/>
          <w:color w:val="auto"/>
          <w:kern w:val="2"/>
          <w:sz w:val="24"/>
          <w:szCs w:val="24"/>
          <w:highlight w:val="none"/>
        </w:rPr>
        <w:t>13. 验收和工程试车</w:t>
      </w:r>
      <w:bookmarkEnd w:id="465"/>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7941606C">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13.1 分部分项工程验收</w:t>
      </w:r>
    </w:p>
    <w:p w14:paraId="0671F58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13.1.2监理人不能按时进行验收时，应提前</w:t>
      </w:r>
      <w:r>
        <w:rPr>
          <w:rFonts w:hint="eastAsia" w:ascii="宋体" w:hAnsi="宋体" w:eastAsia="宋体" w:cs="宋体"/>
          <w:color w:val="auto"/>
          <w:kern w:val="2"/>
          <w:sz w:val="24"/>
          <w:szCs w:val="24"/>
          <w:highlight w:val="none"/>
          <w:u w:val="single"/>
        </w:rPr>
        <w:t xml:space="preserve"> 24  </w:t>
      </w:r>
      <w:r>
        <w:rPr>
          <w:rFonts w:hint="eastAsia" w:ascii="宋体" w:hAnsi="宋体" w:eastAsia="宋体" w:cs="宋体"/>
          <w:color w:val="auto"/>
          <w:kern w:val="2"/>
          <w:sz w:val="24"/>
          <w:szCs w:val="24"/>
          <w:highlight w:val="none"/>
        </w:rPr>
        <w:t>小时提交书面延期要求。</w:t>
      </w:r>
    </w:p>
    <w:p w14:paraId="637A8E5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关于延期最长不得超过：</w:t>
      </w:r>
      <w:r>
        <w:rPr>
          <w:rFonts w:hint="eastAsia" w:ascii="宋体" w:hAnsi="宋体" w:eastAsia="宋体" w:cs="宋体"/>
          <w:color w:val="auto"/>
          <w:kern w:val="2"/>
          <w:sz w:val="24"/>
          <w:szCs w:val="24"/>
          <w:highlight w:val="none"/>
          <w:u w:val="single"/>
        </w:rPr>
        <w:t xml:space="preserve">  48  </w:t>
      </w:r>
      <w:r>
        <w:rPr>
          <w:rFonts w:hint="eastAsia" w:ascii="宋体" w:hAnsi="宋体" w:eastAsia="宋体" w:cs="宋体"/>
          <w:color w:val="auto"/>
          <w:kern w:val="2"/>
          <w:sz w:val="24"/>
          <w:szCs w:val="24"/>
          <w:highlight w:val="none"/>
        </w:rPr>
        <w:t>小时。</w:t>
      </w:r>
    </w:p>
    <w:p w14:paraId="490BDAB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482" w:name="_Toc296891051"/>
      <w:bookmarkStart w:id="483" w:name="_Toc297123565"/>
      <w:bookmarkStart w:id="484" w:name="_Toc297216224"/>
      <w:bookmarkStart w:id="485" w:name="_Toc300935016"/>
      <w:bookmarkStart w:id="486" w:name="_Toc296944562"/>
      <w:bookmarkStart w:id="487" w:name="_Toc296346724"/>
      <w:bookmarkStart w:id="488" w:name="_Toc292559428"/>
      <w:bookmarkStart w:id="489" w:name="_Toc297120523"/>
      <w:bookmarkStart w:id="490" w:name="_Toc292559933"/>
      <w:bookmarkStart w:id="491" w:name="_Toc303539173"/>
      <w:bookmarkStart w:id="492" w:name="_Toc296503223"/>
      <w:bookmarkStart w:id="493" w:name="_Toc297048409"/>
      <w:bookmarkStart w:id="494" w:name="_Toc296347222"/>
      <w:bookmarkStart w:id="495" w:name="_Toc304295596"/>
      <w:bookmarkStart w:id="496" w:name="_Toc296891263"/>
      <w:bookmarkStart w:id="497" w:name="_Toc312678056"/>
      <w:bookmarkStart w:id="498" w:name="_Toc267251471"/>
      <w:bookmarkStart w:id="499" w:name="_Toc267251474"/>
      <w:bookmarkStart w:id="500" w:name="_Toc267251473"/>
      <w:bookmarkStart w:id="501" w:name="_Toc267251475"/>
      <w:bookmarkStart w:id="502" w:name="_Toc267251470"/>
      <w:bookmarkStart w:id="503" w:name="_Toc267251476"/>
      <w:bookmarkStart w:id="504" w:name="_Toc267251472"/>
      <w:r>
        <w:rPr>
          <w:rFonts w:hint="eastAsia" w:ascii="宋体" w:hAnsi="宋体" w:eastAsia="宋体" w:cs="宋体"/>
          <w:color w:val="auto"/>
          <w:kern w:val="2"/>
          <w:sz w:val="24"/>
          <w:szCs w:val="24"/>
          <w:highlight w:val="none"/>
        </w:rPr>
        <w:t>13.2 竣工验收</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1F98DA4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bookmarkStart w:id="505" w:name="_Toc280868704"/>
      <w:bookmarkStart w:id="506" w:name="_Toc280868705"/>
      <w:bookmarkStart w:id="507" w:name="_Toc280868706"/>
      <w:bookmarkStart w:id="508" w:name="_Toc280868707"/>
      <w:bookmarkStart w:id="509" w:name="_Toc280868708"/>
      <w:bookmarkStart w:id="510" w:name="_Toc280868709"/>
      <w:r>
        <w:rPr>
          <w:rFonts w:hint="eastAsia" w:ascii="宋体" w:hAnsi="宋体" w:eastAsia="宋体" w:cs="宋体"/>
          <w:color w:val="auto"/>
          <w:kern w:val="2"/>
          <w:sz w:val="24"/>
          <w:szCs w:val="24"/>
          <w:highlight w:val="none"/>
        </w:rPr>
        <w:t>13.2.2竣工验收程序</w:t>
      </w:r>
    </w:p>
    <w:bookmarkEnd w:id="505"/>
    <w:p w14:paraId="14CE738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rPr>
        <w:t>。</w:t>
      </w:r>
    </w:p>
    <w:p w14:paraId="37E6E5F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rPr>
        <w:t>。</w:t>
      </w:r>
    </w:p>
    <w:bookmarkEnd w:id="506"/>
    <w:p w14:paraId="4FA0D8D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13.2.5移交、接收全部与部分工程</w:t>
      </w:r>
    </w:p>
    <w:bookmarkEnd w:id="507"/>
    <w:p w14:paraId="127FF3B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A729D2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bookmarkEnd w:id="508"/>
    <w:p w14:paraId="640887D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承包人未按时移交工程的，违约金的计算方法为：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AA00B2B">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13.3 工程试车</w:t>
      </w:r>
    </w:p>
    <w:bookmarkEnd w:id="509"/>
    <w:p w14:paraId="093F94B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33E74AB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p>
    <w:p w14:paraId="538D81E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承包人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承担；</w:t>
      </w:r>
    </w:p>
    <w:p w14:paraId="704A618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承包人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承担。</w:t>
      </w:r>
    </w:p>
    <w:p w14:paraId="613A63F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0DD22B9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rPr>
        <w:t>。</w:t>
      </w:r>
    </w:p>
    <w:p w14:paraId="0C619F91">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11" w:name="_Toc256000042"/>
      <w:r>
        <w:rPr>
          <w:rFonts w:hint="eastAsia" w:ascii="宋体" w:hAnsi="宋体" w:eastAsia="宋体" w:cs="宋体"/>
          <w:color w:val="auto"/>
          <w:kern w:val="2"/>
          <w:sz w:val="24"/>
          <w:szCs w:val="24"/>
          <w:highlight w:val="none"/>
        </w:rPr>
        <w:t>13.6 竣工退场</w:t>
      </w:r>
      <w:bookmarkEnd w:id="511"/>
    </w:p>
    <w:p w14:paraId="6635609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0F1F747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kern w:val="2"/>
          <w:sz w:val="24"/>
          <w:szCs w:val="24"/>
          <w:highlight w:val="none"/>
          <w:u w:val="single"/>
        </w:rPr>
        <w:t>在初验前7日内必须全面清场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0"/>
          <w:sz w:val="24"/>
          <w:szCs w:val="24"/>
          <w:highlight w:val="none"/>
        </w:rPr>
        <w:t>。</w:t>
      </w:r>
    </w:p>
    <w:p w14:paraId="1F8651A2">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12" w:name="_Toc351203646"/>
      <w:r>
        <w:rPr>
          <w:rFonts w:hint="eastAsia" w:ascii="宋体" w:hAnsi="宋体" w:eastAsia="宋体" w:cs="宋体"/>
          <w:b/>
          <w:bCs/>
          <w:color w:val="auto"/>
          <w:kern w:val="2"/>
          <w:sz w:val="24"/>
          <w:szCs w:val="24"/>
          <w:highlight w:val="none"/>
        </w:rPr>
        <w:t>14. 竣工结算</w:t>
      </w:r>
      <w:bookmarkEnd w:id="512"/>
    </w:p>
    <w:p w14:paraId="39565EF3">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14.1 竣工结算申请</w:t>
      </w:r>
    </w:p>
    <w:p w14:paraId="0B827C9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承包人提交竣工结算申请单的期限：</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226CADC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竣工结算申请单应包括的内容：</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按通用合同条款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3D9E2AB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13" w:name="_Toc256000043"/>
      <w:r>
        <w:rPr>
          <w:rFonts w:hint="eastAsia" w:ascii="宋体" w:hAnsi="宋体" w:eastAsia="宋体" w:cs="宋体"/>
          <w:color w:val="auto"/>
          <w:kern w:val="2"/>
          <w:sz w:val="24"/>
          <w:szCs w:val="24"/>
          <w:highlight w:val="none"/>
        </w:rPr>
        <w:t>14.2 竣工结算审核</w:t>
      </w:r>
      <w:bookmarkEnd w:id="513"/>
    </w:p>
    <w:p w14:paraId="4DB8BFE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发包人审批竣工付款申请单的期限：</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1B5FC4F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发包人完成竣工付款的期限：</w:t>
      </w:r>
      <w:r>
        <w:rPr>
          <w:rFonts w:hint="eastAsia" w:ascii="宋体" w:hAnsi="宋体" w:eastAsia="宋体" w:cs="宋体"/>
          <w:color w:val="auto"/>
          <w:kern w:val="2"/>
          <w:sz w:val="24"/>
          <w:szCs w:val="24"/>
          <w:highlight w:val="none"/>
          <w:u w:val="single"/>
        </w:rPr>
        <w:t xml:space="preserve">按专用合同条款12.4.1的规定执行 </w:t>
      </w:r>
      <w:r>
        <w:rPr>
          <w:rFonts w:hint="eastAsia" w:ascii="宋体" w:hAnsi="宋体" w:eastAsia="宋体" w:cs="宋体"/>
          <w:color w:val="auto"/>
          <w:kern w:val="2"/>
          <w:sz w:val="24"/>
          <w:szCs w:val="24"/>
          <w:highlight w:val="none"/>
        </w:rPr>
        <w:t>。</w:t>
      </w:r>
    </w:p>
    <w:p w14:paraId="4C905AC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关于竣工付款证书异议部分复核的方式和程序：</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rPr>
        <w:t>。</w:t>
      </w:r>
    </w:p>
    <w:p w14:paraId="219EB19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14.3 竣工结算送审时间的期限：</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w:t>
      </w:r>
    </w:p>
    <w:p w14:paraId="3B2FB59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14.4 最终结清</w:t>
      </w:r>
    </w:p>
    <w:p w14:paraId="1DFD5C0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724044D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kern w:val="2"/>
          <w:sz w:val="24"/>
          <w:szCs w:val="24"/>
          <w:highlight w:val="none"/>
          <w:u w:val="single"/>
        </w:rPr>
        <w:t xml:space="preserve"> 二份 </w:t>
      </w:r>
      <w:r>
        <w:rPr>
          <w:rFonts w:hint="eastAsia" w:ascii="宋体" w:hAnsi="宋体" w:eastAsia="宋体" w:cs="宋体"/>
          <w:color w:val="auto"/>
          <w:kern w:val="2"/>
          <w:sz w:val="24"/>
          <w:szCs w:val="24"/>
          <w:highlight w:val="none"/>
        </w:rPr>
        <w:t xml:space="preserve"> 。</w:t>
      </w:r>
    </w:p>
    <w:p w14:paraId="0E9E490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 xml:space="preserve">。 </w:t>
      </w:r>
    </w:p>
    <w:p w14:paraId="7BCAA2F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14.4.2 最终结清证书和支付</w:t>
      </w:r>
    </w:p>
    <w:p w14:paraId="0AEE4C5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（1）发包人完成最终结清申请单的审批并颁发最终结清证书的期限：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p w14:paraId="300D46D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（2）发包人完成支付的期限：</w:t>
      </w:r>
      <w:r>
        <w:rPr>
          <w:rFonts w:hint="eastAsia" w:ascii="宋体" w:hAnsi="宋体" w:eastAsia="宋体" w:cs="宋体"/>
          <w:color w:val="auto"/>
          <w:kern w:val="2"/>
          <w:sz w:val="24"/>
          <w:szCs w:val="24"/>
          <w:highlight w:val="none"/>
          <w:u w:val="single"/>
        </w:rPr>
        <w:t>按通用合同条款</w:t>
      </w:r>
      <w:r>
        <w:rPr>
          <w:rFonts w:hint="eastAsia" w:ascii="宋体" w:hAnsi="宋体" w:eastAsia="宋体" w:cs="宋体"/>
          <w:color w:val="auto"/>
          <w:kern w:val="2"/>
          <w:sz w:val="24"/>
          <w:szCs w:val="24"/>
          <w:highlight w:val="none"/>
        </w:rPr>
        <w:t>。</w:t>
      </w:r>
    </w:p>
    <w:bookmarkEnd w:id="498"/>
    <w:bookmarkEnd w:id="499"/>
    <w:bookmarkEnd w:id="500"/>
    <w:bookmarkEnd w:id="501"/>
    <w:bookmarkEnd w:id="502"/>
    <w:bookmarkEnd w:id="503"/>
    <w:bookmarkEnd w:id="504"/>
    <w:bookmarkEnd w:id="510"/>
    <w:p w14:paraId="3E701E4F">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14" w:name="_Toc351203647"/>
      <w:bookmarkStart w:id="515" w:name="_Toc267251483"/>
      <w:bookmarkStart w:id="516" w:name="_Toc267251482"/>
      <w:bookmarkStart w:id="517" w:name="_Toc267251484"/>
      <w:bookmarkStart w:id="518" w:name="_Toc267251485"/>
      <w:bookmarkStart w:id="519" w:name="_Toc267251489"/>
      <w:bookmarkStart w:id="520" w:name="_Toc267251488"/>
      <w:bookmarkStart w:id="521" w:name="_Toc267251490"/>
      <w:bookmarkStart w:id="522" w:name="_Toc267251486"/>
      <w:bookmarkStart w:id="523" w:name="_Toc267251496"/>
      <w:bookmarkStart w:id="524" w:name="_Toc267251497"/>
      <w:bookmarkStart w:id="525" w:name="_Toc267251495"/>
      <w:bookmarkStart w:id="526" w:name="_Toc267251494"/>
      <w:bookmarkStart w:id="527" w:name="_Toc267251492"/>
      <w:bookmarkStart w:id="528" w:name="_Toc267251498"/>
      <w:bookmarkStart w:id="529" w:name="_Toc267251499"/>
      <w:bookmarkStart w:id="530" w:name="_Toc267251501"/>
      <w:bookmarkStart w:id="531" w:name="_Toc267251503"/>
      <w:bookmarkStart w:id="532" w:name="_Toc267251491"/>
      <w:bookmarkStart w:id="533" w:name="_Toc267251502"/>
      <w:bookmarkStart w:id="534" w:name="_Toc267251493"/>
      <w:bookmarkStart w:id="535" w:name="_Toc267251506"/>
      <w:bookmarkStart w:id="536" w:name="_Toc267251504"/>
      <w:bookmarkStart w:id="537" w:name="_Toc267251507"/>
      <w:bookmarkStart w:id="538" w:name="_Toc267251508"/>
      <w:bookmarkStart w:id="539" w:name="_Toc267251511"/>
      <w:bookmarkStart w:id="540" w:name="_Toc267251510"/>
      <w:bookmarkStart w:id="541" w:name="_Toc267251514"/>
      <w:bookmarkStart w:id="542" w:name="_Toc267251515"/>
      <w:bookmarkStart w:id="543" w:name="_Toc267251513"/>
      <w:bookmarkStart w:id="544" w:name="_Toc267251509"/>
      <w:r>
        <w:rPr>
          <w:rFonts w:hint="eastAsia" w:ascii="宋体" w:hAnsi="宋体" w:eastAsia="宋体" w:cs="宋体"/>
          <w:b/>
          <w:bCs/>
          <w:color w:val="auto"/>
          <w:kern w:val="2"/>
          <w:sz w:val="24"/>
          <w:szCs w:val="24"/>
          <w:highlight w:val="none"/>
        </w:rPr>
        <w:t>15. 缺陷责任期与保修</w:t>
      </w:r>
      <w:bookmarkEnd w:id="514"/>
    </w:p>
    <w:p w14:paraId="371E0293">
      <w:pPr>
        <w:keepNext w:val="0"/>
        <w:keepLines w:val="0"/>
        <w:pageBreakBefore w:val="0"/>
        <w:widowControl w:val="0"/>
        <w:kinsoku/>
        <w:wordWrap/>
        <w:overflowPunct/>
        <w:topLinePunct w:val="0"/>
        <w:bidi w:val="0"/>
        <w:snapToGrid/>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15.2缺陷责任期</w:t>
      </w:r>
      <w:bookmarkEnd w:id="515"/>
    </w:p>
    <w:p w14:paraId="3959E105">
      <w:pPr>
        <w:keepNext w:val="0"/>
        <w:keepLines w:val="0"/>
        <w:pageBreakBefore w:val="0"/>
        <w:widowControl w:val="0"/>
        <w:kinsoku/>
        <w:wordWrap/>
        <w:overflowPunct/>
        <w:topLinePunct w:val="0"/>
        <w:bidi w:val="0"/>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缺陷责任期的具体期限：</w:t>
      </w:r>
      <w:r>
        <w:rPr>
          <w:rFonts w:hint="eastAsia" w:ascii="宋体" w:hAnsi="宋体" w:eastAsia="宋体" w:cs="宋体"/>
          <w:color w:val="auto"/>
          <w:kern w:val="2"/>
          <w:sz w:val="24"/>
          <w:szCs w:val="24"/>
          <w:highlight w:val="none"/>
          <w:u w:val="single"/>
        </w:rPr>
        <w:t xml:space="preserve"> 24个月 </w:t>
      </w:r>
      <w:r>
        <w:rPr>
          <w:rFonts w:hint="eastAsia" w:ascii="宋体" w:hAnsi="宋体" w:eastAsia="宋体" w:cs="宋体"/>
          <w:color w:val="auto"/>
          <w:kern w:val="2"/>
          <w:sz w:val="24"/>
          <w:szCs w:val="24"/>
          <w:highlight w:val="none"/>
        </w:rPr>
        <w:t>。</w:t>
      </w:r>
    </w:p>
    <w:p w14:paraId="45328945">
      <w:pPr>
        <w:keepNext w:val="0"/>
        <w:keepLines w:val="0"/>
        <w:pageBreakBefore w:val="0"/>
        <w:widowControl w:val="0"/>
        <w:kinsoku/>
        <w:wordWrap/>
        <w:overflowPunct/>
        <w:topLinePunct w:val="0"/>
        <w:bidi w:val="0"/>
        <w:snapToGrid/>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45" w:name="_Toc256000044"/>
      <w:r>
        <w:rPr>
          <w:rFonts w:hint="eastAsia" w:ascii="宋体" w:hAnsi="宋体" w:eastAsia="宋体" w:cs="宋体"/>
          <w:color w:val="auto"/>
          <w:kern w:val="2"/>
          <w:sz w:val="24"/>
          <w:szCs w:val="24"/>
          <w:highlight w:val="none"/>
        </w:rPr>
        <w:t>15.3 质量保证金</w:t>
      </w:r>
      <w:bookmarkEnd w:id="545"/>
    </w:p>
    <w:p w14:paraId="7257092C">
      <w:pPr>
        <w:keepNext w:val="0"/>
        <w:keepLines w:val="0"/>
        <w:pageBreakBefore w:val="0"/>
        <w:widowControl w:val="0"/>
        <w:kinsoku/>
        <w:wordWrap/>
        <w:overflowPunct/>
        <w:topLinePunct w:val="0"/>
        <w:bidi w:val="0"/>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关于是否扣留质量保证金的约定：</w:t>
      </w:r>
      <w:r>
        <w:rPr>
          <w:rFonts w:hint="eastAsia" w:ascii="宋体" w:hAnsi="宋体" w:eastAsia="宋体" w:cs="宋体"/>
          <w:b/>
          <w:bCs/>
          <w:color w:val="auto"/>
          <w:kern w:val="2"/>
          <w:sz w:val="24"/>
          <w:szCs w:val="24"/>
          <w:highlight w:val="none"/>
          <w:u w:val="single"/>
        </w:rPr>
        <w:t>按最终工程结算金额的3%留质量保证金（不计利息）</w:t>
      </w:r>
      <w:r>
        <w:rPr>
          <w:rFonts w:hint="eastAsia" w:ascii="宋体" w:hAnsi="宋体" w:eastAsia="宋体" w:cs="宋体"/>
          <w:b/>
          <w:bCs/>
          <w:color w:val="auto"/>
          <w:kern w:val="2"/>
          <w:sz w:val="24"/>
          <w:szCs w:val="24"/>
          <w:highlight w:val="none"/>
        </w:rPr>
        <w:t>。</w:t>
      </w:r>
    </w:p>
    <w:p w14:paraId="5C4935D6">
      <w:pPr>
        <w:keepNext w:val="0"/>
        <w:keepLines w:val="0"/>
        <w:pageBreakBefore w:val="0"/>
        <w:widowControl w:val="0"/>
        <w:kinsoku/>
        <w:wordWrap/>
        <w:overflowPunct/>
        <w:topLinePunct w:val="0"/>
        <w:bidi w:val="0"/>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bookmarkStart w:id="546" w:name="_Toc256000045"/>
      <w:r>
        <w:rPr>
          <w:rFonts w:hint="eastAsia" w:ascii="宋体" w:hAnsi="宋体" w:eastAsia="宋体" w:cs="宋体"/>
          <w:color w:val="auto"/>
          <w:kern w:val="2"/>
          <w:sz w:val="24"/>
          <w:szCs w:val="24"/>
          <w:highlight w:val="none"/>
        </w:rPr>
        <w:t>15.3.1 承包人提供质量保证金的方式</w:t>
      </w:r>
      <w:bookmarkEnd w:id="546"/>
    </w:p>
    <w:p w14:paraId="66FC313D">
      <w:pPr>
        <w:keepNext w:val="0"/>
        <w:keepLines w:val="0"/>
        <w:pageBreakBefore w:val="0"/>
        <w:widowControl w:val="0"/>
        <w:kinsoku/>
        <w:wordWrap/>
        <w:overflowPunct/>
        <w:topLinePunct w:val="0"/>
        <w:bidi w:val="0"/>
        <w:snapToGrid/>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质量保证金采用以下第</w:t>
      </w:r>
      <w:r>
        <w:rPr>
          <w:rFonts w:hint="eastAsia" w:ascii="宋体" w:hAnsi="宋体" w:eastAsia="宋体" w:cs="宋体"/>
          <w:color w:val="auto"/>
          <w:kern w:val="2"/>
          <w:sz w:val="24"/>
          <w:szCs w:val="24"/>
          <w:highlight w:val="none"/>
          <w:u w:val="single"/>
        </w:rPr>
        <w:t xml:space="preserve"> （2）  </w:t>
      </w:r>
      <w:r>
        <w:rPr>
          <w:rFonts w:hint="eastAsia" w:ascii="宋体" w:hAnsi="宋体" w:eastAsia="宋体" w:cs="宋体"/>
          <w:color w:val="auto"/>
          <w:kern w:val="2"/>
          <w:sz w:val="24"/>
          <w:szCs w:val="24"/>
          <w:highlight w:val="none"/>
        </w:rPr>
        <w:t>种方式：</w:t>
      </w:r>
    </w:p>
    <w:p w14:paraId="03E5C88E">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 xml:space="preserve">； </w:t>
      </w:r>
    </w:p>
    <w:p w14:paraId="11397686">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（2）相应比例的工程款：</w:t>
      </w:r>
      <w:r>
        <w:rPr>
          <w:rFonts w:hint="eastAsia" w:ascii="宋体" w:hAnsi="宋体" w:eastAsia="宋体" w:cs="宋体"/>
          <w:color w:val="auto"/>
          <w:kern w:val="0"/>
          <w:sz w:val="24"/>
          <w:szCs w:val="24"/>
          <w:highlight w:val="none"/>
          <w:u w:val="single"/>
        </w:rPr>
        <w:t> </w:t>
      </w:r>
      <w:r>
        <w:rPr>
          <w:rFonts w:hint="eastAsia" w:ascii="宋体" w:hAnsi="宋体" w:eastAsia="宋体" w:cs="宋体"/>
          <w:b/>
          <w:bCs/>
          <w:color w:val="auto"/>
          <w:kern w:val="2"/>
          <w:sz w:val="24"/>
          <w:szCs w:val="24"/>
          <w:highlight w:val="none"/>
          <w:u w:val="single"/>
          <w:lang w:val="en-US" w:eastAsia="zh-CN"/>
        </w:rPr>
        <w:t>最</w:t>
      </w:r>
      <w:r>
        <w:rPr>
          <w:rFonts w:hint="eastAsia" w:ascii="宋体" w:hAnsi="宋体" w:eastAsia="宋体" w:cs="宋体"/>
          <w:b/>
          <w:bCs/>
          <w:color w:val="auto"/>
          <w:kern w:val="2"/>
          <w:sz w:val="24"/>
          <w:szCs w:val="24"/>
          <w:highlight w:val="none"/>
          <w:u w:val="single"/>
        </w:rPr>
        <w:t>终工程结算金额的3%（不计利息）</w:t>
      </w:r>
      <w:r>
        <w:rPr>
          <w:rFonts w:hint="eastAsia" w:ascii="宋体" w:hAnsi="宋体" w:eastAsia="宋体" w:cs="宋体"/>
          <w:color w:val="auto"/>
          <w:kern w:val="0"/>
          <w:sz w:val="24"/>
          <w:szCs w:val="24"/>
          <w:highlight w:val="none"/>
          <w:u w:val="single"/>
        </w:rPr>
        <w:t>；</w:t>
      </w:r>
    </w:p>
    <w:p w14:paraId="35F315B5">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双方约定的</w:t>
      </w:r>
      <w:r>
        <w:rPr>
          <w:rFonts w:hint="eastAsia" w:ascii="宋体" w:hAnsi="宋体" w:eastAsia="宋体" w:cs="宋体"/>
          <w:color w:val="auto"/>
          <w:kern w:val="0"/>
          <w:sz w:val="24"/>
          <w:szCs w:val="24"/>
          <w:highlight w:val="none"/>
        </w:rPr>
        <w:t>其他方式:</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57E9C03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bookmarkStart w:id="547" w:name="_Toc256000046"/>
      <w:r>
        <w:rPr>
          <w:rFonts w:hint="eastAsia" w:ascii="宋体" w:hAnsi="宋体" w:eastAsia="宋体" w:cs="宋体"/>
          <w:color w:val="auto"/>
          <w:kern w:val="2"/>
          <w:sz w:val="24"/>
          <w:szCs w:val="24"/>
          <w:highlight w:val="none"/>
        </w:rPr>
        <w:t>15.3.2 质量保证金的扣留</w:t>
      </w:r>
      <w:bookmarkEnd w:id="547"/>
      <w:r>
        <w:rPr>
          <w:rFonts w:hint="eastAsia" w:ascii="宋体" w:hAnsi="宋体" w:eastAsia="宋体" w:cs="宋体"/>
          <w:color w:val="auto"/>
          <w:kern w:val="2"/>
          <w:sz w:val="24"/>
          <w:szCs w:val="24"/>
          <w:highlight w:val="none"/>
        </w:rPr>
        <w:t xml:space="preserve"> </w:t>
      </w:r>
    </w:p>
    <w:p w14:paraId="40CDB5C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质量保证金的扣留采取以下第</w:t>
      </w:r>
      <w:r>
        <w:rPr>
          <w:rFonts w:hint="eastAsia" w:ascii="宋体" w:hAnsi="宋体" w:eastAsia="宋体" w:cs="宋体"/>
          <w:color w:val="auto"/>
          <w:kern w:val="2"/>
          <w:sz w:val="24"/>
          <w:szCs w:val="24"/>
          <w:highlight w:val="none"/>
          <w:u w:val="single"/>
        </w:rPr>
        <w:t xml:space="preserve">（2） </w:t>
      </w:r>
      <w:r>
        <w:rPr>
          <w:rFonts w:hint="eastAsia" w:ascii="宋体" w:hAnsi="宋体" w:eastAsia="宋体" w:cs="宋体"/>
          <w:color w:val="auto"/>
          <w:kern w:val="2"/>
          <w:sz w:val="24"/>
          <w:szCs w:val="24"/>
          <w:highlight w:val="none"/>
        </w:rPr>
        <w:t>种方式：</w:t>
      </w:r>
    </w:p>
    <w:p w14:paraId="305C0568">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0F7E3E22">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bookmarkStart w:id="548" w:name="_Toc256000047"/>
      <w:r>
        <w:rPr>
          <w:rFonts w:hint="eastAsia" w:ascii="宋体" w:hAnsi="宋体" w:eastAsia="宋体" w:cs="宋体"/>
          <w:color w:val="auto"/>
          <w:kern w:val="0"/>
          <w:sz w:val="24"/>
          <w:szCs w:val="24"/>
          <w:highlight w:val="none"/>
        </w:rPr>
        <w:t>（2）工程竣工结算时一次性扣留质量保证金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eastAsia="zh-CN"/>
        </w:rPr>
        <w:t>工程结算总价×</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none"/>
          <w:lang w:val="en-US" w:eastAsia="zh-CN"/>
        </w:rPr>
        <w:t>。</w:t>
      </w:r>
      <w:bookmarkEnd w:id="548"/>
    </w:p>
    <w:p w14:paraId="725E2287">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（3）其他扣留方式:</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10AF43B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关于质量保证金的补充约定：</w:t>
      </w:r>
      <w:r>
        <w:rPr>
          <w:rFonts w:hint="eastAsia" w:ascii="宋体" w:hAnsi="宋体" w:eastAsia="宋体" w:cs="宋体"/>
          <w:color w:val="auto"/>
          <w:kern w:val="0"/>
          <w:sz w:val="24"/>
          <w:szCs w:val="24"/>
          <w:highlight w:val="none"/>
          <w:u w:val="single"/>
        </w:rPr>
        <w:t xml:space="preserve">  详见工程质量保修书      </w:t>
      </w:r>
      <w:r>
        <w:rPr>
          <w:rFonts w:hint="eastAsia" w:ascii="宋体" w:hAnsi="宋体" w:eastAsia="宋体" w:cs="宋体"/>
          <w:color w:val="auto"/>
          <w:kern w:val="0"/>
          <w:sz w:val="24"/>
          <w:szCs w:val="24"/>
          <w:highlight w:val="none"/>
        </w:rPr>
        <w:t>。</w:t>
      </w:r>
    </w:p>
    <w:bookmarkEnd w:id="516"/>
    <w:bookmarkEnd w:id="517"/>
    <w:p w14:paraId="22F38FA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15.4保修</w:t>
      </w:r>
    </w:p>
    <w:bookmarkEnd w:id="518"/>
    <w:p w14:paraId="29548A5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15.4.1 保修责任</w:t>
      </w:r>
    </w:p>
    <w:p w14:paraId="73108F3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rPr>
        <w:t>工程保修期为：</w:t>
      </w:r>
      <w:r>
        <w:rPr>
          <w:rFonts w:hint="eastAsia" w:ascii="宋体" w:hAnsi="宋体" w:eastAsia="宋体" w:cs="宋体"/>
          <w:b/>
          <w:bCs/>
          <w:color w:val="auto"/>
          <w:kern w:val="2"/>
          <w:sz w:val="24"/>
          <w:szCs w:val="24"/>
          <w:highlight w:val="none"/>
          <w:u w:val="single"/>
          <w:lang w:val="en-US" w:eastAsia="zh-CN"/>
        </w:rPr>
        <w:t>2年，保修要求按建设部2000年80号令执行</w:t>
      </w:r>
    </w:p>
    <w:p w14:paraId="1FEBBE9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15.4.3 修复通知</w:t>
      </w:r>
    </w:p>
    <w:p w14:paraId="4B07A1E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7天之内，如限定时间不到，由发包方请有资质的施工队伍进行维修，其维修费从承包方质量保证金中抵扣。</w:t>
      </w:r>
    </w:p>
    <w:bookmarkEnd w:id="519"/>
    <w:bookmarkEnd w:id="520"/>
    <w:bookmarkEnd w:id="521"/>
    <w:bookmarkEnd w:id="522"/>
    <w:p w14:paraId="44E926A6">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49" w:name="_Toc351203648"/>
      <w:bookmarkStart w:id="550" w:name="_Toc280868717"/>
      <w:bookmarkStart w:id="551" w:name="_Toc280868718"/>
      <w:r>
        <w:rPr>
          <w:rFonts w:hint="eastAsia" w:ascii="宋体" w:hAnsi="宋体" w:eastAsia="宋体" w:cs="宋体"/>
          <w:b/>
          <w:bCs/>
          <w:color w:val="auto"/>
          <w:kern w:val="2"/>
          <w:sz w:val="24"/>
          <w:szCs w:val="24"/>
          <w:highlight w:val="none"/>
        </w:rPr>
        <w:t>16. 违约</w:t>
      </w:r>
      <w:bookmarkEnd w:id="549"/>
    </w:p>
    <w:p w14:paraId="55339D72">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52" w:name="_Toc256000048"/>
      <w:r>
        <w:rPr>
          <w:rFonts w:hint="eastAsia" w:ascii="宋体" w:hAnsi="宋体" w:eastAsia="宋体" w:cs="宋体"/>
          <w:color w:val="auto"/>
          <w:kern w:val="2"/>
          <w:sz w:val="24"/>
          <w:szCs w:val="24"/>
          <w:highlight w:val="none"/>
        </w:rPr>
        <w:t>16.1 发包人违约</w:t>
      </w:r>
      <w:bookmarkEnd w:id="552"/>
    </w:p>
    <w:p w14:paraId="742C454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16.1.1发包人违约的情形</w:t>
      </w:r>
    </w:p>
    <w:p w14:paraId="7C7F31E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8245A2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664F478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571F48D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w:t>
      </w:r>
    </w:p>
    <w:p w14:paraId="13EEB073">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lang w:eastAsia="zh-CN"/>
        </w:rPr>
        <w:t>按专用条款第</w:t>
      </w:r>
      <w:r>
        <w:rPr>
          <w:rFonts w:hint="eastAsia" w:ascii="宋体" w:hAnsi="宋体" w:eastAsia="宋体" w:cs="宋体"/>
          <w:color w:val="auto"/>
          <w:kern w:val="0"/>
          <w:sz w:val="24"/>
          <w:szCs w:val="24"/>
          <w:highlight w:val="none"/>
          <w:u w:val="single"/>
          <w:lang w:val="en-US" w:eastAsia="zh-CN"/>
        </w:rPr>
        <w:t>12.4.1条的规定执行</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79C10C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w:t>
      </w:r>
    </w:p>
    <w:p w14:paraId="37B8FBE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w:t>
      </w:r>
    </w:p>
    <w:p w14:paraId="113B1DE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rPr>
        <w:t>。</w:t>
      </w:r>
    </w:p>
    <w:p w14:paraId="2E39811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6A54AEF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F6E3B1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16.1.3 因发包人违约解除合同</w:t>
      </w:r>
    </w:p>
    <w:p w14:paraId="7BA9540A">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28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1CA89E9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53" w:name="_Toc256000049"/>
      <w:r>
        <w:rPr>
          <w:rFonts w:hint="eastAsia" w:ascii="宋体" w:hAnsi="宋体" w:eastAsia="宋体" w:cs="宋体"/>
          <w:color w:val="auto"/>
          <w:kern w:val="2"/>
          <w:sz w:val="24"/>
          <w:szCs w:val="24"/>
          <w:highlight w:val="none"/>
        </w:rPr>
        <w:t>16.2 承包人违约</w:t>
      </w:r>
      <w:bookmarkEnd w:id="553"/>
    </w:p>
    <w:p w14:paraId="39F1B5E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62478B3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A30910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2A34918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承包人违约责任的承担方式和计算方法：</w:t>
      </w:r>
    </w:p>
    <w:p w14:paraId="0899340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1、承包人违反合同约定进行转包或违法分包的责任：应当向发包人承担合同价款的10%违约金，且发包人有权解除合同并不承担承包人任何损失。</w:t>
      </w:r>
    </w:p>
    <w:p w14:paraId="24B0F4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2、承包人违反合同约定采购和使用不合格的材料和工程设备的：除无条件更换不合格材料或设备且自行承担费用外，每发现一次，支付违约金1万元</w:t>
      </w:r>
      <w:r>
        <w:rPr>
          <w:rFonts w:hint="eastAsia" w:ascii="宋体" w:hAnsi="宋体" w:eastAsia="宋体" w:cs="宋体"/>
          <w:color w:val="auto"/>
          <w:kern w:val="0"/>
          <w:sz w:val="24"/>
          <w:szCs w:val="24"/>
          <w:highlight w:val="none"/>
          <w:u w:val="none"/>
        </w:rPr>
        <w:t>。</w:t>
      </w:r>
    </w:p>
    <w:p w14:paraId="45A12E2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3、因承包人的原因导致工程质量不符合合同要求的：除无条件返工直至达到合同约定标准且自行承担费用外，每发现一次，支付违约金1万元。</w:t>
      </w:r>
    </w:p>
    <w:p w14:paraId="61D4707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4、承包人违反第3.1条的约定，未经批准，私自将已按照合同约定进入施工现场的材料和设备撤离施工现场的：除无条件改正外，每发现一次，支付违约金1万元。</w:t>
      </w:r>
    </w:p>
    <w:p w14:paraId="1682488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5、承包人未能按施工进度计划及时完成合同约定的工作，造成工期延误的，除按第7.5.2条约定承担违约金外，逾期超过30天的，发包人有权解除合同且不承担承包人任何损失。</w:t>
      </w:r>
    </w:p>
    <w:p w14:paraId="335390B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6、承包人在缺陷责任期及保修内，未能在合理期内对工程缺陷进行修复，或拒绝按发包人要求进行修复的：除发包人有权自行修复或委托第三方修复，所需费用由承包人承担外，另按修复费的10%承担违约金。</w:t>
      </w:r>
    </w:p>
    <w:p w14:paraId="4B5F948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7、承包人自开工之日起超过30日未开工，发包人可单方解除合同，承包人承担向发包人支付合同总价款10%的违约金，承包人所受的损失自行承担</w:t>
      </w:r>
      <w:r>
        <w:rPr>
          <w:rFonts w:hint="eastAsia" w:ascii="宋体" w:hAnsi="宋体" w:eastAsia="宋体" w:cs="宋体"/>
          <w:color w:val="auto"/>
          <w:kern w:val="0"/>
          <w:sz w:val="24"/>
          <w:szCs w:val="24"/>
          <w:highlight w:val="none"/>
          <w:u w:val="none"/>
        </w:rPr>
        <w:t>。</w:t>
      </w:r>
    </w:p>
    <w:p w14:paraId="7170254A">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16.2.3 因承包人违约解除合同</w:t>
      </w:r>
    </w:p>
    <w:p w14:paraId="5EDD5E4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按通用合同条款</w:t>
      </w:r>
      <w:r>
        <w:rPr>
          <w:rFonts w:hint="eastAsia" w:ascii="宋体" w:hAnsi="宋体" w:eastAsia="宋体" w:cs="宋体"/>
          <w:color w:val="auto"/>
          <w:kern w:val="0"/>
          <w:sz w:val="24"/>
          <w:szCs w:val="24"/>
          <w:highlight w:val="none"/>
          <w:u w:val="none"/>
        </w:rPr>
        <w:t>。</w:t>
      </w:r>
    </w:p>
    <w:p w14:paraId="49E9A766">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无偿使用 </w:t>
      </w:r>
      <w:r>
        <w:rPr>
          <w:rFonts w:hint="eastAsia" w:ascii="宋体" w:hAnsi="宋体" w:eastAsia="宋体" w:cs="宋体"/>
          <w:color w:val="auto"/>
          <w:kern w:val="0"/>
          <w:sz w:val="24"/>
          <w:szCs w:val="24"/>
          <w:highlight w:val="none"/>
        </w:rPr>
        <w:t>。</w:t>
      </w:r>
    </w:p>
    <w:p w14:paraId="62BC8191">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54" w:name="_Toc351203649"/>
      <w:r>
        <w:rPr>
          <w:rFonts w:hint="eastAsia" w:ascii="宋体" w:hAnsi="宋体" w:eastAsia="宋体" w:cs="宋体"/>
          <w:b/>
          <w:bCs/>
          <w:color w:val="auto"/>
          <w:kern w:val="2"/>
          <w:sz w:val="24"/>
          <w:szCs w:val="24"/>
          <w:highlight w:val="none"/>
        </w:rPr>
        <w:t>17. 不可抗力</w:t>
      </w:r>
      <w:bookmarkEnd w:id="554"/>
      <w:r>
        <w:rPr>
          <w:rFonts w:hint="eastAsia" w:ascii="宋体" w:hAnsi="宋体" w:eastAsia="宋体" w:cs="宋体"/>
          <w:b/>
          <w:bCs/>
          <w:color w:val="auto"/>
          <w:kern w:val="2"/>
          <w:sz w:val="24"/>
          <w:szCs w:val="24"/>
          <w:highlight w:val="none"/>
        </w:rPr>
        <w:t xml:space="preserve"> </w:t>
      </w:r>
      <w:bookmarkEnd w:id="550"/>
    </w:p>
    <w:p w14:paraId="0CC17D2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17.1 不可抗力的确认</w:t>
      </w:r>
    </w:p>
    <w:p w14:paraId="180448A0">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2"/>
          <w:sz w:val="24"/>
          <w:szCs w:val="24"/>
          <w:highlight w:val="none"/>
        </w:rPr>
        <w:t>除通用合同条款约定的不可抗力事件之外，视为不可抗力的其他情形：</w:t>
      </w:r>
      <w:r>
        <w:rPr>
          <w:rFonts w:hint="eastAsia" w:ascii="宋体" w:hAnsi="宋体" w:eastAsia="宋体" w:cs="宋体"/>
          <w:color w:val="auto"/>
          <w:kern w:val="0"/>
          <w:sz w:val="24"/>
          <w:szCs w:val="24"/>
          <w:highlight w:val="none"/>
          <w:u w:val="single"/>
        </w:rPr>
        <w:t>6级以上地震；10级以上的暴风；一天200mm以上或三天450mm以上的暴雨；一次积雪深达450mm以上等自然灾害；地震资料以湖南省地震局提供的资料为准，暴风资料以当地气象部门提供的资料为准</w:t>
      </w:r>
      <w:r>
        <w:rPr>
          <w:rFonts w:hint="eastAsia" w:ascii="宋体" w:hAnsi="宋体" w:eastAsia="宋体" w:cs="宋体"/>
          <w:color w:val="auto"/>
          <w:kern w:val="0"/>
          <w:sz w:val="24"/>
          <w:szCs w:val="24"/>
          <w:highlight w:val="none"/>
        </w:rPr>
        <w:t>。</w:t>
      </w:r>
    </w:p>
    <w:p w14:paraId="13FD10F9">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17.3不可抗力后果的承担</w:t>
      </w:r>
    </w:p>
    <w:p w14:paraId="0F35FBD4">
      <w:pPr>
        <w:keepNext w:val="0"/>
        <w:keepLines w:val="0"/>
        <w:pageBreakBefore w:val="0"/>
        <w:kinsoku/>
        <w:wordWrap/>
        <w:overflowPunct/>
        <w:topLinePunct w:val="0"/>
        <w:bidi w:val="0"/>
        <w:spacing w:line="480" w:lineRule="exact"/>
        <w:ind w:left="0" w:leftChars="0" w:firstLine="482"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因不可抗力、自然灾害、征地拆迁等因素延长施工工期的，工期顺延，由此产生的相关费用（包括损失），承包人不得向发包人进行索赔。</w:t>
      </w:r>
    </w:p>
    <w:p w14:paraId="0ACD855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55" w:name="_Toc256000050"/>
      <w:r>
        <w:rPr>
          <w:rFonts w:hint="eastAsia" w:ascii="宋体" w:hAnsi="宋体" w:eastAsia="宋体" w:cs="宋体"/>
          <w:color w:val="auto"/>
          <w:kern w:val="2"/>
          <w:sz w:val="24"/>
          <w:szCs w:val="24"/>
          <w:highlight w:val="none"/>
        </w:rPr>
        <w:t>17.4 因不可抗力解除合同</w:t>
      </w:r>
      <w:bookmarkEnd w:id="555"/>
    </w:p>
    <w:p w14:paraId="52299AE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合同解除后，发包人应在商定或确定发包人应支付款项后</w:t>
      </w:r>
      <w:r>
        <w:rPr>
          <w:rFonts w:hint="eastAsia" w:ascii="宋体" w:hAnsi="宋体" w:eastAsia="宋体" w:cs="宋体"/>
          <w:color w:val="auto"/>
          <w:kern w:val="2"/>
          <w:sz w:val="24"/>
          <w:szCs w:val="24"/>
          <w:highlight w:val="none"/>
          <w:u w:val="single"/>
        </w:rPr>
        <w:t>28</w:t>
      </w:r>
      <w:r>
        <w:rPr>
          <w:rFonts w:hint="eastAsia" w:ascii="宋体" w:hAnsi="宋体" w:eastAsia="宋体" w:cs="宋体"/>
          <w:color w:val="auto"/>
          <w:kern w:val="2"/>
          <w:sz w:val="24"/>
          <w:szCs w:val="24"/>
          <w:highlight w:val="none"/>
        </w:rPr>
        <w:t>天内完成款项的支付。</w:t>
      </w:r>
    </w:p>
    <w:p w14:paraId="1E915EAE">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56" w:name="_Toc351203650"/>
      <w:r>
        <w:rPr>
          <w:rFonts w:hint="eastAsia" w:ascii="宋体" w:hAnsi="宋体" w:eastAsia="宋体" w:cs="宋体"/>
          <w:b/>
          <w:bCs/>
          <w:color w:val="auto"/>
          <w:kern w:val="2"/>
          <w:sz w:val="24"/>
          <w:szCs w:val="24"/>
          <w:highlight w:val="none"/>
        </w:rPr>
        <w:t>18. 保险</w:t>
      </w:r>
      <w:bookmarkEnd w:id="556"/>
    </w:p>
    <w:bookmarkEnd w:id="551"/>
    <w:p w14:paraId="4C1ADC5D">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18.1 工程保险</w:t>
      </w:r>
    </w:p>
    <w:p w14:paraId="6AB1DFA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按通用合同条款   </w:t>
      </w:r>
      <w:r>
        <w:rPr>
          <w:rFonts w:hint="eastAsia" w:ascii="宋体" w:hAnsi="宋体" w:eastAsia="宋体" w:cs="宋体"/>
          <w:color w:val="auto"/>
          <w:kern w:val="0"/>
          <w:sz w:val="24"/>
          <w:szCs w:val="24"/>
          <w:highlight w:val="none"/>
        </w:rPr>
        <w:t>。</w:t>
      </w:r>
    </w:p>
    <w:p w14:paraId="203B2637">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lang w:eastAsia="zh-CN"/>
        </w:rPr>
        <w:t>安全责任保险</w:t>
      </w:r>
    </w:p>
    <w:p w14:paraId="2FD1A3C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lang w:eastAsia="zh-CN"/>
        </w:rPr>
        <w:t>关于安全生产责任保险的约定：</w:t>
      </w:r>
      <w:r>
        <w:rPr>
          <w:rFonts w:hint="eastAsia" w:ascii="宋体" w:hAnsi="宋体" w:eastAsia="宋体" w:cs="宋体"/>
          <w:color w:val="auto"/>
          <w:kern w:val="0"/>
          <w:sz w:val="24"/>
          <w:szCs w:val="24"/>
          <w:highlight w:val="none"/>
          <w:u w:val="single"/>
          <w:lang w:eastAsia="zh-CN"/>
        </w:rPr>
        <w:t>按通用合同条款</w:t>
      </w:r>
      <w:r>
        <w:rPr>
          <w:rFonts w:hint="eastAsia" w:ascii="宋体" w:hAnsi="宋体" w:eastAsia="宋体" w:cs="宋体"/>
          <w:color w:val="auto"/>
          <w:kern w:val="0"/>
          <w:sz w:val="24"/>
          <w:szCs w:val="24"/>
          <w:highlight w:val="none"/>
          <w:u w:val="none"/>
          <w:lang w:eastAsia="zh-CN"/>
        </w:rPr>
        <w:t>。</w:t>
      </w:r>
    </w:p>
    <w:p w14:paraId="61B7018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b/>
          <w:bCs/>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 xml:space="preserve">18.3 </w:t>
      </w:r>
      <w:r>
        <w:rPr>
          <w:rFonts w:hint="eastAsia" w:ascii="宋体" w:hAnsi="宋体" w:eastAsia="宋体" w:cs="宋体"/>
          <w:b/>
          <w:bCs/>
          <w:color w:val="auto"/>
          <w:kern w:val="0"/>
          <w:sz w:val="24"/>
          <w:szCs w:val="24"/>
          <w:highlight w:val="none"/>
          <w:u w:val="none"/>
          <w:lang w:val="en-US" w:eastAsia="zh-CN"/>
        </w:rPr>
        <w:t>通知义务</w:t>
      </w:r>
    </w:p>
    <w:p w14:paraId="6F02332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关于变更保险合同时的通知义务的约定：</w:t>
      </w:r>
      <w:r>
        <w:rPr>
          <w:rFonts w:hint="eastAsia" w:ascii="宋体" w:hAnsi="宋体" w:eastAsia="宋体" w:cs="宋体"/>
          <w:color w:val="auto"/>
          <w:kern w:val="2"/>
          <w:sz w:val="24"/>
          <w:szCs w:val="24"/>
          <w:highlight w:val="none"/>
          <w:u w:val="single"/>
          <w:lang w:eastAsia="zh-CN"/>
        </w:rPr>
        <w:t>按通用合同条款</w:t>
      </w:r>
      <w:r>
        <w:rPr>
          <w:rFonts w:hint="eastAsia" w:ascii="宋体" w:hAnsi="宋体" w:eastAsia="宋体" w:cs="宋体"/>
          <w:color w:val="auto"/>
          <w:kern w:val="2"/>
          <w:sz w:val="24"/>
          <w:szCs w:val="24"/>
          <w:highlight w:val="none"/>
          <w:u w:val="none"/>
          <w:lang w:eastAsia="zh-CN"/>
        </w:rPr>
        <w:t>。</w:t>
      </w:r>
    </w:p>
    <w:bookmarkEnd w:id="523"/>
    <w:bookmarkEnd w:id="524"/>
    <w:bookmarkEnd w:id="525"/>
    <w:bookmarkEnd w:id="526"/>
    <w:bookmarkEnd w:id="527"/>
    <w:bookmarkEnd w:id="528"/>
    <w:bookmarkEnd w:id="529"/>
    <w:bookmarkEnd w:id="530"/>
    <w:bookmarkEnd w:id="531"/>
    <w:bookmarkEnd w:id="532"/>
    <w:bookmarkEnd w:id="533"/>
    <w:bookmarkEnd w:id="534"/>
    <w:p w14:paraId="4BA34021">
      <w:pPr>
        <w:keepNext w:val="0"/>
        <w:keepLines w:val="0"/>
        <w:pageBreakBefore w:val="0"/>
        <w:kinsoku/>
        <w:wordWrap/>
        <w:overflowPunct/>
        <w:topLinePunct w:val="0"/>
        <w:bidi w:val="0"/>
        <w:spacing w:line="480" w:lineRule="exact"/>
        <w:jc w:val="both"/>
        <w:textAlignment w:val="auto"/>
        <w:outlineLvl w:val="9"/>
        <w:rPr>
          <w:rFonts w:hint="eastAsia" w:ascii="宋体" w:hAnsi="宋体" w:eastAsia="宋体" w:cs="宋体"/>
          <w:b/>
          <w:bCs/>
          <w:color w:val="auto"/>
          <w:kern w:val="2"/>
          <w:sz w:val="24"/>
          <w:szCs w:val="24"/>
          <w:highlight w:val="none"/>
        </w:rPr>
      </w:pPr>
      <w:bookmarkStart w:id="557" w:name="_Toc351203651"/>
      <w:r>
        <w:rPr>
          <w:rFonts w:hint="eastAsia" w:ascii="宋体" w:hAnsi="宋体" w:eastAsia="宋体" w:cs="宋体"/>
          <w:b/>
          <w:bCs/>
          <w:color w:val="auto"/>
          <w:kern w:val="2"/>
          <w:sz w:val="24"/>
          <w:szCs w:val="24"/>
          <w:highlight w:val="none"/>
          <w:lang w:val="en-US" w:eastAsia="zh-CN"/>
        </w:rPr>
        <w:t>19</w:t>
      </w:r>
      <w:r>
        <w:rPr>
          <w:rFonts w:hint="eastAsia" w:ascii="宋体" w:hAnsi="宋体" w:eastAsia="宋体" w:cs="宋体"/>
          <w:b/>
          <w:bCs/>
          <w:color w:val="auto"/>
          <w:kern w:val="2"/>
          <w:sz w:val="24"/>
          <w:szCs w:val="24"/>
          <w:highlight w:val="none"/>
        </w:rPr>
        <w:t>. 争议解决</w:t>
      </w:r>
      <w:bookmarkEnd w:id="557"/>
    </w:p>
    <w:bookmarkEnd w:id="535"/>
    <w:bookmarkEnd w:id="536"/>
    <w:p w14:paraId="7AA10F65">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58" w:name="_Toc256000051"/>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 xml:space="preserve"> 争</w:t>
      </w:r>
      <w:bookmarkEnd w:id="537"/>
      <w:r>
        <w:rPr>
          <w:rFonts w:hint="eastAsia" w:ascii="宋体" w:hAnsi="宋体" w:eastAsia="宋体" w:cs="宋体"/>
          <w:color w:val="auto"/>
          <w:kern w:val="2"/>
          <w:sz w:val="24"/>
          <w:szCs w:val="24"/>
          <w:highlight w:val="none"/>
        </w:rPr>
        <w:t>议评审</w:t>
      </w:r>
      <w:bookmarkEnd w:id="558"/>
    </w:p>
    <w:p w14:paraId="3169B89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合同当事人是否同意将工程争议提交争议评审小组决定：</w:t>
      </w:r>
      <w:r>
        <w:rPr>
          <w:rFonts w:hint="eastAsia" w:ascii="宋体" w:hAnsi="宋体" w:eastAsia="宋体" w:cs="宋体"/>
          <w:color w:val="auto"/>
          <w:kern w:val="2"/>
          <w:sz w:val="24"/>
          <w:szCs w:val="24"/>
          <w:highlight w:val="none"/>
          <w:u w:val="single"/>
        </w:rPr>
        <w:t xml:space="preserve">  是   </w:t>
      </w:r>
      <w:r>
        <w:rPr>
          <w:rFonts w:hint="eastAsia" w:ascii="宋体" w:hAnsi="宋体" w:eastAsia="宋体" w:cs="宋体"/>
          <w:color w:val="auto"/>
          <w:kern w:val="2"/>
          <w:sz w:val="24"/>
          <w:szCs w:val="24"/>
          <w:highlight w:val="none"/>
        </w:rPr>
        <w:t xml:space="preserve">。  </w:t>
      </w:r>
    </w:p>
    <w:p w14:paraId="6E8A3B64">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bookmarkStart w:id="559" w:name="_Toc256000052"/>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.1 争议评审小组的确定</w:t>
      </w:r>
      <w:bookmarkEnd w:id="559"/>
    </w:p>
    <w:p w14:paraId="132B3C08">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争议评审小组成员的确定：</w:t>
      </w:r>
      <w:r>
        <w:rPr>
          <w:rFonts w:hint="eastAsia" w:ascii="宋体" w:hAnsi="宋体" w:eastAsia="宋体" w:cs="宋体"/>
          <w:color w:val="auto"/>
          <w:kern w:val="2"/>
          <w:sz w:val="24"/>
          <w:szCs w:val="24"/>
          <w:highlight w:val="none"/>
          <w:u w:val="single"/>
        </w:rPr>
        <w:t xml:space="preserve">  共同选择三名争议评审员  </w:t>
      </w:r>
      <w:r>
        <w:rPr>
          <w:rFonts w:hint="eastAsia" w:ascii="宋体" w:hAnsi="宋体" w:eastAsia="宋体" w:cs="宋体"/>
          <w:color w:val="auto"/>
          <w:kern w:val="2"/>
          <w:sz w:val="24"/>
          <w:szCs w:val="24"/>
          <w:highlight w:val="none"/>
        </w:rPr>
        <w:t>。</w:t>
      </w:r>
    </w:p>
    <w:p w14:paraId="04E6AEF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选定争议评审员的期限：</w:t>
      </w:r>
      <w:r>
        <w:rPr>
          <w:rFonts w:hint="eastAsia" w:ascii="宋体" w:hAnsi="宋体" w:eastAsia="宋体" w:cs="宋体"/>
          <w:color w:val="auto"/>
          <w:kern w:val="2"/>
          <w:sz w:val="24"/>
          <w:szCs w:val="24"/>
          <w:highlight w:val="none"/>
          <w:u w:val="single"/>
        </w:rPr>
        <w:t xml:space="preserve">     争议发生后14天内      </w:t>
      </w:r>
      <w:r>
        <w:rPr>
          <w:rFonts w:hint="eastAsia" w:ascii="宋体" w:hAnsi="宋体" w:eastAsia="宋体" w:cs="宋体"/>
          <w:color w:val="auto"/>
          <w:kern w:val="2"/>
          <w:sz w:val="24"/>
          <w:szCs w:val="24"/>
          <w:highlight w:val="none"/>
        </w:rPr>
        <w:t>。</w:t>
      </w:r>
    </w:p>
    <w:p w14:paraId="6A8B4076">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争议评审小组成员的报酬承担方式：</w:t>
      </w:r>
      <w:r>
        <w:rPr>
          <w:rFonts w:hint="eastAsia" w:ascii="宋体" w:hAnsi="宋体" w:eastAsia="宋体" w:cs="宋体"/>
          <w:color w:val="auto"/>
          <w:kern w:val="2"/>
          <w:sz w:val="24"/>
          <w:szCs w:val="24"/>
          <w:highlight w:val="none"/>
          <w:u w:val="single"/>
        </w:rPr>
        <w:t xml:space="preserve">  由发包人和承包人各自承担一半     </w:t>
      </w:r>
      <w:r>
        <w:rPr>
          <w:rFonts w:hint="eastAsia" w:ascii="宋体" w:hAnsi="宋体" w:eastAsia="宋体" w:cs="宋体"/>
          <w:color w:val="auto"/>
          <w:kern w:val="2"/>
          <w:sz w:val="24"/>
          <w:szCs w:val="24"/>
          <w:highlight w:val="none"/>
        </w:rPr>
        <w:t>。</w:t>
      </w:r>
    </w:p>
    <w:p w14:paraId="2D26FA85">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其他事项的约定：</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792F5FCA">
      <w:pPr>
        <w:keepNext w:val="0"/>
        <w:keepLines w:val="0"/>
        <w:pageBreakBefore w:val="0"/>
        <w:kinsoku/>
        <w:wordWrap/>
        <w:overflowPunct/>
        <w:topLinePunct w:val="0"/>
        <w:autoSpaceDE w:val="0"/>
        <w:autoSpaceDN w:val="0"/>
        <w:bidi w:val="0"/>
        <w:adjustRightInd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bookmarkStart w:id="560" w:name="_Toc256000053"/>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 争议评审小组的决定</w:t>
      </w:r>
      <w:bookmarkEnd w:id="560"/>
    </w:p>
    <w:p w14:paraId="09AD513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合同当事人关于本项的约定：</w:t>
      </w:r>
      <w:r>
        <w:rPr>
          <w:rFonts w:hint="eastAsia" w:ascii="宋体" w:hAnsi="宋体" w:eastAsia="宋体" w:cs="宋体"/>
          <w:color w:val="auto"/>
          <w:kern w:val="2"/>
          <w:sz w:val="24"/>
          <w:szCs w:val="24"/>
          <w:highlight w:val="none"/>
          <w:u w:val="single"/>
        </w:rPr>
        <w:t xml:space="preserve">  按通用合同条款 </w:t>
      </w:r>
      <w:r>
        <w:rPr>
          <w:rFonts w:hint="eastAsia" w:ascii="宋体" w:hAnsi="宋体" w:eastAsia="宋体" w:cs="宋体"/>
          <w:color w:val="auto"/>
          <w:kern w:val="2"/>
          <w:sz w:val="24"/>
          <w:szCs w:val="24"/>
          <w:highlight w:val="none"/>
        </w:rPr>
        <w:t xml:space="preserve"> 。</w:t>
      </w:r>
    </w:p>
    <w:p w14:paraId="73E9CEFE">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bookmarkStart w:id="561" w:name="_Toc256000054"/>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仲裁或诉讼</w:t>
      </w:r>
      <w:bookmarkEnd w:id="538"/>
      <w:bookmarkEnd w:id="561"/>
    </w:p>
    <w:p w14:paraId="0807FA6D">
      <w:pPr>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因合同及合同有关事项发生的争议，按下列第</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种方式解决：</w:t>
      </w:r>
    </w:p>
    <w:p w14:paraId="2D537B9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（1）向</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仲裁委员会申请仲裁；</w:t>
      </w:r>
    </w:p>
    <w:p w14:paraId="39A81F1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（2）向</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慈利县</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人民法院起诉。</w:t>
      </w:r>
      <w:bookmarkEnd w:id="539"/>
      <w:bookmarkEnd w:id="540"/>
      <w:bookmarkEnd w:id="541"/>
      <w:bookmarkEnd w:id="542"/>
      <w:bookmarkEnd w:id="543"/>
      <w:bookmarkEnd w:id="544"/>
    </w:p>
    <w:p w14:paraId="75ABAA63">
      <w:pPr>
        <w:keepNext w:val="0"/>
        <w:keepLines w:val="0"/>
        <w:pageBreakBefore w:val="0"/>
        <w:kinsoku/>
        <w:wordWrap/>
        <w:overflowPunct/>
        <w:topLinePunct w:val="0"/>
        <w:bidi w:val="0"/>
        <w:spacing w:line="480" w:lineRule="exact"/>
        <w:textAlignment w:val="auto"/>
        <w:outlineLvl w:val="9"/>
        <w:rPr>
          <w:rFonts w:hint="eastAsia" w:ascii="宋体" w:hAnsi="宋体" w:eastAsia="宋体" w:cs="宋体"/>
          <w:b/>
          <w:bCs/>
          <w:color w:val="auto"/>
          <w:kern w:val="2"/>
          <w:sz w:val="24"/>
          <w:szCs w:val="24"/>
          <w:highlight w:val="none"/>
        </w:rPr>
      </w:pPr>
      <w:bookmarkStart w:id="562" w:name="_Toc394257304"/>
      <w:bookmarkStart w:id="563" w:name="_Toc29726"/>
      <w:bookmarkStart w:id="564" w:name="_Toc467683077"/>
      <w:bookmarkStart w:id="565" w:name="_Toc445972167"/>
      <w:bookmarkStart w:id="566" w:name="_Toc444673989"/>
      <w:bookmarkStart w:id="567" w:name="_Toc438194978"/>
      <w:bookmarkStart w:id="568" w:name="_Toc256000055"/>
      <w:r>
        <w:rPr>
          <w:rFonts w:hint="eastAsia" w:ascii="宋体" w:hAnsi="宋体" w:eastAsia="宋体" w:cs="宋体"/>
          <w:b/>
          <w:bCs/>
          <w:color w:val="auto"/>
          <w:kern w:val="2"/>
          <w:sz w:val="24"/>
          <w:szCs w:val="24"/>
          <w:highlight w:val="none"/>
        </w:rPr>
        <w:t>2</w:t>
      </w:r>
      <w:r>
        <w:rPr>
          <w:rFonts w:hint="eastAsia" w:ascii="宋体" w:hAnsi="宋体" w:eastAsia="宋体" w:cs="宋体"/>
          <w:b/>
          <w:bCs/>
          <w:color w:val="auto"/>
          <w:kern w:val="2"/>
          <w:sz w:val="24"/>
          <w:szCs w:val="24"/>
          <w:highlight w:val="none"/>
          <w:lang w:val="en-US" w:eastAsia="zh-CN"/>
        </w:rPr>
        <w:t>0</w:t>
      </w:r>
      <w:r>
        <w:rPr>
          <w:rFonts w:hint="eastAsia" w:ascii="宋体" w:hAnsi="宋体" w:eastAsia="宋体" w:cs="宋体"/>
          <w:b/>
          <w:bCs/>
          <w:color w:val="auto"/>
          <w:kern w:val="2"/>
          <w:sz w:val="24"/>
          <w:szCs w:val="24"/>
          <w:highlight w:val="none"/>
        </w:rPr>
        <w:t>.</w:t>
      </w:r>
      <w:bookmarkEnd w:id="562"/>
      <w:bookmarkStart w:id="569" w:name="_Toc233434909"/>
      <w:bookmarkStart w:id="570" w:name="_Toc335237281"/>
      <w:r>
        <w:rPr>
          <w:rFonts w:hint="eastAsia" w:ascii="宋体" w:hAnsi="宋体" w:eastAsia="宋体" w:cs="宋体"/>
          <w:b/>
          <w:bCs/>
          <w:color w:val="auto"/>
          <w:kern w:val="2"/>
          <w:sz w:val="24"/>
          <w:szCs w:val="24"/>
          <w:highlight w:val="none"/>
        </w:rPr>
        <w:t>补充条款</w:t>
      </w:r>
      <w:bookmarkEnd w:id="563"/>
      <w:bookmarkEnd w:id="564"/>
      <w:bookmarkEnd w:id="565"/>
      <w:bookmarkEnd w:id="566"/>
      <w:bookmarkEnd w:id="567"/>
      <w:bookmarkEnd w:id="568"/>
      <w:bookmarkEnd w:id="569"/>
      <w:bookmarkEnd w:id="570"/>
    </w:p>
    <w:p w14:paraId="17F5F62E">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rPr>
        <w:t>1、所有工程款必须拨付到承包方指定的帐户上，严禁建造师（项目负责人）私自拨款。</w:t>
      </w:r>
    </w:p>
    <w:p w14:paraId="1BEDF44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rPr>
        <w:t>2、承包方保证不拖欠农民工工资</w:t>
      </w:r>
      <w:r>
        <w:rPr>
          <w:rFonts w:hint="eastAsia" w:ascii="宋体" w:hAnsi="宋体" w:eastAsia="宋体" w:cs="宋体"/>
          <w:color w:val="auto"/>
          <w:kern w:val="0"/>
          <w:sz w:val="24"/>
          <w:szCs w:val="24"/>
          <w:highlight w:val="none"/>
          <w:u w:val="dotted"/>
          <w:lang w:eastAsia="zh-CN"/>
        </w:rPr>
        <w:t>，按国家现行有关政策法规执行并服从发包人管理。</w:t>
      </w:r>
      <w:r>
        <w:rPr>
          <w:rFonts w:hint="eastAsia" w:ascii="宋体" w:hAnsi="宋体" w:eastAsia="宋体" w:cs="宋体"/>
          <w:color w:val="auto"/>
          <w:kern w:val="0"/>
          <w:sz w:val="24"/>
          <w:szCs w:val="24"/>
          <w:highlight w:val="none"/>
          <w:u w:val="dotted"/>
        </w:rPr>
        <w:t>不违反计划生育政策</w:t>
      </w:r>
      <w:r>
        <w:rPr>
          <w:rFonts w:hint="eastAsia" w:ascii="宋体" w:hAnsi="宋体" w:eastAsia="宋体" w:cs="宋体"/>
          <w:color w:val="auto"/>
          <w:kern w:val="0"/>
          <w:sz w:val="24"/>
          <w:szCs w:val="24"/>
          <w:highlight w:val="none"/>
          <w:u w:val="dotted"/>
          <w:lang w:eastAsia="zh-CN"/>
        </w:rPr>
        <w:t>，</w:t>
      </w:r>
      <w:r>
        <w:rPr>
          <w:rFonts w:hint="eastAsia" w:ascii="宋体" w:hAnsi="宋体" w:eastAsia="宋体" w:cs="宋体"/>
          <w:color w:val="auto"/>
          <w:kern w:val="0"/>
          <w:sz w:val="24"/>
          <w:szCs w:val="24"/>
          <w:highlight w:val="none"/>
          <w:u w:val="dotted"/>
        </w:rPr>
        <w:t>并承担施工工地社会治安综合治理责任。</w:t>
      </w:r>
    </w:p>
    <w:p w14:paraId="696AEC52">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rPr>
        <w:t>3、暂定价材料采购由发包人、财评中心、承包人、监理四方共同询价，认可价格、质量、品牌并签字方可执行，并作为以后结算的依据</w:t>
      </w:r>
      <w:r>
        <w:rPr>
          <w:rFonts w:hint="eastAsia" w:ascii="宋体" w:hAnsi="宋体" w:eastAsia="宋体" w:cs="宋体"/>
          <w:color w:val="auto"/>
          <w:kern w:val="0"/>
          <w:sz w:val="24"/>
          <w:szCs w:val="24"/>
          <w:highlight w:val="none"/>
          <w:u w:val="dotted"/>
          <w:lang w:eastAsia="zh-CN"/>
        </w:rPr>
        <w:t>。</w:t>
      </w:r>
    </w:p>
    <w:p w14:paraId="2B04FC9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rPr>
        <w:t>4、承包人必须合理组织施工并设置必要的安全防护措施，进出场地有明确的具体措施。</w:t>
      </w:r>
    </w:p>
    <w:p w14:paraId="52F1F70F">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lang w:eastAsia="zh-CN"/>
        </w:rPr>
      </w:pPr>
      <w:r>
        <w:rPr>
          <w:rFonts w:hint="eastAsia" w:ascii="宋体" w:hAnsi="宋体" w:eastAsia="宋体" w:cs="宋体"/>
          <w:color w:val="auto"/>
          <w:kern w:val="0"/>
          <w:sz w:val="24"/>
          <w:szCs w:val="24"/>
          <w:highlight w:val="none"/>
          <w:u w:val="dotted"/>
        </w:rPr>
        <w:t>5、</w:t>
      </w:r>
      <w:r>
        <w:rPr>
          <w:rFonts w:hint="eastAsia" w:ascii="宋体" w:hAnsi="宋体" w:eastAsia="宋体" w:cs="宋体"/>
          <w:color w:val="auto"/>
          <w:kern w:val="0"/>
          <w:sz w:val="24"/>
          <w:szCs w:val="24"/>
          <w:highlight w:val="none"/>
          <w:u w:val="dotted"/>
          <w:lang w:eastAsia="zh-CN"/>
        </w:rPr>
        <w:t>成交</w:t>
      </w:r>
      <w:r>
        <w:rPr>
          <w:rFonts w:hint="eastAsia" w:ascii="宋体" w:hAnsi="宋体" w:eastAsia="宋体" w:cs="宋体"/>
          <w:color w:val="auto"/>
          <w:kern w:val="0"/>
          <w:sz w:val="24"/>
          <w:szCs w:val="24"/>
          <w:highlight w:val="none"/>
          <w:u w:val="dotted"/>
        </w:rPr>
        <w:t>单位在合同签订后，必须按照</w:t>
      </w:r>
      <w:r>
        <w:rPr>
          <w:rFonts w:hint="eastAsia" w:ascii="宋体" w:hAnsi="宋体" w:eastAsia="宋体" w:cs="宋体"/>
          <w:color w:val="auto"/>
          <w:kern w:val="0"/>
          <w:sz w:val="24"/>
          <w:szCs w:val="24"/>
          <w:highlight w:val="none"/>
          <w:u w:val="dotted"/>
          <w:lang w:val="en-US" w:eastAsia="zh-CN"/>
        </w:rPr>
        <w:t>发包人</w:t>
      </w:r>
      <w:r>
        <w:rPr>
          <w:rFonts w:hint="eastAsia" w:ascii="宋体" w:hAnsi="宋体" w:eastAsia="宋体" w:cs="宋体"/>
          <w:color w:val="auto"/>
          <w:kern w:val="0"/>
          <w:sz w:val="24"/>
          <w:szCs w:val="24"/>
          <w:highlight w:val="none"/>
          <w:u w:val="dotted"/>
        </w:rPr>
        <w:t>的要求做好开工准备工作，按照</w:t>
      </w:r>
      <w:r>
        <w:rPr>
          <w:rFonts w:hint="eastAsia" w:ascii="宋体" w:hAnsi="宋体" w:eastAsia="宋体" w:cs="宋体"/>
          <w:color w:val="auto"/>
          <w:kern w:val="0"/>
          <w:sz w:val="24"/>
          <w:szCs w:val="24"/>
          <w:highlight w:val="none"/>
          <w:u w:val="dotted"/>
          <w:lang w:val="en-US" w:eastAsia="zh-CN"/>
        </w:rPr>
        <w:t>发包人</w:t>
      </w:r>
      <w:r>
        <w:rPr>
          <w:rFonts w:hint="eastAsia" w:ascii="宋体" w:hAnsi="宋体" w:eastAsia="宋体" w:cs="宋体"/>
          <w:color w:val="auto"/>
          <w:kern w:val="0"/>
          <w:sz w:val="24"/>
          <w:szCs w:val="24"/>
          <w:highlight w:val="none"/>
          <w:u w:val="dotted"/>
        </w:rPr>
        <w:t>规定的标准进行人工、材料、资金、机械设备准备工作。</w:t>
      </w:r>
      <w:r>
        <w:rPr>
          <w:rFonts w:hint="eastAsia" w:ascii="宋体" w:hAnsi="宋体" w:eastAsia="宋体" w:cs="宋体"/>
          <w:color w:val="auto"/>
          <w:kern w:val="0"/>
          <w:sz w:val="24"/>
          <w:szCs w:val="24"/>
          <w:highlight w:val="none"/>
          <w:u w:val="dotted"/>
          <w:lang w:eastAsia="zh-CN"/>
        </w:rPr>
        <w:t>未按照</w:t>
      </w:r>
      <w:r>
        <w:rPr>
          <w:rFonts w:hint="eastAsia" w:ascii="宋体" w:hAnsi="宋体" w:eastAsia="宋体" w:cs="宋体"/>
          <w:color w:val="auto"/>
          <w:kern w:val="0"/>
          <w:sz w:val="24"/>
          <w:szCs w:val="24"/>
          <w:highlight w:val="none"/>
          <w:u w:val="dotted"/>
          <w:lang w:val="en-US" w:eastAsia="zh-CN"/>
        </w:rPr>
        <w:t>发包人</w:t>
      </w:r>
      <w:r>
        <w:rPr>
          <w:rFonts w:hint="eastAsia" w:ascii="宋体" w:hAnsi="宋体" w:eastAsia="宋体" w:cs="宋体"/>
          <w:color w:val="auto"/>
          <w:kern w:val="0"/>
          <w:sz w:val="24"/>
          <w:szCs w:val="24"/>
          <w:highlight w:val="none"/>
          <w:u w:val="dotted"/>
          <w:lang w:eastAsia="zh-CN"/>
        </w:rPr>
        <w:t>要求做好开工准备工作或人工材料、资金、机械设备准备工作达不到</w:t>
      </w:r>
      <w:r>
        <w:rPr>
          <w:rFonts w:hint="eastAsia" w:ascii="宋体" w:hAnsi="宋体" w:eastAsia="宋体" w:cs="宋体"/>
          <w:color w:val="auto"/>
          <w:kern w:val="0"/>
          <w:sz w:val="24"/>
          <w:szCs w:val="24"/>
          <w:highlight w:val="none"/>
          <w:u w:val="dotted"/>
          <w:lang w:val="en-US" w:eastAsia="zh-CN"/>
        </w:rPr>
        <w:t>发包人</w:t>
      </w:r>
      <w:r>
        <w:rPr>
          <w:rFonts w:hint="eastAsia" w:ascii="宋体" w:hAnsi="宋体" w:eastAsia="宋体" w:cs="宋体"/>
          <w:color w:val="auto"/>
          <w:kern w:val="0"/>
          <w:sz w:val="24"/>
          <w:szCs w:val="24"/>
          <w:highlight w:val="none"/>
          <w:u w:val="dotted"/>
          <w:lang w:eastAsia="zh-CN"/>
        </w:rPr>
        <w:t>要求的，</w:t>
      </w:r>
      <w:r>
        <w:rPr>
          <w:rFonts w:hint="eastAsia" w:ascii="宋体" w:hAnsi="宋体" w:eastAsia="宋体" w:cs="宋体"/>
          <w:color w:val="auto"/>
          <w:kern w:val="0"/>
          <w:sz w:val="24"/>
          <w:szCs w:val="24"/>
          <w:highlight w:val="none"/>
          <w:u w:val="dotted"/>
          <w:lang w:val="en-US" w:eastAsia="zh-CN"/>
        </w:rPr>
        <w:t>发包人</w:t>
      </w:r>
      <w:r>
        <w:rPr>
          <w:rFonts w:hint="eastAsia" w:ascii="宋体" w:hAnsi="宋体" w:eastAsia="宋体" w:cs="宋体"/>
          <w:color w:val="auto"/>
          <w:kern w:val="0"/>
          <w:sz w:val="24"/>
          <w:szCs w:val="24"/>
          <w:highlight w:val="none"/>
          <w:u w:val="dotted"/>
          <w:lang w:eastAsia="zh-CN"/>
        </w:rPr>
        <w:t>有权按合同条款的约定中止和其签订的施工合同。</w:t>
      </w:r>
    </w:p>
    <w:p w14:paraId="7C42F59B">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rPr>
        <w:t>6、质量保修期到期时，施工方及时修复质量缺陷，并提供书面报告，建设、监理方签署意见。</w:t>
      </w:r>
    </w:p>
    <w:p w14:paraId="51C128D1">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lang w:val="en-US" w:eastAsia="zh-CN"/>
        </w:rPr>
      </w:pPr>
      <w:r>
        <w:rPr>
          <w:rFonts w:hint="eastAsia" w:ascii="宋体" w:hAnsi="宋体" w:eastAsia="宋体" w:cs="宋体"/>
          <w:color w:val="auto"/>
          <w:kern w:val="0"/>
          <w:sz w:val="24"/>
          <w:szCs w:val="24"/>
          <w:highlight w:val="none"/>
          <w:u w:val="dotted"/>
          <w:lang w:val="en-US" w:eastAsia="zh-CN"/>
        </w:rPr>
        <w:t>7、工程暂估价、不可预见费、工程量发生变化时，不得向发包人索赔。</w:t>
      </w:r>
    </w:p>
    <w:p w14:paraId="7387B299">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lang w:val="en-US" w:eastAsia="zh-CN"/>
        </w:rPr>
        <w:t>8</w:t>
      </w:r>
      <w:r>
        <w:rPr>
          <w:rFonts w:hint="eastAsia" w:ascii="宋体" w:hAnsi="宋体" w:eastAsia="宋体" w:cs="宋体"/>
          <w:color w:val="auto"/>
          <w:kern w:val="0"/>
          <w:sz w:val="24"/>
          <w:szCs w:val="24"/>
          <w:highlight w:val="none"/>
          <w:u w:val="dotted"/>
        </w:rPr>
        <w:t>、杜决承包人资质挂靠，</w:t>
      </w:r>
      <w:r>
        <w:rPr>
          <w:rFonts w:hint="eastAsia" w:ascii="宋体" w:hAnsi="宋体" w:eastAsia="宋体" w:cs="宋体"/>
          <w:color w:val="auto"/>
          <w:kern w:val="0"/>
          <w:sz w:val="24"/>
          <w:szCs w:val="24"/>
          <w:highlight w:val="none"/>
          <w:u w:val="dotted"/>
          <w:lang w:eastAsia="zh-CN"/>
        </w:rPr>
        <w:t>关键岗位人员</w:t>
      </w:r>
      <w:r>
        <w:rPr>
          <w:rFonts w:hint="eastAsia" w:ascii="宋体" w:hAnsi="宋体" w:eastAsia="宋体" w:cs="宋体"/>
          <w:color w:val="auto"/>
          <w:kern w:val="0"/>
          <w:sz w:val="24"/>
          <w:szCs w:val="24"/>
          <w:highlight w:val="none"/>
          <w:u w:val="dotted"/>
        </w:rPr>
        <w:t>非重病、死亡、业主认定不能胜任工作等特殊情况外不能变更，不能按</w:t>
      </w:r>
      <w:r>
        <w:rPr>
          <w:rFonts w:hint="eastAsia" w:ascii="宋体" w:hAnsi="宋体" w:eastAsia="宋体" w:cs="宋体"/>
          <w:color w:val="auto"/>
          <w:kern w:val="0"/>
          <w:sz w:val="24"/>
          <w:szCs w:val="24"/>
          <w:highlight w:val="none"/>
          <w:u w:val="dotted"/>
          <w:lang w:eastAsia="zh-CN"/>
        </w:rPr>
        <w:t>响应文件</w:t>
      </w:r>
      <w:r>
        <w:rPr>
          <w:rFonts w:hint="eastAsia" w:ascii="宋体" w:hAnsi="宋体" w:eastAsia="宋体" w:cs="宋体"/>
          <w:color w:val="auto"/>
          <w:kern w:val="0"/>
          <w:sz w:val="24"/>
          <w:szCs w:val="24"/>
          <w:highlight w:val="none"/>
          <w:u w:val="dotted"/>
        </w:rPr>
        <w:t>人员到岗的，视为资质挂靠嫌疑人，取消</w:t>
      </w:r>
      <w:r>
        <w:rPr>
          <w:rFonts w:hint="eastAsia" w:ascii="宋体" w:hAnsi="宋体" w:eastAsia="宋体" w:cs="宋体"/>
          <w:color w:val="auto"/>
          <w:kern w:val="0"/>
          <w:sz w:val="24"/>
          <w:szCs w:val="24"/>
          <w:highlight w:val="none"/>
          <w:u w:val="dotted"/>
          <w:lang w:eastAsia="zh-CN"/>
        </w:rPr>
        <w:t>成交</w:t>
      </w:r>
      <w:r>
        <w:rPr>
          <w:rFonts w:hint="eastAsia" w:ascii="宋体" w:hAnsi="宋体" w:eastAsia="宋体" w:cs="宋体"/>
          <w:color w:val="auto"/>
          <w:kern w:val="0"/>
          <w:sz w:val="24"/>
          <w:szCs w:val="24"/>
          <w:highlight w:val="none"/>
          <w:u w:val="dotted"/>
        </w:rPr>
        <w:t>资格，没收履约保证金。非特殊情况，拟任项目负责人、技术负责人每月必须不少于22天在岗，如发现不在岗一次，提出警告，累计发现两次，扣除</w:t>
      </w:r>
      <w:r>
        <w:rPr>
          <w:rFonts w:hint="eastAsia" w:ascii="宋体" w:hAnsi="宋体" w:eastAsia="宋体" w:cs="宋体"/>
          <w:color w:val="auto"/>
          <w:kern w:val="0"/>
          <w:sz w:val="24"/>
          <w:szCs w:val="24"/>
          <w:highlight w:val="none"/>
          <w:u w:val="dotted"/>
          <w:lang w:val="en-US" w:eastAsia="zh-CN"/>
        </w:rPr>
        <w:t>8</w:t>
      </w:r>
      <w:r>
        <w:rPr>
          <w:rFonts w:hint="eastAsia" w:ascii="宋体" w:hAnsi="宋体" w:eastAsia="宋体" w:cs="宋体"/>
          <w:color w:val="auto"/>
          <w:kern w:val="0"/>
          <w:sz w:val="24"/>
          <w:szCs w:val="24"/>
          <w:highlight w:val="none"/>
          <w:u w:val="dotted"/>
        </w:rPr>
        <w:t>%履约保证金，累计发现三次，扣除全部履约保证金，解除双方合同。</w:t>
      </w:r>
    </w:p>
    <w:p w14:paraId="6E52F784">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u w:val="dotted"/>
        </w:rPr>
        <w:t>承包方不得以</w:t>
      </w:r>
      <w:r>
        <w:rPr>
          <w:rFonts w:hint="eastAsia" w:ascii="宋体" w:hAnsi="宋体" w:eastAsia="宋体" w:cs="宋体"/>
          <w:color w:val="auto"/>
          <w:kern w:val="0"/>
          <w:sz w:val="24"/>
          <w:szCs w:val="24"/>
          <w:highlight w:val="none"/>
          <w:u w:val="dotted"/>
          <w:lang w:eastAsia="zh-CN"/>
        </w:rPr>
        <w:t>任何</w:t>
      </w:r>
      <w:r>
        <w:rPr>
          <w:rFonts w:hint="eastAsia" w:ascii="宋体" w:hAnsi="宋体" w:eastAsia="宋体" w:cs="宋体"/>
          <w:color w:val="auto"/>
          <w:kern w:val="0"/>
          <w:sz w:val="24"/>
          <w:szCs w:val="24"/>
          <w:highlight w:val="none"/>
          <w:u w:val="dotted"/>
        </w:rPr>
        <w:t>理由停工，否则从履约保证金中扣除违约金10000元/天。</w:t>
      </w:r>
    </w:p>
    <w:p w14:paraId="4DA5D46C">
      <w:pPr>
        <w:keepNext w:val="0"/>
        <w:keepLines w:val="0"/>
        <w:pageBreakBefore w:val="0"/>
        <w:kinsoku/>
        <w:wordWrap/>
        <w:overflowPunct/>
        <w:topLinePunct w:val="0"/>
        <w:bidi w:val="0"/>
        <w:spacing w:line="480" w:lineRule="exact"/>
        <w:ind w:left="0" w:leftChars="0" w:firstLine="480" w:firstLineChars="200"/>
        <w:jc w:val="left"/>
        <w:textAlignment w:val="auto"/>
        <w:outlineLvl w:val="9"/>
        <w:rPr>
          <w:rFonts w:hint="eastAsia" w:ascii="宋体" w:hAnsi="宋体" w:eastAsia="宋体" w:cs="宋体"/>
          <w:color w:val="auto"/>
          <w:kern w:val="0"/>
          <w:sz w:val="24"/>
          <w:szCs w:val="24"/>
          <w:highlight w:val="none"/>
          <w:u w:val="dotted"/>
        </w:rPr>
      </w:pPr>
      <w:r>
        <w:rPr>
          <w:rFonts w:hint="eastAsia" w:ascii="宋体" w:hAnsi="宋体" w:eastAsia="宋体" w:cs="宋体"/>
          <w:color w:val="auto"/>
          <w:kern w:val="0"/>
          <w:sz w:val="24"/>
          <w:szCs w:val="24"/>
          <w:highlight w:val="none"/>
          <w:u w:val="dotted"/>
        </w:rPr>
        <w:t>10、本合同的未尽事宜，发包方、承包方双方可另行补充协议。另行补充协议具备与本合同同等的法律效力。</w:t>
      </w:r>
    </w:p>
    <w:p w14:paraId="59BD6707">
      <w:pPr>
        <w:pStyle w:val="20"/>
        <w:keepNext w:val="0"/>
        <w:keepLines w:val="0"/>
        <w:pageBreakBefore w:val="0"/>
        <w:kinsoku/>
        <w:wordWrap/>
        <w:overflowPunct/>
        <w:topLinePunct w:val="0"/>
        <w:bidi w:val="0"/>
        <w:spacing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dotted"/>
          <w:lang w:val="en-US" w:eastAsia="zh-CN" w:bidi="zh-CN"/>
        </w:rPr>
        <w:t>11、本合同条款与现行法律法规有冲突的，按现行法律法规执行。</w:t>
      </w:r>
    </w:p>
    <w:p w14:paraId="36531446">
      <w:pPr>
        <w:pageBreakBefore w:val="0"/>
        <w:kinsoku/>
        <w:wordWrap/>
        <w:overflowPunct/>
        <w:bidi w:val="0"/>
        <w:spacing w:line="240" w:lineRule="auto"/>
        <w:textAlignment w:val="auto"/>
        <w:outlineLvl w:val="9"/>
        <w:rPr>
          <w:rFonts w:hint="eastAsia" w:ascii="宋体" w:hAnsi="宋体" w:eastAsia="宋体" w:cs="宋体"/>
          <w:color w:val="auto"/>
          <w:kern w:val="2"/>
          <w:sz w:val="21"/>
          <w:szCs w:val="21"/>
          <w:highlight w:val="none"/>
        </w:rPr>
      </w:pPr>
    </w:p>
    <w:p w14:paraId="350F5B14">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41602765">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3B76D3B2">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39D4C74B">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20C3D4A3">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34DF21DB">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798DBA11">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57D4A387">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4097EC9A">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17A51988">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p>
    <w:p w14:paraId="22C68F82">
      <w:pPr>
        <w:pageBreakBefore w:val="0"/>
        <w:tabs>
          <w:tab w:val="left" w:pos="1890"/>
        </w:tabs>
        <w:kinsoku/>
        <w:wordWrap/>
        <w:overflowPunct/>
        <w:bidi w:val="0"/>
        <w:spacing w:line="460" w:lineRule="exact"/>
        <w:textAlignment w:val="auto"/>
        <w:outlineLvl w:val="9"/>
        <w:rPr>
          <w:rFonts w:ascii="Times New Roman" w:hAnsi="Times New Roman" w:eastAsia="宋体" w:cs="Times New Roman"/>
          <w:b/>
          <w:color w:val="auto"/>
          <w:kern w:val="2"/>
          <w:sz w:val="24"/>
          <w:highlight w:val="none"/>
        </w:rPr>
      </w:pPr>
      <w:r>
        <w:rPr>
          <w:rFonts w:ascii="Times New Roman" w:hAnsi="Times New Roman" w:eastAsia="宋体" w:cs="Times New Roman"/>
          <w:b/>
          <w:color w:val="auto"/>
          <w:kern w:val="2"/>
          <w:sz w:val="24"/>
          <w:highlight w:val="none"/>
        </w:rPr>
        <w:br w:type="page"/>
      </w:r>
      <w:r>
        <w:rPr>
          <w:rFonts w:ascii="Times New Roman" w:hAnsi="Times New Roman" w:eastAsia="宋体" w:cs="Times New Roman"/>
          <w:b/>
          <w:color w:val="auto"/>
          <w:kern w:val="2"/>
          <w:sz w:val="24"/>
          <w:highlight w:val="none"/>
        </w:rPr>
        <w:t>附件：</w:t>
      </w:r>
    </w:p>
    <w:p w14:paraId="55D91F0E">
      <w:pPr>
        <w:pageBreakBefore w:val="0"/>
        <w:tabs>
          <w:tab w:val="left" w:pos="1890"/>
        </w:tabs>
        <w:kinsoku/>
        <w:wordWrap/>
        <w:overflowPunct/>
        <w:bidi w:val="0"/>
        <w:spacing w:line="460" w:lineRule="exact"/>
        <w:ind w:left="3157" w:leftChars="50" w:hanging="3052" w:hangingChars="950"/>
        <w:jc w:val="center"/>
        <w:textAlignment w:val="auto"/>
        <w:outlineLvl w:val="9"/>
        <w:rPr>
          <w:rFonts w:ascii="Times New Roman" w:hAnsi="Times New Roman" w:eastAsia="宋体" w:cs="Times New Roman"/>
          <w:b/>
          <w:bCs/>
          <w:color w:val="auto"/>
          <w:kern w:val="2"/>
          <w:sz w:val="32"/>
          <w:szCs w:val="32"/>
          <w:highlight w:val="none"/>
        </w:rPr>
      </w:pPr>
      <w:r>
        <w:rPr>
          <w:rFonts w:ascii="Times New Roman" w:hAnsi="Times New Roman" w:eastAsia="宋体" w:cs="Times New Roman"/>
          <w:b/>
          <w:bCs/>
          <w:color w:val="auto"/>
          <w:kern w:val="2"/>
          <w:sz w:val="32"/>
          <w:szCs w:val="32"/>
          <w:highlight w:val="none"/>
        </w:rPr>
        <w:t>工程质量保修书</w:t>
      </w:r>
    </w:p>
    <w:p w14:paraId="0F127BAF">
      <w:pPr>
        <w:pageBreakBefore w:val="0"/>
        <w:widowControl/>
        <w:kinsoku/>
        <w:wordWrap/>
        <w:overflowPunct/>
        <w:bidi w:val="0"/>
        <w:spacing w:line="460" w:lineRule="exact"/>
        <w:ind w:firstLine="480"/>
        <w:jc w:val="left"/>
        <w:textAlignment w:val="auto"/>
        <w:outlineLvl w:val="9"/>
        <w:rPr>
          <w:rFonts w:ascii="Times New Roman" w:hAnsi="Times New Roman" w:eastAsia="宋体" w:cs="Times New Roman"/>
          <w:color w:val="auto"/>
          <w:kern w:val="0"/>
          <w:sz w:val="20"/>
          <w:szCs w:val="20"/>
          <w:highlight w:val="none"/>
          <w:lang w:val="en-US" w:eastAsia="zh-CN" w:bidi="ar-SA"/>
        </w:rPr>
      </w:pPr>
    </w:p>
    <w:p w14:paraId="772AC21C">
      <w:pPr>
        <w:keepNext w:val="0"/>
        <w:keepLines w:val="0"/>
        <w:pageBreakBefore w:val="0"/>
        <w:widowControl w:val="0"/>
        <w:tabs>
          <w:tab w:val="left" w:pos="1890"/>
        </w:tabs>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发包人（全称）：</w:t>
      </w:r>
      <w:r>
        <w:rPr>
          <w:rFonts w:hint="eastAsia" w:ascii="宋体" w:hAnsi="宋体" w:eastAsia="宋体" w:cs="宋体"/>
          <w:color w:val="auto"/>
          <w:kern w:val="2"/>
          <w:sz w:val="21"/>
          <w:szCs w:val="21"/>
          <w:highlight w:val="none"/>
          <w:u w:val="single"/>
          <w:lang w:val="en-US" w:eastAsia="zh-CN"/>
        </w:rPr>
        <w:t xml:space="preserve">          </w:t>
      </w:r>
    </w:p>
    <w:p w14:paraId="27BE10AD">
      <w:pPr>
        <w:keepNext w:val="0"/>
        <w:keepLines w:val="0"/>
        <w:pageBreakBefore w:val="0"/>
        <w:widowControl w:val="0"/>
        <w:tabs>
          <w:tab w:val="left" w:pos="1890"/>
        </w:tabs>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承包人（全称）：</w:t>
      </w:r>
      <w:r>
        <w:rPr>
          <w:rFonts w:hint="eastAsia" w:ascii="宋体" w:hAnsi="宋体" w:eastAsia="宋体" w:cs="宋体"/>
          <w:color w:val="auto"/>
          <w:kern w:val="2"/>
          <w:sz w:val="21"/>
          <w:szCs w:val="21"/>
          <w:highlight w:val="none"/>
          <w:u w:val="single"/>
        </w:rPr>
        <w:t xml:space="preserve">             </w:t>
      </w:r>
    </w:p>
    <w:p w14:paraId="59139F2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7C4D614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发包人、承包人根据《中华人民共和国建筑法》、《建设工程质量管理条例》与《房屋</w:t>
      </w:r>
      <w:r>
        <w:rPr>
          <w:rFonts w:hint="eastAsia" w:ascii="宋体" w:hAnsi="宋体" w:eastAsia="宋体" w:cs="宋体"/>
          <w:color w:val="auto"/>
          <w:kern w:val="2"/>
          <w:sz w:val="21"/>
          <w:szCs w:val="21"/>
          <w:highlight w:val="none"/>
          <w:lang w:eastAsia="zh-CN"/>
        </w:rPr>
        <w:t>市政公用工程</w:t>
      </w:r>
      <w:r>
        <w:rPr>
          <w:rFonts w:hint="eastAsia" w:ascii="宋体" w:hAnsi="宋体" w:eastAsia="宋体" w:cs="宋体"/>
          <w:color w:val="auto"/>
          <w:kern w:val="2"/>
          <w:sz w:val="21"/>
          <w:szCs w:val="21"/>
          <w:highlight w:val="none"/>
        </w:rPr>
        <w:t>质量保修办法》，经协商一致，签订本</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质量保修书。</w:t>
      </w:r>
    </w:p>
    <w:p w14:paraId="1915DBE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outlineLvl w:val="9"/>
        <w:rPr>
          <w:rFonts w:hint="eastAsia" w:ascii="黑体" w:hAnsi="黑体" w:eastAsia="黑体" w:cs="黑体"/>
          <w:b w:val="0"/>
          <w:bCs w:val="0"/>
          <w:color w:val="auto"/>
          <w:kern w:val="2"/>
          <w:sz w:val="21"/>
          <w:szCs w:val="21"/>
          <w:highlight w:val="none"/>
        </w:rPr>
      </w:pPr>
      <w:r>
        <w:rPr>
          <w:rFonts w:hint="eastAsia" w:ascii="黑体" w:hAnsi="黑体" w:eastAsia="黑体" w:cs="黑体"/>
          <w:b w:val="0"/>
          <w:bCs w:val="0"/>
          <w:color w:val="auto"/>
          <w:kern w:val="2"/>
          <w:sz w:val="21"/>
          <w:szCs w:val="21"/>
          <w:highlight w:val="none"/>
        </w:rPr>
        <w:t>一、工程质量保修范围和内容</w:t>
      </w:r>
    </w:p>
    <w:p w14:paraId="5DBAEDC9">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u w:val="single"/>
          <w:lang w:val="en-US" w:eastAsia="zh-CN"/>
        </w:rPr>
        <w:t xml:space="preserve">     </w:t>
      </w:r>
    </w:p>
    <w:p w14:paraId="0A05613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黑体" w:hAnsi="黑体" w:eastAsia="黑体" w:cs="黑体"/>
          <w:b w:val="0"/>
          <w:bCs w:val="0"/>
          <w:color w:val="auto"/>
          <w:kern w:val="2"/>
          <w:sz w:val="21"/>
          <w:szCs w:val="21"/>
          <w:highlight w:val="none"/>
        </w:rPr>
      </w:pPr>
      <w:r>
        <w:rPr>
          <w:rFonts w:hint="eastAsia" w:ascii="黑体" w:hAnsi="黑体" w:eastAsia="黑体" w:cs="黑体"/>
          <w:b w:val="0"/>
          <w:bCs w:val="0"/>
          <w:color w:val="auto"/>
          <w:kern w:val="2"/>
          <w:sz w:val="21"/>
          <w:szCs w:val="21"/>
          <w:highlight w:val="none"/>
        </w:rPr>
        <w:t>二、质量保修期</w:t>
      </w:r>
    </w:p>
    <w:p w14:paraId="1C1AC4F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1、双方根据《建设工程质量管理条例》及有关规定，约定本工程的质量保修期如下：</w:t>
      </w:r>
    </w:p>
    <w:p w14:paraId="192EE0E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设计结构、场坪及道路基础、面层工程为设计文件规定的该工程合理使用年限；</w:t>
      </w:r>
    </w:p>
    <w:p w14:paraId="007BF166">
      <w:pPr>
        <w:keepNext w:val="0"/>
        <w:keepLines w:val="0"/>
        <w:pageBreakBefore w:val="0"/>
        <w:widowControl w:val="0"/>
        <w:tabs>
          <w:tab w:val="left" w:pos="1740"/>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屋面防水、有水房间防水工程为</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p>
    <w:p w14:paraId="455169B1">
      <w:pPr>
        <w:keepNext w:val="0"/>
        <w:keepLines w:val="0"/>
        <w:pageBreakBefore w:val="0"/>
        <w:widowControl w:val="0"/>
        <w:tabs>
          <w:tab w:val="left" w:pos="1740"/>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电气管线、给排水管道、装饰装修工程、设备安装工程、围墙工程为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p>
    <w:p w14:paraId="4E50ED90">
      <w:pPr>
        <w:keepNext w:val="0"/>
        <w:keepLines w:val="0"/>
        <w:pageBreakBefore w:val="0"/>
        <w:widowControl w:val="0"/>
        <w:tabs>
          <w:tab w:val="left" w:pos="1740"/>
        </w:tabs>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供热与供冷系统为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采暖期、供冷期；</w:t>
      </w:r>
    </w:p>
    <w:p w14:paraId="631C431E">
      <w:pPr>
        <w:keepNext w:val="0"/>
        <w:keepLines w:val="0"/>
        <w:pageBreakBefore w:val="0"/>
        <w:widowControl w:val="0"/>
        <w:tabs>
          <w:tab w:val="left" w:pos="1740"/>
        </w:tabs>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绿化苗木自验收合格之日起保活期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年（含清扫绿地内枯枝残叶）；</w:t>
      </w:r>
    </w:p>
    <w:p w14:paraId="666278E5">
      <w:pPr>
        <w:keepNext w:val="0"/>
        <w:keepLines w:val="0"/>
        <w:pageBreakBefore w:val="0"/>
        <w:widowControl w:val="0"/>
        <w:tabs>
          <w:tab w:val="left" w:pos="1740"/>
        </w:tabs>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本工程质量保修期为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p>
    <w:p w14:paraId="49481ED1">
      <w:pPr>
        <w:keepNext w:val="0"/>
        <w:keepLines w:val="0"/>
        <w:pageBreakBefore w:val="0"/>
        <w:widowControl w:val="0"/>
        <w:tabs>
          <w:tab w:val="left" w:pos="1740"/>
        </w:tabs>
        <w:kinsoku/>
        <w:wordWrap/>
        <w:overflowPunct/>
        <w:topLinePunct w:val="0"/>
        <w:autoSpaceDE/>
        <w:autoSpaceDN/>
        <w:bidi w:val="0"/>
        <w:adjustRightInd/>
        <w:snapToGrid/>
        <w:spacing w:line="460" w:lineRule="exact"/>
        <w:ind w:left="0" w:leftChars="0" w:firstLine="420" w:firstLineChars="200"/>
        <w:textAlignment w:val="auto"/>
        <w:outlineLvl w:val="9"/>
        <w:rPr>
          <w:rFonts w:hint="default"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其他</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63CA7C8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2、工程质量保修期自工程竣工验收合格之日起计算。</w:t>
      </w:r>
    </w:p>
    <w:p w14:paraId="48DC079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黑体" w:hAnsi="黑体" w:eastAsia="黑体" w:cs="黑体"/>
          <w:b w:val="0"/>
          <w:bCs w:val="0"/>
          <w:color w:val="auto"/>
          <w:kern w:val="2"/>
          <w:sz w:val="21"/>
          <w:szCs w:val="21"/>
          <w:highlight w:val="none"/>
        </w:rPr>
      </w:pPr>
      <w:r>
        <w:rPr>
          <w:rFonts w:hint="eastAsia" w:ascii="黑体" w:hAnsi="黑体" w:eastAsia="黑体" w:cs="黑体"/>
          <w:b w:val="0"/>
          <w:bCs w:val="0"/>
          <w:color w:val="auto"/>
          <w:kern w:val="2"/>
          <w:sz w:val="21"/>
          <w:szCs w:val="21"/>
          <w:highlight w:val="none"/>
        </w:rPr>
        <w:t>三、质量保修责任</w:t>
      </w:r>
    </w:p>
    <w:p w14:paraId="2BCD9736">
      <w:pPr>
        <w:keepNext w:val="0"/>
        <w:keepLines w:val="0"/>
        <w:pageBreakBefore w:val="0"/>
        <w:widowControl w:val="0"/>
        <w:tabs>
          <w:tab w:val="left" w:pos="1740"/>
        </w:tabs>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1、属于保修范围、内容的项目，承包人应当在接到保修通知之日起24小时内派人保修。承包人不在约定期限内派人保修的，发包人可以委托他人修理。</w:t>
      </w:r>
    </w:p>
    <w:p w14:paraId="5B8454A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jc w:val="left"/>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2、发生紧急抢修事故的，承包人在接到事故通知后，应当立即到达事故现场抢修。</w:t>
      </w:r>
    </w:p>
    <w:p w14:paraId="7F1D361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3、对于涉及结构安全的质量问题，应当按照《房屋</w:t>
      </w:r>
      <w:r>
        <w:rPr>
          <w:rFonts w:hint="eastAsia" w:ascii="宋体" w:hAnsi="宋体" w:eastAsia="宋体" w:cs="宋体"/>
          <w:color w:val="auto"/>
          <w:kern w:val="2"/>
          <w:sz w:val="21"/>
          <w:szCs w:val="21"/>
          <w:highlight w:val="none"/>
          <w:lang w:eastAsia="zh-CN"/>
        </w:rPr>
        <w:t>市政公用工程</w:t>
      </w:r>
      <w:r>
        <w:rPr>
          <w:rFonts w:hint="eastAsia" w:ascii="宋体" w:hAnsi="宋体" w:eastAsia="宋体" w:cs="宋体"/>
          <w:color w:val="auto"/>
          <w:kern w:val="2"/>
          <w:sz w:val="21"/>
          <w:szCs w:val="21"/>
          <w:highlight w:val="none"/>
        </w:rPr>
        <w:t>质量保修办法》的规定，立即向当地建设行政主管部门报告，采取安全防范措施；由原设计单位或者具有相应资质等级的设计单位提出保修方案，承包人实施保修。</w:t>
      </w:r>
    </w:p>
    <w:p w14:paraId="1DE6DAA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4、质量保修完成后，由发包人组织验收。</w:t>
      </w:r>
    </w:p>
    <w:p w14:paraId="7558198F">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四、保修费用</w:t>
      </w:r>
    </w:p>
    <w:p w14:paraId="2AA08B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highlight w:val="none"/>
        </w:rPr>
        <w:t>保修费用由造成质量缺陷的责任方承担，承包人余留的保修金为</w:t>
      </w:r>
      <w:r>
        <w:rPr>
          <w:rFonts w:hint="eastAsia" w:ascii="宋体" w:hAnsi="宋体" w:eastAsia="宋体" w:cs="宋体"/>
          <w:b/>
          <w:bCs/>
          <w:color w:val="auto"/>
          <w:kern w:val="2"/>
          <w:sz w:val="21"/>
          <w:szCs w:val="21"/>
          <w:highlight w:val="none"/>
          <w:u w:val="single"/>
        </w:rPr>
        <w:t>合同价的3%</w:t>
      </w:r>
      <w:r>
        <w:rPr>
          <w:rFonts w:hint="eastAsia" w:ascii="宋体" w:hAnsi="宋体" w:eastAsia="宋体" w:cs="宋体"/>
          <w:color w:val="auto"/>
          <w:kern w:val="2"/>
          <w:sz w:val="21"/>
          <w:szCs w:val="21"/>
          <w:highlight w:val="none"/>
        </w:rPr>
        <w:t>。</w:t>
      </w:r>
    </w:p>
    <w:p w14:paraId="44898F27">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五、其他</w:t>
      </w:r>
    </w:p>
    <w:p w14:paraId="18208E3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1、双方约定的其他工程质量保修事项：</w:t>
      </w:r>
    </w:p>
    <w:p w14:paraId="7BFDE9B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在保修期内，因承包人质量问题，承包人在接到发包人通知后24小时内应及时修理，否则，发包人自行组织维修，其费用按双倍由承包人承担，直接从保修金中扣除。</w:t>
      </w:r>
    </w:p>
    <w:p w14:paraId="6A7B687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2、本工程质量保修书，由施工合同发包人、承包人双方在竣工验收前共同签署，作为施工合同附件，其有效期限至保修期满。</w:t>
      </w:r>
    </w:p>
    <w:p w14:paraId="4EB3CF59">
      <w:pPr>
        <w:keepNext w:val="0"/>
        <w:keepLines w:val="0"/>
        <w:pageBreakBefore w:val="0"/>
        <w:widowControl w:val="0"/>
        <w:tabs>
          <w:tab w:val="left" w:pos="4275"/>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24F027AE">
      <w:pPr>
        <w:keepNext w:val="0"/>
        <w:keepLines w:val="0"/>
        <w:pageBreakBefore w:val="0"/>
        <w:widowControl w:val="0"/>
        <w:tabs>
          <w:tab w:val="left" w:pos="4275"/>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28ED0E6E">
      <w:pPr>
        <w:keepNext w:val="0"/>
        <w:keepLines w:val="0"/>
        <w:pageBreakBefore w:val="0"/>
        <w:widowControl w:val="0"/>
        <w:tabs>
          <w:tab w:val="left" w:pos="4275"/>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613230C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 xml:space="preserve">发包人（公章）：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承包人（公章）：</w:t>
      </w:r>
      <w:r>
        <w:rPr>
          <w:rFonts w:hint="eastAsia" w:ascii="宋体" w:hAnsi="宋体" w:eastAsia="宋体" w:cs="宋体"/>
          <w:color w:val="auto"/>
          <w:kern w:val="2"/>
          <w:sz w:val="21"/>
          <w:szCs w:val="21"/>
          <w:highlight w:val="none"/>
          <w:u w:val="single"/>
        </w:rPr>
        <w:t xml:space="preserve">          </w:t>
      </w:r>
    </w:p>
    <w:p w14:paraId="7D0F3CF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u w:val="single"/>
        </w:rPr>
      </w:pPr>
    </w:p>
    <w:p w14:paraId="242BFFBB">
      <w:pPr>
        <w:keepNext w:val="0"/>
        <w:keepLines w:val="0"/>
        <w:pageBreakBefore w:val="0"/>
        <w:widowControl w:val="0"/>
        <w:tabs>
          <w:tab w:val="left" w:pos="4275"/>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3ED9CDF2">
      <w:pPr>
        <w:keepNext w:val="0"/>
        <w:keepLines w:val="0"/>
        <w:pageBreakBefore w:val="0"/>
        <w:widowControl w:val="0"/>
        <w:tabs>
          <w:tab w:val="left" w:pos="4275"/>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42A8EC4A">
      <w:pPr>
        <w:keepNext w:val="0"/>
        <w:keepLines w:val="0"/>
        <w:pageBreakBefore w:val="0"/>
        <w:widowControl w:val="0"/>
        <w:tabs>
          <w:tab w:val="left" w:pos="4275"/>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18CD432B">
      <w:pPr>
        <w:keepNext w:val="0"/>
        <w:keepLines w:val="0"/>
        <w:pageBreakBefore w:val="0"/>
        <w:widowControl w:val="0"/>
        <w:tabs>
          <w:tab w:val="left" w:pos="5000"/>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                           法定代表人或</w:t>
      </w:r>
    </w:p>
    <w:p w14:paraId="4CE0B88B">
      <w:pPr>
        <w:keepNext w:val="0"/>
        <w:keepLines w:val="0"/>
        <w:pageBreakBefore w:val="0"/>
        <w:widowControl w:val="0"/>
        <w:tabs>
          <w:tab w:val="left" w:pos="5000"/>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委托代理人（签字）：                   委托代理人（签字）：</w:t>
      </w:r>
    </w:p>
    <w:p w14:paraId="3C227746">
      <w:pPr>
        <w:keepNext w:val="0"/>
        <w:keepLines w:val="0"/>
        <w:pageBreakBefore w:val="0"/>
        <w:widowControl w:val="0"/>
        <w:tabs>
          <w:tab w:val="left" w:pos="5000"/>
        </w:tabs>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宋体" w:hAnsi="宋体" w:eastAsia="宋体" w:cs="宋体"/>
          <w:color w:val="auto"/>
          <w:kern w:val="2"/>
          <w:sz w:val="21"/>
          <w:szCs w:val="21"/>
          <w:highlight w:val="none"/>
        </w:rPr>
      </w:pPr>
    </w:p>
    <w:p w14:paraId="183CE6D5">
      <w:pPr>
        <w:keepNext w:val="0"/>
        <w:keepLines w:val="0"/>
        <w:pageBreakBefore w:val="0"/>
        <w:widowControl w:val="0"/>
        <w:tabs>
          <w:tab w:val="left" w:pos="5000"/>
        </w:tabs>
        <w:kinsoku/>
        <w:wordWrap/>
        <w:overflowPunct/>
        <w:topLinePunct w:val="0"/>
        <w:autoSpaceDE/>
        <w:autoSpaceDN/>
        <w:bidi w:val="0"/>
        <w:adjustRightInd/>
        <w:snapToGrid/>
        <w:spacing w:line="440" w:lineRule="exact"/>
        <w:ind w:left="0" w:leftChars="0" w:firstLine="1476" w:firstLineChars="7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rPr>
        <w:t>年</w:t>
      </w:r>
      <w:r>
        <w:rPr>
          <w:rFonts w:hint="eastAsia" w:ascii="宋体" w:hAnsi="宋体" w:eastAsia="宋体" w:cs="宋体"/>
          <w:b/>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rPr>
        <w:t xml:space="preserve">  月</w:t>
      </w:r>
      <w:r>
        <w:rPr>
          <w:rFonts w:hint="eastAsia" w:ascii="宋体" w:hAnsi="宋体" w:eastAsia="宋体" w:cs="宋体"/>
          <w:b/>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rPr>
        <w:t xml:space="preserve">  日                        </w:t>
      </w:r>
      <w:r>
        <w:rPr>
          <w:rFonts w:hint="eastAsia" w:ascii="宋体" w:hAnsi="宋体" w:eastAsia="宋体" w:cs="宋体"/>
          <w:b/>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rPr>
        <w:t xml:space="preserve">年 </w:t>
      </w:r>
      <w:r>
        <w:rPr>
          <w:rFonts w:hint="eastAsia" w:ascii="宋体" w:hAnsi="宋体" w:eastAsia="宋体" w:cs="宋体"/>
          <w:b/>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rPr>
        <w:t xml:space="preserve"> 月  </w:t>
      </w:r>
      <w:r>
        <w:rPr>
          <w:rFonts w:hint="eastAsia" w:ascii="宋体" w:hAnsi="宋体" w:eastAsia="宋体" w:cs="宋体"/>
          <w:b/>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rPr>
        <w:t>日</w:t>
      </w:r>
    </w:p>
    <w:p w14:paraId="0B292B3B">
      <w:pPr>
        <w:pageBreakBefore w:val="0"/>
        <w:tabs>
          <w:tab w:val="left" w:pos="5000"/>
        </w:tabs>
        <w:kinsoku/>
        <w:wordWrap/>
        <w:overflowPunct/>
        <w:bidi w:val="0"/>
        <w:spacing w:line="400" w:lineRule="exact"/>
        <w:ind w:firstLine="205" w:firstLineChars="98"/>
        <w:textAlignment w:val="auto"/>
        <w:outlineLvl w:val="9"/>
        <w:rPr>
          <w:rFonts w:ascii="Times New Roman" w:hAnsi="Times New Roman" w:eastAsia="宋体" w:cs="Times New Roman"/>
          <w:kern w:val="2"/>
          <w:szCs w:val="20"/>
        </w:rPr>
      </w:pPr>
    </w:p>
    <w:p w14:paraId="36D384DE">
      <w:pPr>
        <w:pageBreakBefore w:val="0"/>
        <w:kinsoku/>
        <w:wordWrap/>
        <w:overflowPunct/>
        <w:bidi w:val="0"/>
        <w:adjustRightInd w:val="0"/>
        <w:snapToGrid w:val="0"/>
        <w:spacing w:line="360" w:lineRule="auto"/>
        <w:jc w:val="center"/>
        <w:textAlignment w:val="auto"/>
        <w:outlineLvl w:val="9"/>
        <w:rPr>
          <w:rFonts w:ascii="Times New Roman" w:hAnsi="Times New Roman" w:eastAsia="宋体" w:cs="Times New Roman"/>
          <w:b/>
          <w:bCs/>
          <w:kern w:val="2"/>
          <w:sz w:val="32"/>
          <w:szCs w:val="32"/>
        </w:rPr>
      </w:pPr>
    </w:p>
    <w:p w14:paraId="39D8A5A7">
      <w:pPr>
        <w:pageBreakBefore w:val="0"/>
        <w:kinsoku/>
        <w:wordWrap/>
        <w:overflowPunct/>
        <w:bidi w:val="0"/>
        <w:adjustRightInd w:val="0"/>
        <w:snapToGrid w:val="0"/>
        <w:spacing w:line="360" w:lineRule="auto"/>
        <w:jc w:val="center"/>
        <w:textAlignment w:val="auto"/>
        <w:outlineLvl w:val="9"/>
        <w:rPr>
          <w:rFonts w:ascii="Times New Roman" w:hAnsi="Times New Roman" w:eastAsia="宋体" w:cs="Times New Roman"/>
          <w:b/>
          <w:bCs/>
          <w:kern w:val="2"/>
          <w:sz w:val="32"/>
          <w:szCs w:val="32"/>
        </w:rPr>
      </w:pPr>
    </w:p>
    <w:p w14:paraId="1423A883">
      <w:pPr>
        <w:pageBreakBefore w:val="0"/>
        <w:kinsoku/>
        <w:wordWrap/>
        <w:overflowPunct/>
        <w:bidi w:val="0"/>
        <w:adjustRightInd w:val="0"/>
        <w:snapToGrid w:val="0"/>
        <w:spacing w:line="360" w:lineRule="auto"/>
        <w:jc w:val="center"/>
        <w:textAlignment w:val="auto"/>
        <w:outlineLvl w:val="9"/>
        <w:rPr>
          <w:rFonts w:ascii="Times New Roman" w:hAnsi="Times New Roman" w:eastAsia="宋体" w:cs="Times New Roman"/>
          <w:b/>
          <w:bCs/>
          <w:kern w:val="2"/>
          <w:sz w:val="32"/>
          <w:szCs w:val="32"/>
        </w:rPr>
      </w:pPr>
    </w:p>
    <w:p w14:paraId="5CD48987">
      <w:pPr>
        <w:pageBreakBefore w:val="0"/>
        <w:kinsoku/>
        <w:wordWrap/>
        <w:overflowPunct/>
        <w:bidi w:val="0"/>
        <w:adjustRightInd w:val="0"/>
        <w:snapToGrid w:val="0"/>
        <w:spacing w:line="360" w:lineRule="auto"/>
        <w:jc w:val="center"/>
        <w:textAlignment w:val="auto"/>
        <w:outlineLvl w:val="9"/>
        <w:rPr>
          <w:rFonts w:ascii="Times New Roman" w:hAnsi="Times New Roman" w:eastAsia="宋体" w:cs="Times New Roman"/>
          <w:b/>
          <w:bCs/>
          <w:kern w:val="2"/>
          <w:sz w:val="32"/>
          <w:szCs w:val="32"/>
        </w:rPr>
      </w:pPr>
    </w:p>
    <w:p w14:paraId="0CFE9496">
      <w:pPr>
        <w:pageBreakBefore w:val="0"/>
        <w:kinsoku/>
        <w:wordWrap/>
        <w:overflowPunct/>
        <w:bidi w:val="0"/>
        <w:adjustRightInd w:val="0"/>
        <w:snapToGrid w:val="0"/>
        <w:spacing w:line="360" w:lineRule="auto"/>
        <w:jc w:val="center"/>
        <w:textAlignment w:val="auto"/>
        <w:outlineLvl w:val="9"/>
        <w:rPr>
          <w:rFonts w:ascii="Times New Roman" w:hAnsi="Times New Roman" w:eastAsia="宋体" w:cs="Times New Roman"/>
          <w:b/>
          <w:bCs/>
          <w:kern w:val="2"/>
          <w:sz w:val="32"/>
          <w:szCs w:val="32"/>
        </w:rPr>
      </w:pPr>
    </w:p>
    <w:p w14:paraId="44AD2D08">
      <w:pPr>
        <w:pageBreakBefore w:val="0"/>
        <w:kinsoku/>
        <w:wordWrap/>
        <w:overflowPunct/>
        <w:bidi w:val="0"/>
        <w:adjustRightInd w:val="0"/>
        <w:snapToGrid w:val="0"/>
        <w:spacing w:line="360" w:lineRule="auto"/>
        <w:jc w:val="center"/>
        <w:textAlignment w:val="auto"/>
        <w:outlineLvl w:val="9"/>
        <w:rPr>
          <w:rFonts w:ascii="Times New Roman" w:hAnsi="Times New Roman" w:eastAsia="宋体" w:cs="Times New Roman"/>
          <w:b/>
          <w:bCs/>
          <w:kern w:val="2"/>
          <w:sz w:val="32"/>
          <w:szCs w:val="32"/>
        </w:rPr>
      </w:pPr>
    </w:p>
    <w:p w14:paraId="3DDEB3DC">
      <w:pPr>
        <w:pageBreakBefore w:val="0"/>
        <w:widowControl w:val="0"/>
        <w:kinsoku/>
        <w:wordWrap/>
        <w:overflowPunct w:val="0"/>
        <w:bidi w:val="0"/>
        <w:adjustRightInd w:val="0"/>
        <w:snapToGrid w:val="0"/>
        <w:ind w:firstLine="480" w:firstLineChars="200"/>
        <w:jc w:val="both"/>
        <w:textAlignment w:val="auto"/>
        <w:rPr>
          <w:rFonts w:hint="eastAsia" w:ascii="宋体" w:hAnsi="宋体" w:eastAsia="宋体" w:cs="Times New Roman"/>
          <w:color w:val="auto"/>
          <w:sz w:val="24"/>
          <w:szCs w:val="24"/>
        </w:rPr>
      </w:pPr>
    </w:p>
    <w:p w14:paraId="008E7846">
      <w:pPr>
        <w:pageBreakBefore w:val="0"/>
        <w:widowControl w:val="0"/>
        <w:kinsoku/>
        <w:wordWrap/>
        <w:overflowPunct w:val="0"/>
        <w:bidi w:val="0"/>
        <w:jc w:val="both"/>
        <w:textAlignment w:val="auto"/>
        <w:rPr>
          <w:rFonts w:ascii="宋体" w:hAnsi="宋体" w:eastAsia="宋体" w:cs="宋体"/>
          <w:b/>
          <w:color w:val="auto"/>
          <w:kern w:val="1"/>
          <w:sz w:val="32"/>
          <w:szCs w:val="32"/>
        </w:rPr>
      </w:pPr>
    </w:p>
    <w:p w14:paraId="0D0E821C">
      <w:pPr>
        <w:pageBreakBefore w:val="0"/>
        <w:widowControl w:val="0"/>
        <w:kinsoku/>
        <w:wordWrap/>
        <w:overflowPunct w:val="0"/>
        <w:bidi w:val="0"/>
        <w:jc w:val="both"/>
        <w:textAlignment w:val="auto"/>
        <w:rPr>
          <w:rFonts w:ascii="宋体" w:hAnsi="宋体" w:eastAsia="宋体" w:cs="宋体"/>
          <w:b/>
          <w:color w:val="auto"/>
          <w:kern w:val="1"/>
          <w:sz w:val="32"/>
          <w:szCs w:val="32"/>
        </w:rPr>
      </w:pPr>
    </w:p>
    <w:p w14:paraId="347E8C45">
      <w:pPr>
        <w:keepNext w:val="0"/>
        <w:keepLines w:val="0"/>
        <w:pageBreakBefore w:val="0"/>
        <w:widowControl w:val="0"/>
        <w:kinsoku/>
        <w:wordWrap/>
        <w:overflowPunct w:val="0"/>
        <w:topLinePunct w:val="0"/>
        <w:autoSpaceDE/>
        <w:autoSpaceDN/>
        <w:bidi w:val="0"/>
        <w:adjustRightInd/>
        <w:snapToGrid/>
        <w:jc w:val="center"/>
        <w:textAlignment w:val="auto"/>
        <w:outlineLvl w:val="0"/>
        <w:rPr>
          <w:rFonts w:ascii="宋体" w:hAnsi="宋体" w:eastAsia="宋体" w:cs="宋体"/>
          <w:b/>
          <w:color w:val="auto"/>
          <w:kern w:val="1"/>
          <w:sz w:val="36"/>
          <w:szCs w:val="36"/>
        </w:rPr>
      </w:pPr>
      <w:r>
        <w:rPr>
          <w:rFonts w:ascii="宋体" w:hAnsi="宋体" w:eastAsia="宋体" w:cs="宋体"/>
          <w:b/>
          <w:color w:val="auto"/>
          <w:kern w:val="1"/>
          <w:sz w:val="32"/>
          <w:szCs w:val="32"/>
        </w:rPr>
        <w:br w:type="page"/>
      </w:r>
      <w:bookmarkStart w:id="571" w:name="_Toc25151"/>
      <w:bookmarkStart w:id="572" w:name="_Toc9378"/>
      <w:r>
        <w:rPr>
          <w:rFonts w:ascii="宋体" w:hAnsi="宋体" w:eastAsia="宋体" w:cs="宋体"/>
          <w:b/>
          <w:color w:val="auto"/>
          <w:kern w:val="1"/>
          <w:sz w:val="36"/>
          <w:szCs w:val="36"/>
        </w:rPr>
        <w:t xml:space="preserve">第四章 </w:t>
      </w:r>
      <w:r>
        <w:rPr>
          <w:rFonts w:hint="eastAsia" w:ascii="宋体" w:hAnsi="宋体" w:eastAsia="宋体" w:cs="宋体"/>
          <w:b/>
          <w:color w:val="auto"/>
          <w:kern w:val="1"/>
          <w:sz w:val="36"/>
          <w:szCs w:val="36"/>
          <w:lang w:val="en-US" w:eastAsia="zh-CN"/>
        </w:rPr>
        <w:t xml:space="preserve"> </w:t>
      </w:r>
      <w:r>
        <w:rPr>
          <w:rFonts w:ascii="宋体" w:hAnsi="宋体" w:eastAsia="宋体" w:cs="宋体"/>
          <w:b/>
          <w:color w:val="auto"/>
          <w:kern w:val="1"/>
          <w:sz w:val="36"/>
          <w:szCs w:val="36"/>
        </w:rPr>
        <w:t>采购需求</w:t>
      </w:r>
      <w:bookmarkEnd w:id="571"/>
      <w:bookmarkEnd w:id="572"/>
      <w:bookmarkStart w:id="573" w:name="_Toc448948634"/>
      <w:bookmarkEnd w:id="573"/>
    </w:p>
    <w:p w14:paraId="28135AEC">
      <w:pPr>
        <w:pageBreakBefore w:val="0"/>
        <w:widowControl w:val="0"/>
        <w:kinsoku/>
        <w:wordWrap/>
        <w:overflowPunct w:val="0"/>
        <w:bidi w:val="0"/>
        <w:ind w:firstLine="422"/>
        <w:jc w:val="both"/>
        <w:textAlignment w:val="auto"/>
        <w:rPr>
          <w:rFonts w:ascii="宋体" w:hAnsi="宋体" w:eastAsia="宋体" w:cs="宋体"/>
          <w:b/>
          <w:color w:val="auto"/>
          <w:kern w:val="1"/>
          <w:szCs w:val="21"/>
        </w:rPr>
      </w:pPr>
    </w:p>
    <w:p w14:paraId="71EB4E1F">
      <w:pPr>
        <w:keepNext w:val="0"/>
        <w:keepLines w:val="0"/>
        <w:pageBreakBefore w:val="0"/>
        <w:widowControl w:val="0"/>
        <w:kinsoku/>
        <w:wordWrap/>
        <w:overflowPunct w:val="0"/>
        <w:topLinePunct w:val="0"/>
        <w:bidi w:val="0"/>
        <w:adjustRightInd/>
        <w:snapToGrid/>
        <w:spacing w:line="48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一、项目概况</w:t>
      </w:r>
    </w:p>
    <w:p w14:paraId="5FDECED4">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hint="eastAsia" w:ascii="宋体" w:hAnsi="宋体" w:eastAsia="宋体" w:cs="宋体"/>
          <w:color w:val="auto"/>
          <w:kern w:val="1"/>
          <w:sz w:val="24"/>
          <w:szCs w:val="24"/>
        </w:rPr>
      </w:pPr>
      <w:r>
        <w:rPr>
          <w:rFonts w:ascii="宋体" w:hAnsi="宋体" w:eastAsia="宋体" w:cs="宋体"/>
          <w:color w:val="auto"/>
          <w:kern w:val="1"/>
          <w:sz w:val="24"/>
          <w:szCs w:val="24"/>
        </w:rPr>
        <w:t>采购项目名称：</w:t>
      </w:r>
      <w:r>
        <w:rPr>
          <w:rFonts w:hint="eastAsia" w:ascii="宋体" w:hAnsi="宋体" w:eastAsia="宋体" w:cs="宋体"/>
          <w:sz w:val="24"/>
          <w:szCs w:val="24"/>
          <w:lang w:eastAsia="zh-CN"/>
        </w:rPr>
        <w:t>慈利一中图书馆维修改造项目</w:t>
      </w:r>
    </w:p>
    <w:p w14:paraId="6C00ABB8">
      <w:pPr>
        <w:keepNext w:val="0"/>
        <w:keepLines w:val="0"/>
        <w:pageBreakBefore w:val="0"/>
        <w:widowControl w:val="0"/>
        <w:kinsoku/>
        <w:wordWrap/>
        <w:overflowPunct w:val="0"/>
        <w:topLinePunct w:val="0"/>
        <w:bidi w:val="0"/>
        <w:adjustRightInd/>
        <w:snapToGrid/>
        <w:spacing w:line="48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二、采购范围</w:t>
      </w:r>
    </w:p>
    <w:p w14:paraId="3F083EE9">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sz w:val="24"/>
          <w:szCs w:val="24"/>
        </w:rPr>
        <w:t>主要建设内容及规模</w:t>
      </w:r>
      <w:r>
        <w:rPr>
          <w:rFonts w:hint="eastAsia" w:ascii="宋体" w:hAnsi="宋体" w:eastAsia="宋体" w:cs="宋体"/>
          <w:sz w:val="24"/>
          <w:szCs w:val="24"/>
          <w:lang w:eastAsia="zh-CN"/>
        </w:rPr>
        <w:t>：</w:t>
      </w:r>
      <w:r>
        <w:rPr>
          <w:rFonts w:hint="eastAsia" w:ascii="宋体" w:hAnsi="宋体" w:eastAsia="宋体" w:cs="宋体"/>
          <w:sz w:val="24"/>
          <w:szCs w:val="24"/>
        </w:rPr>
        <w:t>维修地面、墙面、屋顶防水、改造厕所、会议室电子显示屏和音响系统，完善消防和应急设施</w:t>
      </w:r>
      <w:r>
        <w:rPr>
          <w:rFonts w:hint="eastAsia" w:ascii="宋体" w:hAnsi="宋体" w:eastAsia="宋体" w:cs="宋体"/>
          <w:color w:val="auto"/>
          <w:kern w:val="1"/>
          <w:sz w:val="24"/>
          <w:szCs w:val="24"/>
          <w:lang w:eastAsia="zh-CN"/>
        </w:rPr>
        <w:t>，</w:t>
      </w:r>
      <w:r>
        <w:rPr>
          <w:rFonts w:ascii="宋体" w:hAnsi="宋体" w:eastAsia="宋体" w:cs="宋体"/>
          <w:color w:val="auto"/>
          <w:kern w:val="1"/>
          <w:sz w:val="24"/>
          <w:szCs w:val="24"/>
        </w:rPr>
        <w:t>具体详见工程量清单。</w:t>
      </w:r>
    </w:p>
    <w:p w14:paraId="2C222455">
      <w:pPr>
        <w:keepNext w:val="0"/>
        <w:keepLines w:val="0"/>
        <w:pageBreakBefore w:val="0"/>
        <w:widowControl w:val="0"/>
        <w:kinsoku/>
        <w:wordWrap/>
        <w:overflowPunct w:val="0"/>
        <w:topLinePunct w:val="0"/>
        <w:bidi w:val="0"/>
        <w:adjustRightInd/>
        <w:snapToGrid/>
        <w:spacing w:line="48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三、具体工作内容及要求</w:t>
      </w:r>
    </w:p>
    <w:p w14:paraId="798412E6">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工程为</w:t>
      </w:r>
      <w:r>
        <w:rPr>
          <w:rFonts w:hint="eastAsia" w:ascii="宋体" w:hAnsi="宋体" w:eastAsia="宋体" w:cs="宋体"/>
          <w:color w:val="auto"/>
          <w:kern w:val="1"/>
          <w:sz w:val="24"/>
          <w:szCs w:val="24"/>
          <w:lang w:eastAsia="zh-CN"/>
        </w:rPr>
        <w:t>慈</w:t>
      </w:r>
      <w:r>
        <w:rPr>
          <w:rFonts w:hint="eastAsia" w:ascii="宋体" w:hAnsi="宋体" w:eastAsia="宋体" w:cs="宋体"/>
          <w:sz w:val="24"/>
          <w:szCs w:val="24"/>
          <w:lang w:eastAsia="zh-CN"/>
        </w:rPr>
        <w:t>慈利一中图书馆维修改造项目</w:t>
      </w:r>
      <w:r>
        <w:rPr>
          <w:rFonts w:hint="eastAsia" w:ascii="宋体" w:hAnsi="宋体" w:eastAsia="宋体" w:cs="宋体"/>
          <w:color w:val="auto"/>
          <w:kern w:val="1"/>
          <w:sz w:val="24"/>
          <w:szCs w:val="24"/>
        </w:rPr>
        <w:t>，</w:t>
      </w:r>
      <w:r>
        <w:rPr>
          <w:rFonts w:ascii="宋体" w:hAnsi="宋体" w:eastAsia="宋体" w:cs="宋体"/>
          <w:color w:val="auto"/>
          <w:kern w:val="1"/>
          <w:sz w:val="24"/>
          <w:szCs w:val="24"/>
        </w:rPr>
        <w:t>详见工程量清单。</w:t>
      </w:r>
    </w:p>
    <w:p w14:paraId="2FB93BE6">
      <w:pPr>
        <w:keepNext w:val="0"/>
        <w:keepLines w:val="0"/>
        <w:pageBreakBefore w:val="0"/>
        <w:widowControl w:val="0"/>
        <w:numPr>
          <w:ilvl w:val="0"/>
          <w:numId w:val="3"/>
        </w:numPr>
        <w:kinsoku/>
        <w:wordWrap/>
        <w:overflowPunct w:val="0"/>
        <w:topLinePunct w:val="0"/>
        <w:bidi w:val="0"/>
        <w:adjustRightInd/>
        <w:snapToGrid/>
        <w:spacing w:line="480" w:lineRule="exact"/>
        <w:ind w:firstLine="482" w:firstLineChars="200"/>
        <w:jc w:val="both"/>
        <w:textAlignment w:val="auto"/>
        <w:rPr>
          <w:rFonts w:hint="eastAsia" w:ascii="宋体" w:hAnsi="宋体" w:eastAsia="宋体" w:cs="宋体"/>
          <w:b/>
          <w:color w:val="auto"/>
          <w:kern w:val="1"/>
          <w:sz w:val="24"/>
          <w:szCs w:val="24"/>
        </w:rPr>
      </w:pPr>
      <w:r>
        <w:rPr>
          <w:rFonts w:ascii="宋体" w:hAnsi="宋体" w:eastAsia="宋体" w:cs="宋体"/>
          <w:b/>
          <w:color w:val="auto"/>
          <w:kern w:val="1"/>
          <w:sz w:val="24"/>
          <w:szCs w:val="24"/>
        </w:rPr>
        <w:t>工期、质量要求</w:t>
      </w:r>
      <w:r>
        <w:rPr>
          <w:rFonts w:hint="eastAsia" w:ascii="宋体" w:hAnsi="宋体" w:eastAsia="宋体" w:cs="宋体"/>
          <w:b/>
          <w:color w:val="auto"/>
          <w:kern w:val="1"/>
          <w:sz w:val="24"/>
          <w:szCs w:val="24"/>
        </w:rPr>
        <w:t>、</w:t>
      </w:r>
      <w:r>
        <w:rPr>
          <w:rFonts w:ascii="宋体" w:hAnsi="宋体" w:eastAsia="宋体" w:cs="宋体"/>
          <w:b/>
          <w:color w:val="auto"/>
          <w:kern w:val="1"/>
          <w:sz w:val="24"/>
          <w:szCs w:val="24"/>
        </w:rPr>
        <w:t>付款</w:t>
      </w:r>
      <w:r>
        <w:rPr>
          <w:rFonts w:hint="eastAsia" w:ascii="宋体" w:hAnsi="宋体" w:eastAsia="宋体" w:cs="宋体"/>
          <w:b/>
          <w:color w:val="auto"/>
          <w:kern w:val="1"/>
          <w:sz w:val="24"/>
          <w:szCs w:val="24"/>
        </w:rPr>
        <w:t>及验收要求</w:t>
      </w:r>
    </w:p>
    <w:p w14:paraId="2C05E9F8">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1、工期：</w:t>
      </w:r>
      <w:r>
        <w:rPr>
          <w:rFonts w:hint="eastAsia" w:ascii="宋体" w:hAnsi="宋体" w:cs="宋体"/>
          <w:color w:val="auto"/>
          <w:kern w:val="1"/>
          <w:sz w:val="24"/>
          <w:szCs w:val="24"/>
          <w:lang w:val="en-US" w:eastAsia="zh-CN"/>
        </w:rPr>
        <w:t>90</w:t>
      </w:r>
      <w:r>
        <w:rPr>
          <w:rFonts w:hint="eastAsia" w:ascii="宋体" w:hAnsi="宋体" w:eastAsia="宋体" w:cs="Times New Roman"/>
          <w:color w:val="auto"/>
          <w:sz w:val="24"/>
          <w:szCs w:val="24"/>
        </w:rPr>
        <w:t>日历天</w:t>
      </w:r>
      <w:r>
        <w:rPr>
          <w:rFonts w:hint="eastAsia" w:ascii="宋体" w:hAnsi="宋体" w:eastAsia="宋体" w:cs="宋体"/>
          <w:color w:val="auto"/>
          <w:kern w:val="1"/>
          <w:sz w:val="24"/>
          <w:szCs w:val="24"/>
        </w:rPr>
        <w:t>（以</w:t>
      </w:r>
      <w:r>
        <w:rPr>
          <w:rFonts w:ascii="宋体" w:hAnsi="宋体" w:eastAsia="宋体" w:cs="宋体"/>
          <w:color w:val="auto"/>
          <w:kern w:val="1"/>
          <w:sz w:val="24"/>
          <w:szCs w:val="24"/>
        </w:rPr>
        <w:t>签订合同</w:t>
      </w:r>
      <w:r>
        <w:rPr>
          <w:rFonts w:hint="eastAsia" w:ascii="宋体" w:hAnsi="宋体" w:eastAsia="宋体" w:cs="宋体"/>
          <w:color w:val="auto"/>
          <w:kern w:val="1"/>
          <w:sz w:val="24"/>
          <w:szCs w:val="24"/>
        </w:rPr>
        <w:t>为准）。</w:t>
      </w:r>
    </w:p>
    <w:p w14:paraId="6654BE7B">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hint="eastAsia" w:ascii="宋体" w:hAnsi="宋体" w:eastAsia="宋体" w:cs="宋体"/>
          <w:color w:val="auto"/>
          <w:kern w:val="1"/>
          <w:sz w:val="24"/>
          <w:szCs w:val="24"/>
        </w:rPr>
      </w:pPr>
      <w:r>
        <w:rPr>
          <w:rFonts w:ascii="宋体" w:hAnsi="宋体" w:eastAsia="宋体" w:cs="宋体"/>
          <w:color w:val="auto"/>
          <w:kern w:val="1"/>
          <w:sz w:val="24"/>
          <w:szCs w:val="24"/>
        </w:rPr>
        <w:t>2、质量要求：</w:t>
      </w:r>
      <w:r>
        <w:rPr>
          <w:rFonts w:hint="eastAsia" w:ascii="宋体" w:hAnsi="宋体" w:cs="宋体"/>
          <w:color w:val="auto"/>
          <w:kern w:val="1"/>
          <w:sz w:val="24"/>
          <w:szCs w:val="24"/>
          <w:lang w:val="en-US" w:eastAsia="zh-CN"/>
        </w:rPr>
        <w:tab/>
      </w:r>
      <w:r>
        <w:rPr>
          <w:rFonts w:hint="eastAsia" w:ascii="宋体" w:hAnsi="宋体" w:eastAsia="宋体" w:cs="宋体"/>
          <w:color w:val="auto"/>
          <w:kern w:val="1"/>
          <w:sz w:val="24"/>
          <w:szCs w:val="24"/>
        </w:rPr>
        <w:t>。</w:t>
      </w:r>
    </w:p>
    <w:p w14:paraId="3F33144C">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b/>
          <w:color w:val="auto"/>
          <w:kern w:val="1"/>
          <w:sz w:val="24"/>
          <w:szCs w:val="24"/>
        </w:rPr>
      </w:pPr>
      <w:r>
        <w:rPr>
          <w:rFonts w:ascii="宋体" w:hAnsi="宋体" w:eastAsia="宋体" w:cs="宋体"/>
          <w:color w:val="auto"/>
          <w:kern w:val="1"/>
          <w:sz w:val="24"/>
          <w:szCs w:val="24"/>
        </w:rPr>
        <w:t>3、质量标准</w:t>
      </w:r>
    </w:p>
    <w:p w14:paraId="358AC6D9">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1）工程质量及工程验收标准，按建设部现行的有关施工规范和工程质量检验评定标准执行，务必达到合格工程标准。成交供应商如有违反操作规程及粗制滥造现象，采购人有权加以制止，直至下令停止施工，其经济损失全部由承包人负责，工期不得顺延。</w:t>
      </w:r>
    </w:p>
    <w:p w14:paraId="7C453DE8">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（2）当现场情况与设计不相符时，须先报告采购方,再由采购方和设计方根据现场进行调整。</w:t>
      </w:r>
    </w:p>
    <w:p w14:paraId="6379F050">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（3）保修</w:t>
      </w:r>
      <w:r>
        <w:rPr>
          <w:rFonts w:hint="eastAsia" w:ascii="宋体" w:hAnsi="宋体" w:eastAsia="宋体" w:cs="宋体"/>
          <w:color w:val="auto"/>
          <w:kern w:val="1"/>
          <w:sz w:val="24"/>
          <w:szCs w:val="24"/>
        </w:rPr>
        <w:t>按国务院279号令及国家现行相关规定执行</w:t>
      </w:r>
      <w:r>
        <w:rPr>
          <w:rFonts w:ascii="宋体" w:hAnsi="宋体" w:eastAsia="宋体" w:cs="宋体"/>
          <w:color w:val="auto"/>
          <w:kern w:val="1"/>
          <w:sz w:val="24"/>
          <w:szCs w:val="24"/>
        </w:rPr>
        <w:t>。</w:t>
      </w:r>
    </w:p>
    <w:p w14:paraId="107FA564">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ascii="宋体" w:hAnsi="宋体" w:eastAsia="宋体" w:cs="宋体"/>
          <w:color w:val="auto"/>
          <w:kern w:val="1"/>
          <w:sz w:val="24"/>
          <w:szCs w:val="24"/>
        </w:rPr>
        <w:t>施工及验收标准</w:t>
      </w:r>
    </w:p>
    <w:p w14:paraId="7F012F61">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本工程项目的材料、设备、施工须执行中华人民共和国所有现行工程建设国家规范、技术要求及强制性条文，具体以本项目设计文件相关技术标准和要求为准。</w:t>
      </w:r>
    </w:p>
    <w:p w14:paraId="6938F5C5">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Times New Roman" w:hAnsi="Times New Roman" w:eastAsia="宋体" w:cs="Times New Roman"/>
          <w:color w:val="auto"/>
          <w:sz w:val="24"/>
          <w:szCs w:val="24"/>
        </w:rPr>
      </w:pPr>
      <w:r>
        <w:rPr>
          <w:rFonts w:hint="eastAsia" w:ascii="宋体" w:hAnsi="宋体" w:eastAsia="宋体" w:cs="宋体"/>
          <w:color w:val="auto"/>
          <w:kern w:val="1"/>
          <w:sz w:val="24"/>
          <w:szCs w:val="24"/>
        </w:rPr>
        <w:t>5、工程款支付</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按合同约定。</w:t>
      </w:r>
    </w:p>
    <w:p w14:paraId="2B975612">
      <w:pPr>
        <w:keepNext w:val="0"/>
        <w:keepLines w:val="0"/>
        <w:pageBreakBefore w:val="0"/>
        <w:widowControl w:val="0"/>
        <w:kinsoku/>
        <w:wordWrap/>
        <w:overflowPunct w:val="0"/>
        <w:topLinePunct w:val="0"/>
        <w:bidi w:val="0"/>
        <w:adjustRightInd/>
        <w:snapToGrid/>
        <w:spacing w:line="480" w:lineRule="exact"/>
        <w:ind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ascii="宋体" w:hAnsi="宋体" w:eastAsia="宋体" w:cs="宋体"/>
          <w:color w:val="auto"/>
          <w:kern w:val="1"/>
          <w:sz w:val="24"/>
          <w:szCs w:val="24"/>
        </w:rPr>
        <w:t>、</w:t>
      </w:r>
      <w:r>
        <w:rPr>
          <w:rFonts w:hint="eastAsia" w:ascii="宋体" w:hAnsi="宋体" w:eastAsia="宋体" w:cs="宋体"/>
          <w:color w:val="auto"/>
          <w:kern w:val="1"/>
          <w:sz w:val="24"/>
          <w:szCs w:val="24"/>
        </w:rPr>
        <w:t>验收要求</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按合同约定。</w:t>
      </w:r>
    </w:p>
    <w:p w14:paraId="14521984">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五、转包和分包</w:t>
      </w:r>
    </w:p>
    <w:p w14:paraId="23ECCA09">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本工程供应商中标后，不得以任何形式将本工程转包或分包给其他单位，如发现转包或分包，采购人有权终止合同，所造成的一切损失由中标供应商负责。</w:t>
      </w:r>
    </w:p>
    <w:p w14:paraId="5D0B9466">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六、中标供应商竣工后应提供的技术资料</w:t>
      </w:r>
    </w:p>
    <w:p w14:paraId="31BFE24C">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按合同约定</w:t>
      </w:r>
    </w:p>
    <w:p w14:paraId="5BC944B7">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七、投标报价文件</w:t>
      </w:r>
    </w:p>
    <w:p w14:paraId="194622DE">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hint="eastAsia" w:ascii="Times New Roman" w:hAnsi="Times New Roman" w:eastAsia="宋体" w:cs="Times New Roman"/>
          <w:b/>
          <w:bCs/>
          <w:color w:val="auto"/>
          <w:sz w:val="24"/>
          <w:szCs w:val="24"/>
        </w:rPr>
      </w:pPr>
      <w:r>
        <w:rPr>
          <w:rFonts w:ascii="宋体" w:hAnsi="宋体" w:eastAsia="宋体" w:cs="宋体"/>
          <w:color w:val="auto"/>
          <w:kern w:val="1"/>
          <w:sz w:val="24"/>
          <w:szCs w:val="24"/>
        </w:rPr>
        <w:t>1、工程报价文件中的单价和总价均以人民币表示。</w:t>
      </w:r>
      <w:r>
        <w:rPr>
          <w:rFonts w:hint="eastAsia" w:ascii="宋体" w:hAnsi="宋体" w:eastAsia="宋体" w:cs="宋体"/>
          <w:b/>
          <w:bCs/>
          <w:color w:val="auto"/>
          <w:kern w:val="1"/>
          <w:sz w:val="24"/>
          <w:szCs w:val="24"/>
        </w:rPr>
        <w:t>响应</w:t>
      </w:r>
      <w:r>
        <w:rPr>
          <w:rFonts w:ascii="宋体" w:hAnsi="宋体" w:eastAsia="宋体" w:cs="宋体"/>
          <w:b/>
          <w:bCs/>
          <w:color w:val="auto"/>
          <w:kern w:val="1"/>
          <w:sz w:val="24"/>
          <w:szCs w:val="24"/>
        </w:rPr>
        <w:t>报价文件应由下列内容组成</w:t>
      </w:r>
      <w:r>
        <w:rPr>
          <w:rFonts w:hint="eastAsia" w:ascii="宋体" w:hAnsi="宋体" w:eastAsia="宋体" w:cs="宋体"/>
          <w:b/>
          <w:bCs/>
          <w:color w:val="auto"/>
          <w:kern w:val="1"/>
          <w:sz w:val="24"/>
          <w:szCs w:val="24"/>
        </w:rPr>
        <w:t>，具体格式以本项目提供的工程量清单为准。</w:t>
      </w:r>
    </w:p>
    <w:p w14:paraId="3E764AF4">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2、本工程采用一般计税法相关规定进行。</w:t>
      </w:r>
    </w:p>
    <w:p w14:paraId="4BB20859">
      <w:pPr>
        <w:keepNext w:val="0"/>
        <w:keepLines w:val="0"/>
        <w:pageBreakBefore w:val="0"/>
        <w:widowControl w:val="0"/>
        <w:kinsoku/>
        <w:wordWrap/>
        <w:overflowPunct w:val="0"/>
        <w:topLinePunct w:val="0"/>
        <w:autoSpaceDE/>
        <w:autoSpaceDN/>
        <w:bidi w:val="0"/>
        <w:adjustRightInd/>
        <w:snapToGrid/>
        <w:spacing w:line="520" w:lineRule="exact"/>
        <w:ind w:firstLine="482" w:firstLineChars="200"/>
        <w:jc w:val="both"/>
        <w:textAlignment w:val="auto"/>
        <w:rPr>
          <w:rFonts w:ascii="宋体" w:hAnsi="宋体" w:eastAsia="宋体" w:cs="宋体"/>
          <w:b/>
          <w:color w:val="auto"/>
          <w:kern w:val="1"/>
          <w:sz w:val="24"/>
          <w:szCs w:val="24"/>
        </w:rPr>
      </w:pPr>
      <w:r>
        <w:rPr>
          <w:rFonts w:ascii="宋体" w:hAnsi="宋体" w:eastAsia="宋体" w:cs="宋体"/>
          <w:b/>
          <w:color w:val="auto"/>
          <w:kern w:val="1"/>
          <w:sz w:val="24"/>
          <w:szCs w:val="24"/>
        </w:rPr>
        <w:t>3、本工程为设</w:t>
      </w:r>
      <w:r>
        <w:rPr>
          <w:rFonts w:hint="eastAsia" w:ascii="宋体" w:hAnsi="宋体" w:eastAsia="宋体" w:cs="宋体"/>
          <w:b/>
          <w:color w:val="auto"/>
          <w:kern w:val="1"/>
          <w:sz w:val="24"/>
          <w:szCs w:val="24"/>
        </w:rPr>
        <w:t>最高限价</w:t>
      </w:r>
      <w:r>
        <w:rPr>
          <w:rFonts w:ascii="宋体" w:hAnsi="宋体" w:eastAsia="宋体" w:cs="宋体"/>
          <w:b/>
          <w:color w:val="auto"/>
          <w:kern w:val="1"/>
          <w:sz w:val="24"/>
          <w:szCs w:val="24"/>
        </w:rPr>
        <w:t>。</w:t>
      </w:r>
    </w:p>
    <w:p w14:paraId="258D94F9">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ascii="宋体" w:hAnsi="宋体" w:eastAsia="宋体" w:cs="宋体"/>
          <w:bCs/>
          <w:color w:val="auto"/>
          <w:kern w:val="1"/>
          <w:sz w:val="24"/>
          <w:szCs w:val="24"/>
        </w:rPr>
      </w:pPr>
      <w:r>
        <w:rPr>
          <w:rFonts w:ascii="宋体" w:hAnsi="宋体" w:eastAsia="宋体" w:cs="宋体"/>
          <w:bCs/>
          <w:color w:val="auto"/>
          <w:kern w:val="1"/>
          <w:sz w:val="24"/>
          <w:szCs w:val="24"/>
        </w:rPr>
        <w:t>（1）</w:t>
      </w:r>
      <w:r>
        <w:rPr>
          <w:rFonts w:hint="eastAsia" w:ascii="宋体" w:hAnsi="宋体" w:eastAsia="宋体" w:cs="宋体"/>
          <w:bCs/>
          <w:color w:val="auto"/>
          <w:kern w:val="1"/>
          <w:sz w:val="24"/>
          <w:szCs w:val="24"/>
        </w:rPr>
        <w:t>最高限价</w:t>
      </w:r>
      <w:r>
        <w:rPr>
          <w:rFonts w:ascii="宋体" w:hAnsi="宋体" w:eastAsia="宋体" w:cs="宋体"/>
          <w:bCs/>
          <w:color w:val="auto"/>
          <w:kern w:val="1"/>
          <w:sz w:val="24"/>
          <w:szCs w:val="24"/>
        </w:rPr>
        <w:t>为</w:t>
      </w:r>
      <w:r>
        <w:rPr>
          <w:rFonts w:hint="eastAsia" w:ascii="宋体" w:hAnsi="宋体" w:eastAsia="宋体" w:cs="宋体"/>
          <w:bCs/>
          <w:color w:val="auto"/>
          <w:kern w:val="1"/>
          <w:sz w:val="24"/>
          <w:szCs w:val="24"/>
          <w:lang w:eastAsia="zh-CN"/>
        </w:rPr>
        <w:t>3685994.86元</w:t>
      </w:r>
      <w:r>
        <w:rPr>
          <w:rFonts w:ascii="宋体" w:hAnsi="宋体" w:eastAsia="宋体" w:cs="宋体"/>
          <w:bCs/>
          <w:color w:val="auto"/>
          <w:kern w:val="1"/>
          <w:sz w:val="24"/>
          <w:szCs w:val="24"/>
        </w:rPr>
        <w:t>，投标报价不</w:t>
      </w:r>
      <w:r>
        <w:rPr>
          <w:rFonts w:hint="eastAsia" w:ascii="宋体" w:hAnsi="宋体" w:eastAsia="宋体" w:cs="宋体"/>
          <w:bCs/>
          <w:color w:val="auto"/>
          <w:kern w:val="1"/>
          <w:sz w:val="24"/>
          <w:szCs w:val="24"/>
        </w:rPr>
        <w:t>得</w:t>
      </w:r>
      <w:r>
        <w:rPr>
          <w:rFonts w:ascii="宋体" w:hAnsi="宋体" w:eastAsia="宋体" w:cs="宋体"/>
          <w:bCs/>
          <w:color w:val="auto"/>
          <w:kern w:val="1"/>
          <w:sz w:val="24"/>
          <w:szCs w:val="24"/>
        </w:rPr>
        <w:t>突破</w:t>
      </w:r>
      <w:r>
        <w:rPr>
          <w:rFonts w:hint="eastAsia" w:ascii="宋体" w:hAnsi="宋体" w:eastAsia="宋体" w:cs="宋体"/>
          <w:bCs/>
          <w:color w:val="auto"/>
          <w:kern w:val="1"/>
          <w:sz w:val="24"/>
          <w:szCs w:val="24"/>
        </w:rPr>
        <w:t>最高限价</w:t>
      </w:r>
      <w:r>
        <w:rPr>
          <w:rFonts w:ascii="宋体" w:hAnsi="宋体" w:eastAsia="宋体" w:cs="宋体"/>
          <w:bCs/>
          <w:color w:val="auto"/>
          <w:kern w:val="1"/>
          <w:sz w:val="24"/>
          <w:szCs w:val="24"/>
        </w:rPr>
        <w:t>。投标报价突破</w:t>
      </w:r>
      <w:r>
        <w:rPr>
          <w:rFonts w:hint="eastAsia" w:ascii="宋体" w:hAnsi="宋体" w:eastAsia="宋体" w:cs="宋体"/>
          <w:bCs/>
          <w:color w:val="auto"/>
          <w:kern w:val="1"/>
          <w:sz w:val="24"/>
          <w:szCs w:val="24"/>
        </w:rPr>
        <w:t>最高限价</w:t>
      </w:r>
      <w:r>
        <w:rPr>
          <w:rFonts w:ascii="宋体" w:hAnsi="宋体" w:eastAsia="宋体" w:cs="宋体"/>
          <w:bCs/>
          <w:color w:val="auto"/>
          <w:kern w:val="1"/>
          <w:sz w:val="24"/>
          <w:szCs w:val="24"/>
        </w:rPr>
        <w:t>的，对该投标人作不合格投标人处理</w:t>
      </w:r>
      <w:r>
        <w:rPr>
          <w:rFonts w:hint="eastAsia" w:ascii="宋体" w:hAnsi="宋体" w:eastAsia="宋体" w:cs="宋体"/>
          <w:bCs/>
          <w:color w:val="auto"/>
          <w:kern w:val="1"/>
          <w:sz w:val="24"/>
          <w:szCs w:val="24"/>
        </w:rPr>
        <w:t>。</w:t>
      </w:r>
    </w:p>
    <w:p w14:paraId="77F9CFEE">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（2）供应商投标期间应对施工现场进行仔细查勘，采购人将给与支持和配合。若供应商认为采购人提供的工程量清单、</w:t>
      </w:r>
      <w:r>
        <w:rPr>
          <w:rFonts w:hint="eastAsia" w:ascii="宋体" w:hAnsi="宋体" w:eastAsia="宋体" w:cs="宋体"/>
          <w:color w:val="auto"/>
          <w:kern w:val="1"/>
          <w:sz w:val="24"/>
          <w:szCs w:val="24"/>
        </w:rPr>
        <w:t>最高限价</w:t>
      </w:r>
      <w:r>
        <w:rPr>
          <w:rFonts w:ascii="宋体" w:hAnsi="宋体" w:eastAsia="宋体" w:cs="宋体"/>
          <w:color w:val="auto"/>
          <w:kern w:val="1"/>
          <w:sz w:val="24"/>
          <w:szCs w:val="24"/>
        </w:rPr>
        <w:t>等有关技术资料还不能充分反映工程情况，可采取措施自行查勘，费用自理。</w:t>
      </w:r>
    </w:p>
    <w:p w14:paraId="0F927DBF">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供应商应根据采购人提供的工程量清单、</w:t>
      </w:r>
      <w:r>
        <w:rPr>
          <w:rFonts w:hint="eastAsia" w:ascii="宋体" w:hAnsi="宋体" w:eastAsia="宋体" w:cs="宋体"/>
          <w:color w:val="auto"/>
          <w:kern w:val="1"/>
          <w:sz w:val="24"/>
          <w:szCs w:val="24"/>
        </w:rPr>
        <w:t>最高限价、综合单价</w:t>
      </w:r>
      <w:r>
        <w:rPr>
          <w:rFonts w:ascii="宋体" w:hAnsi="宋体" w:eastAsia="宋体" w:cs="宋体"/>
          <w:color w:val="auto"/>
          <w:kern w:val="1"/>
          <w:sz w:val="24"/>
          <w:szCs w:val="24"/>
        </w:rPr>
        <w:t>等有关技术资料及现场踏勘测量情况，在保证竣工后各分部分项工程和所有构配件均处于正常工作状态的前提下，自行报价，投标报价不得突破</w:t>
      </w:r>
      <w:r>
        <w:rPr>
          <w:rFonts w:hint="eastAsia" w:ascii="宋体" w:hAnsi="宋体" w:eastAsia="宋体" w:cs="宋体"/>
          <w:color w:val="auto"/>
          <w:kern w:val="1"/>
          <w:sz w:val="24"/>
          <w:szCs w:val="24"/>
        </w:rPr>
        <w:t>最高限价</w:t>
      </w:r>
      <w:r>
        <w:rPr>
          <w:rFonts w:ascii="宋体" w:hAnsi="宋体" w:eastAsia="宋体" w:cs="宋体"/>
          <w:color w:val="auto"/>
          <w:kern w:val="1"/>
          <w:sz w:val="24"/>
          <w:szCs w:val="24"/>
        </w:rPr>
        <w:t>。</w:t>
      </w:r>
    </w:p>
    <w:p w14:paraId="0E3B0EC0">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ascii="宋体" w:hAnsi="宋体" w:eastAsia="宋体" w:cs="宋体"/>
          <w:bCs/>
          <w:color w:val="auto"/>
          <w:kern w:val="1"/>
          <w:sz w:val="24"/>
          <w:szCs w:val="24"/>
        </w:rPr>
      </w:pPr>
      <w:r>
        <w:rPr>
          <w:rFonts w:ascii="宋体" w:hAnsi="宋体" w:eastAsia="宋体" w:cs="宋体"/>
          <w:bCs/>
          <w:color w:val="auto"/>
          <w:kern w:val="1"/>
          <w:sz w:val="24"/>
          <w:szCs w:val="24"/>
        </w:rPr>
        <w:t>为保证竣工后各分部分项工程和所有构配件均处于正常工作状态，供应商应根据施工现场的实际情况进行合理的施工组织设计，</w:t>
      </w:r>
      <w:r>
        <w:rPr>
          <w:rFonts w:hint="eastAsia" w:ascii="宋体" w:hAnsi="宋体" w:eastAsia="宋体" w:cs="宋体"/>
          <w:bCs/>
          <w:color w:val="auto"/>
          <w:kern w:val="1"/>
          <w:sz w:val="24"/>
          <w:szCs w:val="24"/>
        </w:rPr>
        <w:t>若供应商遗漏磋商文件所列工程量清单内容，均由成交人自负，采购人不再支付任何费用。</w:t>
      </w:r>
      <w:r>
        <w:rPr>
          <w:rFonts w:ascii="宋体" w:hAnsi="宋体" w:eastAsia="宋体" w:cs="宋体"/>
          <w:bCs/>
          <w:color w:val="auto"/>
          <w:kern w:val="1"/>
          <w:sz w:val="24"/>
          <w:szCs w:val="24"/>
        </w:rPr>
        <w:t>若发现和工程量清单有漏项的情况，必须充分考虑采取必要措施和预案严格控制</w:t>
      </w:r>
      <w:r>
        <w:rPr>
          <w:rFonts w:hint="eastAsia" w:ascii="宋体" w:hAnsi="宋体" w:eastAsia="宋体" w:cs="宋体"/>
          <w:bCs/>
          <w:color w:val="auto"/>
          <w:kern w:val="1"/>
          <w:sz w:val="24"/>
          <w:szCs w:val="24"/>
        </w:rPr>
        <w:t>预算</w:t>
      </w:r>
      <w:r>
        <w:rPr>
          <w:rFonts w:ascii="宋体" w:hAnsi="宋体" w:eastAsia="宋体" w:cs="宋体"/>
          <w:bCs/>
          <w:color w:val="auto"/>
          <w:kern w:val="1"/>
          <w:sz w:val="24"/>
          <w:szCs w:val="24"/>
        </w:rPr>
        <w:t>。</w:t>
      </w:r>
    </w:p>
    <w:p w14:paraId="5224D13F">
      <w:pPr>
        <w:keepNext w:val="0"/>
        <w:keepLines w:val="0"/>
        <w:pageBreakBefore w:val="0"/>
        <w:widowControl w:val="0"/>
        <w:kinsoku/>
        <w:wordWrap/>
        <w:overflowPunct w:val="0"/>
        <w:topLinePunct w:val="0"/>
        <w:autoSpaceDE/>
        <w:autoSpaceDN/>
        <w:bidi w:val="0"/>
        <w:adjustRightInd/>
        <w:snapToGrid/>
        <w:spacing w:line="52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（3）投标报价和最终投标报价必须按工程量清单形式提供。</w:t>
      </w:r>
    </w:p>
    <w:p w14:paraId="30B32DA5">
      <w:pPr>
        <w:keepNext w:val="0"/>
        <w:keepLines w:val="0"/>
        <w:pageBreakBefore w:val="0"/>
        <w:widowControl w:val="0"/>
        <w:kinsoku/>
        <w:wordWrap/>
        <w:overflowPunct w:val="0"/>
        <w:topLinePunct w:val="0"/>
        <w:bidi w:val="0"/>
        <w:adjustRightInd/>
        <w:snapToGrid/>
        <w:spacing w:line="480" w:lineRule="exact"/>
        <w:ind w:firstLine="482" w:firstLineChars="200"/>
        <w:jc w:val="both"/>
        <w:textAlignment w:val="auto"/>
        <w:rPr>
          <w:rFonts w:ascii="宋体" w:hAnsi="宋体" w:eastAsia="宋体" w:cs="宋体"/>
          <w:b/>
          <w:bCs/>
          <w:color w:val="auto"/>
          <w:kern w:val="1"/>
          <w:sz w:val="24"/>
          <w:szCs w:val="24"/>
        </w:rPr>
      </w:pPr>
      <w:r>
        <w:rPr>
          <w:rFonts w:hint="eastAsia" w:ascii="宋体" w:hAnsi="宋体" w:eastAsia="宋体" w:cs="宋体"/>
          <w:b/>
          <w:color w:val="auto"/>
          <w:kern w:val="1"/>
          <w:sz w:val="24"/>
          <w:szCs w:val="24"/>
        </w:rPr>
        <w:t>4</w:t>
      </w:r>
      <w:r>
        <w:rPr>
          <w:rFonts w:ascii="宋体" w:hAnsi="宋体" w:eastAsia="宋体" w:cs="宋体"/>
          <w:b/>
          <w:color w:val="auto"/>
          <w:kern w:val="1"/>
          <w:sz w:val="24"/>
          <w:szCs w:val="24"/>
        </w:rPr>
        <w:t>、</w:t>
      </w:r>
      <w:r>
        <w:rPr>
          <w:rFonts w:ascii="宋体" w:hAnsi="宋体" w:eastAsia="宋体" w:cs="宋体"/>
          <w:b/>
          <w:bCs/>
          <w:color w:val="auto"/>
          <w:kern w:val="1"/>
          <w:sz w:val="24"/>
          <w:szCs w:val="24"/>
        </w:rPr>
        <w:t>采购人不接受有任何选择的报价。</w:t>
      </w:r>
    </w:p>
    <w:p w14:paraId="38C6186E">
      <w:pPr>
        <w:pStyle w:val="21"/>
        <w:keepNext w:val="0"/>
        <w:keepLines w:val="0"/>
        <w:pageBreakBefore w:val="0"/>
        <w:widowControl w:val="0"/>
        <w:kinsoku/>
        <w:wordWrap/>
        <w:overflowPunct w:val="0"/>
        <w:topLinePunct w:val="0"/>
        <w:bidi w:val="0"/>
        <w:adjustRightInd/>
        <w:snapToGrid/>
        <w:spacing w:line="480" w:lineRule="exact"/>
        <w:ind w:firstLine="482" w:firstLineChars="200"/>
        <w:jc w:val="both"/>
        <w:textAlignment w:val="auto"/>
        <w:rPr>
          <w:rFonts w:hint="eastAsia" w:ascii="宋体" w:hAnsi="宋体" w:eastAsia="宋体" w:cs="宋体"/>
          <w:bCs/>
          <w:color w:val="auto"/>
          <w:kern w:val="1"/>
          <w:sz w:val="24"/>
          <w:szCs w:val="24"/>
        </w:rPr>
      </w:pPr>
      <w:r>
        <w:rPr>
          <w:rFonts w:ascii="宋体" w:hAnsi="宋体" w:eastAsia="宋体" w:cs="宋体"/>
          <w:b/>
          <w:color w:val="auto"/>
          <w:kern w:val="1"/>
          <w:sz w:val="24"/>
          <w:szCs w:val="24"/>
          <w:lang w:val="en-US" w:eastAsia="zh-CN" w:bidi="ar-SA"/>
        </w:rPr>
        <w:t>八、工程量清单</w:t>
      </w:r>
      <w:r>
        <w:rPr>
          <w:rFonts w:hint="eastAsia" w:ascii="宋体" w:hAnsi="宋体" w:eastAsia="宋体" w:cs="宋体"/>
          <w:b/>
          <w:color w:val="auto"/>
          <w:kern w:val="1"/>
          <w:sz w:val="24"/>
          <w:szCs w:val="24"/>
          <w:lang w:val="en-US" w:eastAsia="zh-CN" w:bidi="ar-SA"/>
        </w:rPr>
        <w:t>（</w:t>
      </w:r>
      <w:r>
        <w:rPr>
          <w:rFonts w:hint="eastAsia" w:ascii="宋体" w:hAnsi="宋体" w:eastAsia="宋体" w:cs="宋体"/>
          <w:b/>
          <w:color w:val="auto"/>
          <w:sz w:val="24"/>
          <w:szCs w:val="24"/>
          <w:lang w:val="en-US" w:eastAsia="zh-CN" w:bidi="ar-SA"/>
        </w:rPr>
        <w:t>另册</w:t>
      </w:r>
      <w:r>
        <w:rPr>
          <w:rFonts w:hint="eastAsia" w:ascii="宋体" w:hAnsi="宋体" w:eastAsia="宋体" w:cs="宋体"/>
          <w:b/>
          <w:color w:val="auto"/>
          <w:kern w:val="1"/>
          <w:sz w:val="24"/>
          <w:szCs w:val="24"/>
          <w:lang w:val="en-US" w:eastAsia="zh-CN" w:bidi="ar-SA"/>
        </w:rPr>
        <w:t>）</w:t>
      </w:r>
    </w:p>
    <w:p w14:paraId="524D4221">
      <w:pPr>
        <w:pStyle w:val="22"/>
        <w:pageBreakBefore w:val="0"/>
        <w:widowControl w:val="0"/>
        <w:kinsoku/>
        <w:wordWrap/>
        <w:overflowPunct w:val="0"/>
        <w:bidi w:val="0"/>
        <w:jc w:val="both"/>
        <w:textAlignment w:val="auto"/>
        <w:rPr>
          <w:rFonts w:hint="eastAsia" w:ascii="宋体" w:hAnsi="宋体" w:cs="宋体"/>
          <w:b/>
          <w:color w:val="auto"/>
          <w:kern w:val="1"/>
          <w:sz w:val="32"/>
          <w:szCs w:val="32"/>
        </w:rPr>
      </w:pPr>
    </w:p>
    <w:p w14:paraId="320AAA61">
      <w:pPr>
        <w:pStyle w:val="3"/>
        <w:keepNext w:val="0"/>
        <w:keepLines w:val="0"/>
        <w:pageBreakBefore w:val="0"/>
        <w:widowControl w:val="0"/>
        <w:kinsoku/>
        <w:wordWrap/>
        <w:overflowPunct w:val="0"/>
        <w:topLinePunct w:val="0"/>
        <w:autoSpaceDE/>
        <w:autoSpaceDN/>
        <w:bidi w:val="0"/>
        <w:adjustRightInd/>
        <w:snapToGrid/>
        <w:ind w:firstLine="0"/>
        <w:jc w:val="center"/>
        <w:textAlignment w:val="auto"/>
        <w:outlineLvl w:val="0"/>
        <w:rPr>
          <w:rFonts w:ascii="宋体" w:hAnsi="宋体" w:eastAsia="宋体" w:cs="宋体"/>
          <w:b/>
          <w:color w:val="auto"/>
          <w:kern w:val="1"/>
          <w:sz w:val="32"/>
          <w:szCs w:val="32"/>
        </w:rPr>
      </w:pPr>
      <w:r>
        <w:rPr>
          <w:rFonts w:hint="eastAsia" w:ascii="宋体" w:hAnsi="宋体" w:eastAsia="宋体" w:cs="宋体"/>
          <w:b/>
          <w:color w:val="auto"/>
          <w:kern w:val="1"/>
          <w:sz w:val="32"/>
          <w:szCs w:val="32"/>
        </w:rPr>
        <w:br w:type="page"/>
      </w:r>
      <w:bookmarkStart w:id="574" w:name="_Toc12529"/>
      <w:bookmarkStart w:id="575" w:name="_Toc12200"/>
      <w:r>
        <w:rPr>
          <w:rFonts w:hint="eastAsia" w:ascii="宋体" w:hAnsi="宋体" w:eastAsia="宋体" w:cs="宋体"/>
          <w:b/>
          <w:color w:val="auto"/>
          <w:kern w:val="1"/>
          <w:sz w:val="32"/>
          <w:szCs w:val="32"/>
        </w:rPr>
        <w:t xml:space="preserve">第五章 </w:t>
      </w:r>
      <w:r>
        <w:rPr>
          <w:rFonts w:hint="eastAsia" w:ascii="宋体" w:hAnsi="宋体" w:eastAsia="宋体" w:cs="宋体"/>
          <w:b/>
          <w:color w:val="auto"/>
          <w:kern w:val="1"/>
          <w:sz w:val="32"/>
          <w:szCs w:val="32"/>
          <w:lang w:val="en-US" w:eastAsia="zh-CN"/>
        </w:rPr>
        <w:t xml:space="preserve"> </w:t>
      </w:r>
      <w:r>
        <w:rPr>
          <w:rFonts w:hint="eastAsia" w:ascii="宋体" w:hAnsi="宋体" w:eastAsia="宋体" w:cs="宋体"/>
          <w:b/>
          <w:color w:val="auto"/>
          <w:kern w:val="1"/>
          <w:sz w:val="32"/>
          <w:szCs w:val="32"/>
        </w:rPr>
        <w:t>响应文件组成</w:t>
      </w:r>
      <w:bookmarkEnd w:id="574"/>
      <w:bookmarkEnd w:id="575"/>
    </w:p>
    <w:p w14:paraId="4C99918D">
      <w:pPr>
        <w:pageBreakBefore w:val="0"/>
        <w:widowControl w:val="0"/>
        <w:kinsoku/>
        <w:wordWrap/>
        <w:overflowPunct w:val="0"/>
        <w:bidi w:val="0"/>
        <w:jc w:val="both"/>
        <w:textAlignment w:val="auto"/>
        <w:rPr>
          <w:rFonts w:ascii="宋体" w:hAnsi="宋体" w:eastAsia="宋体" w:cs="宋体"/>
          <w:color w:val="auto"/>
          <w:kern w:val="1"/>
        </w:rPr>
      </w:pPr>
    </w:p>
    <w:p w14:paraId="2580D70D">
      <w:pPr>
        <w:keepNext w:val="0"/>
        <w:keepLines w:val="0"/>
        <w:pageBreakBefore w:val="0"/>
        <w:widowControl w:val="0"/>
        <w:kinsoku/>
        <w:wordWrap/>
        <w:overflowPunct w:val="0"/>
        <w:topLinePunct w:val="0"/>
        <w:autoSpaceDE/>
        <w:autoSpaceDN/>
        <w:bidi w:val="0"/>
        <w:spacing w:line="400" w:lineRule="exact"/>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供应商的响应文件应包含以下部分：</w:t>
      </w:r>
    </w:p>
    <w:p w14:paraId="0E2EA105">
      <w:pPr>
        <w:keepNext w:val="0"/>
        <w:keepLines w:val="0"/>
        <w:pageBreakBefore w:val="0"/>
        <w:widowControl w:val="0"/>
        <w:kinsoku/>
        <w:wordWrap/>
        <w:overflowPunct w:val="0"/>
        <w:topLinePunct w:val="0"/>
        <w:autoSpaceDE/>
        <w:autoSpaceDN/>
        <w:bidi w:val="0"/>
        <w:spacing w:line="400" w:lineRule="exact"/>
        <w:jc w:val="both"/>
        <w:textAlignment w:val="auto"/>
        <w:outlineLvl w:val="9"/>
        <w:rPr>
          <w:rFonts w:ascii="宋体" w:hAnsi="宋体" w:eastAsia="宋体" w:cs="宋体"/>
          <w:b/>
          <w:color w:val="auto"/>
          <w:kern w:val="1"/>
          <w:sz w:val="21"/>
          <w:szCs w:val="21"/>
        </w:rPr>
      </w:pPr>
      <w:r>
        <w:rPr>
          <w:rFonts w:hint="eastAsia" w:ascii="宋体" w:hAnsi="宋体" w:eastAsia="宋体" w:cs="宋体"/>
          <w:b/>
          <w:color w:val="auto"/>
          <w:kern w:val="1"/>
          <w:sz w:val="21"/>
          <w:szCs w:val="21"/>
        </w:rPr>
        <w:t>一、磋商响应声明</w:t>
      </w:r>
    </w:p>
    <w:p w14:paraId="082FBE80">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 xml:space="preserve">附件1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法定代表人身份证明</w:t>
      </w:r>
    </w:p>
    <w:p w14:paraId="6AD0CE1E">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ascii="宋体" w:hAnsi="宋体" w:eastAsia="宋体" w:cs="宋体"/>
          <w:color w:val="auto"/>
          <w:kern w:val="1"/>
          <w:sz w:val="21"/>
          <w:szCs w:val="21"/>
        </w:rPr>
        <w:t>附件2</w:t>
      </w:r>
      <w:r>
        <w:rPr>
          <w:rFonts w:hint="eastAsia" w:ascii="宋体" w:hAnsi="宋体" w:eastAsia="宋体" w:cs="宋体"/>
          <w:color w:val="auto"/>
          <w:kern w:val="1"/>
          <w:sz w:val="21"/>
          <w:szCs w:val="21"/>
          <w:lang w:val="en-US" w:eastAsia="zh-CN"/>
        </w:rPr>
        <w:t xml:space="preserve"> </w:t>
      </w:r>
      <w:r>
        <w:rPr>
          <w:rFonts w:ascii="宋体" w:hAnsi="宋体" w:eastAsia="宋体" w:cs="宋体"/>
          <w:color w:val="auto"/>
          <w:kern w:val="1"/>
          <w:sz w:val="21"/>
          <w:szCs w:val="21"/>
        </w:rPr>
        <w:t xml:space="preserve"> 法定代表人授权委托书</w:t>
      </w:r>
    </w:p>
    <w:p w14:paraId="13CE2BA2">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附件3</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工程质量保修书</w:t>
      </w:r>
    </w:p>
    <w:p w14:paraId="7C55A582">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附件4</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不拖欠民工工资承诺书</w:t>
      </w:r>
    </w:p>
    <w:p w14:paraId="02A77300">
      <w:pPr>
        <w:keepNext w:val="0"/>
        <w:keepLines w:val="0"/>
        <w:pageBreakBefore w:val="0"/>
        <w:widowControl w:val="0"/>
        <w:kinsoku/>
        <w:wordWrap/>
        <w:overflowPunct w:val="0"/>
        <w:topLinePunct w:val="0"/>
        <w:autoSpaceDE/>
        <w:autoSpaceDN/>
        <w:bidi w:val="0"/>
        <w:spacing w:line="400" w:lineRule="exact"/>
        <w:jc w:val="both"/>
        <w:textAlignment w:val="auto"/>
        <w:outlineLvl w:val="9"/>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二、保证金（不需提供）</w:t>
      </w:r>
    </w:p>
    <w:p w14:paraId="1CB6F74E">
      <w:pPr>
        <w:keepNext w:val="0"/>
        <w:keepLines w:val="0"/>
        <w:pageBreakBefore w:val="0"/>
        <w:widowControl w:val="0"/>
        <w:kinsoku/>
        <w:wordWrap/>
        <w:overflowPunct w:val="0"/>
        <w:topLinePunct w:val="0"/>
        <w:autoSpaceDE/>
        <w:autoSpaceDN/>
        <w:bidi w:val="0"/>
        <w:spacing w:line="400" w:lineRule="exact"/>
        <w:jc w:val="both"/>
        <w:textAlignment w:val="auto"/>
        <w:outlineLvl w:val="9"/>
        <w:rPr>
          <w:rFonts w:ascii="宋体" w:hAnsi="宋体" w:eastAsia="宋体" w:cs="宋体"/>
          <w:b/>
          <w:color w:val="auto"/>
          <w:kern w:val="1"/>
          <w:sz w:val="21"/>
          <w:szCs w:val="21"/>
        </w:rPr>
      </w:pPr>
      <w:r>
        <w:rPr>
          <w:rFonts w:hint="eastAsia" w:ascii="宋体" w:hAnsi="宋体" w:eastAsia="宋体" w:cs="宋体"/>
          <w:b/>
          <w:color w:val="auto"/>
          <w:kern w:val="1"/>
          <w:sz w:val="21"/>
          <w:szCs w:val="21"/>
        </w:rPr>
        <w:t>三、联合体协议</w:t>
      </w:r>
      <w:r>
        <w:rPr>
          <w:rFonts w:hint="eastAsia" w:ascii="宋体" w:hAnsi="宋体" w:eastAsia="宋体" w:cs="Times New Roman"/>
          <w:b/>
          <w:color w:val="auto"/>
          <w:sz w:val="21"/>
          <w:szCs w:val="21"/>
        </w:rPr>
        <w:t>(格式)(不适用)</w:t>
      </w:r>
    </w:p>
    <w:p w14:paraId="6DBDC33A">
      <w:pPr>
        <w:keepNext w:val="0"/>
        <w:keepLines w:val="0"/>
        <w:pageBreakBefore w:val="0"/>
        <w:widowControl w:val="0"/>
        <w:kinsoku/>
        <w:wordWrap/>
        <w:overflowPunct w:val="0"/>
        <w:topLinePunct w:val="0"/>
        <w:autoSpaceDE/>
        <w:autoSpaceDN/>
        <w:bidi w:val="0"/>
        <w:spacing w:line="400" w:lineRule="exact"/>
        <w:jc w:val="both"/>
        <w:textAlignment w:val="auto"/>
        <w:outlineLvl w:val="9"/>
        <w:rPr>
          <w:rFonts w:ascii="宋体" w:hAnsi="宋体" w:eastAsia="宋体" w:cs="宋体"/>
          <w:b/>
          <w:color w:val="auto"/>
          <w:kern w:val="1"/>
          <w:sz w:val="21"/>
          <w:szCs w:val="21"/>
        </w:rPr>
      </w:pPr>
      <w:r>
        <w:rPr>
          <w:rFonts w:hint="eastAsia" w:ascii="宋体" w:hAnsi="宋体" w:eastAsia="宋体" w:cs="宋体"/>
          <w:b/>
          <w:color w:val="auto"/>
          <w:kern w:val="1"/>
          <w:sz w:val="21"/>
          <w:szCs w:val="21"/>
        </w:rPr>
        <w:t>四、供应商的资格证明资料</w:t>
      </w:r>
    </w:p>
    <w:p w14:paraId="36BA387A">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附件5</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 xml:space="preserve"> 供应商基本情况表</w:t>
      </w:r>
    </w:p>
    <w:p w14:paraId="7E1EB30D">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附件6</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 xml:space="preserve"> 磋商文件规定的基本资格条件证明资料</w:t>
      </w:r>
    </w:p>
    <w:p w14:paraId="6C7A9F1C">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附件7</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 xml:space="preserve"> 磋商文件规定的特定资格条件证明资料</w:t>
      </w:r>
    </w:p>
    <w:p w14:paraId="5CACA823">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附件8</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 xml:space="preserve"> </w:t>
      </w:r>
      <w:r>
        <w:rPr>
          <w:rFonts w:hint="eastAsia" w:ascii="宋体" w:hAnsi="宋体" w:eastAsia="宋体" w:cs="宋体"/>
          <w:b w:val="0"/>
          <w:bCs/>
          <w:color w:val="auto"/>
          <w:kern w:val="1"/>
          <w:sz w:val="21"/>
          <w:szCs w:val="21"/>
        </w:rPr>
        <w:t>其他证明资料或说明</w:t>
      </w:r>
    </w:p>
    <w:p w14:paraId="268CE3D5">
      <w:pPr>
        <w:pStyle w:val="7"/>
        <w:keepNext w:val="0"/>
        <w:keepLines w:val="0"/>
        <w:pageBreakBefore w:val="0"/>
        <w:widowControl w:val="0"/>
        <w:kinsoku/>
        <w:wordWrap/>
        <w:overflowPunct w:val="0"/>
        <w:topLinePunct w:val="0"/>
        <w:autoSpaceDE/>
        <w:autoSpaceDN/>
        <w:bidi w:val="0"/>
        <w:spacing w:line="400" w:lineRule="exact"/>
        <w:jc w:val="both"/>
        <w:textAlignment w:val="auto"/>
        <w:outlineLvl w:val="9"/>
        <w:rPr>
          <w:rFonts w:hint="eastAsia" w:eastAsia="宋体" w:cs="宋体"/>
          <w:b/>
          <w:color w:val="auto"/>
          <w:sz w:val="21"/>
          <w:szCs w:val="21"/>
        </w:rPr>
      </w:pPr>
      <w:r>
        <w:rPr>
          <w:rFonts w:hint="eastAsia" w:eastAsia="宋体" w:cs="宋体"/>
          <w:b/>
          <w:color w:val="auto"/>
          <w:sz w:val="21"/>
          <w:szCs w:val="21"/>
        </w:rPr>
        <w:t>五、施工组织设计</w:t>
      </w:r>
    </w:p>
    <w:p w14:paraId="2C69C228">
      <w:pPr>
        <w:pStyle w:val="7"/>
        <w:keepNext w:val="0"/>
        <w:keepLines w:val="0"/>
        <w:pageBreakBefore w:val="0"/>
        <w:widowControl w:val="0"/>
        <w:kinsoku/>
        <w:wordWrap/>
        <w:overflowPunct w:val="0"/>
        <w:topLinePunct w:val="0"/>
        <w:autoSpaceDE/>
        <w:autoSpaceDN/>
        <w:bidi w:val="0"/>
        <w:spacing w:line="400" w:lineRule="exact"/>
        <w:ind w:firstLine="435"/>
        <w:jc w:val="both"/>
        <w:textAlignment w:val="auto"/>
        <w:outlineLvl w:val="9"/>
        <w:rPr>
          <w:rFonts w:hint="eastAsia" w:eastAsia="宋体" w:cs="宋体"/>
          <w:color w:val="auto"/>
          <w:sz w:val="21"/>
          <w:szCs w:val="21"/>
        </w:rPr>
      </w:pPr>
      <w:r>
        <w:rPr>
          <w:rFonts w:hint="eastAsia" w:eastAsia="宋体" w:cs="宋体"/>
          <w:color w:val="auto"/>
          <w:sz w:val="21"/>
          <w:szCs w:val="21"/>
        </w:rPr>
        <w:t>附件9</w:t>
      </w:r>
      <w:r>
        <w:rPr>
          <w:rFonts w:hint="eastAsia" w:eastAsia="宋体" w:cs="宋体"/>
          <w:color w:val="auto"/>
          <w:sz w:val="21"/>
          <w:szCs w:val="21"/>
          <w:lang w:val="en-US" w:eastAsia="zh-CN"/>
        </w:rPr>
        <w:t xml:space="preserve"> </w:t>
      </w:r>
      <w:r>
        <w:rPr>
          <w:rFonts w:hint="eastAsia" w:eastAsia="宋体" w:cs="宋体"/>
          <w:color w:val="auto"/>
          <w:sz w:val="21"/>
          <w:szCs w:val="21"/>
        </w:rPr>
        <w:t xml:space="preserve"> 施工组织设计</w:t>
      </w:r>
    </w:p>
    <w:p w14:paraId="624121D0">
      <w:pPr>
        <w:pStyle w:val="7"/>
        <w:keepNext w:val="0"/>
        <w:keepLines w:val="0"/>
        <w:pageBreakBefore w:val="0"/>
        <w:widowControl w:val="0"/>
        <w:kinsoku/>
        <w:wordWrap/>
        <w:overflowPunct w:val="0"/>
        <w:topLinePunct w:val="0"/>
        <w:autoSpaceDE/>
        <w:autoSpaceDN/>
        <w:bidi w:val="0"/>
        <w:spacing w:line="400" w:lineRule="exact"/>
        <w:ind w:firstLine="435"/>
        <w:jc w:val="both"/>
        <w:textAlignment w:val="auto"/>
        <w:outlineLvl w:val="9"/>
        <w:rPr>
          <w:rFonts w:eastAsia="宋体" w:cs="宋体"/>
          <w:b/>
          <w:color w:val="auto"/>
          <w:sz w:val="21"/>
          <w:szCs w:val="21"/>
        </w:rPr>
      </w:pPr>
      <w:r>
        <w:rPr>
          <w:rFonts w:hint="eastAsia" w:eastAsia="宋体" w:cs="宋体"/>
          <w:color w:val="auto"/>
          <w:sz w:val="21"/>
          <w:szCs w:val="21"/>
        </w:rPr>
        <w:t xml:space="preserve">附件10 </w:t>
      </w:r>
      <w:r>
        <w:rPr>
          <w:rFonts w:hint="eastAsia" w:eastAsia="宋体" w:cs="宋体"/>
          <w:color w:val="auto"/>
          <w:sz w:val="21"/>
          <w:szCs w:val="21"/>
          <w:lang w:val="en-US" w:eastAsia="zh-CN"/>
        </w:rPr>
        <w:t xml:space="preserve"> </w:t>
      </w:r>
      <w:r>
        <w:rPr>
          <w:rFonts w:hint="eastAsia" w:eastAsia="宋体" w:cs="宋体"/>
          <w:color w:val="auto"/>
          <w:sz w:val="21"/>
          <w:szCs w:val="21"/>
        </w:rPr>
        <w:t>项目负责人简历表</w:t>
      </w:r>
    </w:p>
    <w:p w14:paraId="76BFDBD8">
      <w:pPr>
        <w:keepNext w:val="0"/>
        <w:keepLines w:val="0"/>
        <w:pageBreakBefore w:val="0"/>
        <w:widowControl w:val="0"/>
        <w:kinsoku/>
        <w:wordWrap/>
        <w:overflowPunct w:val="0"/>
        <w:topLinePunct w:val="0"/>
        <w:autoSpaceDE/>
        <w:autoSpaceDN/>
        <w:bidi w:val="0"/>
        <w:spacing w:line="400" w:lineRule="exact"/>
        <w:jc w:val="both"/>
        <w:textAlignment w:val="auto"/>
        <w:outlineLvl w:val="9"/>
        <w:rPr>
          <w:rFonts w:ascii="宋体" w:hAnsi="宋体" w:eastAsia="宋体" w:cs="宋体"/>
          <w:b/>
          <w:color w:val="auto"/>
          <w:kern w:val="1"/>
          <w:sz w:val="21"/>
          <w:szCs w:val="21"/>
        </w:rPr>
      </w:pPr>
      <w:r>
        <w:rPr>
          <w:rFonts w:hint="eastAsia" w:ascii="宋体" w:hAnsi="宋体" w:eastAsia="宋体" w:cs="宋体"/>
          <w:b/>
          <w:color w:val="auto"/>
          <w:kern w:val="1"/>
          <w:sz w:val="21"/>
          <w:szCs w:val="21"/>
        </w:rPr>
        <w:t>六、技术/商务响应与偏离表</w:t>
      </w:r>
    </w:p>
    <w:p w14:paraId="2847C8E5">
      <w:pPr>
        <w:pStyle w:val="7"/>
        <w:keepNext w:val="0"/>
        <w:keepLines w:val="0"/>
        <w:pageBreakBefore w:val="0"/>
        <w:widowControl w:val="0"/>
        <w:kinsoku/>
        <w:wordWrap/>
        <w:overflowPunct w:val="0"/>
        <w:topLinePunct w:val="0"/>
        <w:autoSpaceDE/>
        <w:autoSpaceDN/>
        <w:bidi w:val="0"/>
        <w:spacing w:line="400" w:lineRule="exact"/>
        <w:jc w:val="both"/>
        <w:textAlignment w:val="auto"/>
        <w:outlineLvl w:val="9"/>
        <w:rPr>
          <w:rFonts w:eastAsia="宋体" w:cs="宋体"/>
          <w:b/>
          <w:color w:val="auto"/>
          <w:sz w:val="21"/>
          <w:szCs w:val="21"/>
        </w:rPr>
      </w:pPr>
      <w:r>
        <w:rPr>
          <w:rFonts w:hint="eastAsia" w:eastAsia="宋体" w:cs="宋体"/>
          <w:b/>
          <w:color w:val="auto"/>
          <w:sz w:val="21"/>
          <w:szCs w:val="21"/>
        </w:rPr>
        <w:t>七</w:t>
      </w:r>
      <w:r>
        <w:rPr>
          <w:rFonts w:eastAsia="宋体" w:cs="宋体"/>
          <w:b/>
          <w:color w:val="auto"/>
          <w:sz w:val="21"/>
          <w:szCs w:val="21"/>
        </w:rPr>
        <w:t>、提供享受政府采购政策优惠的证明资料和清单表</w:t>
      </w:r>
    </w:p>
    <w:p w14:paraId="76E8B4E2">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hint="eastAsia" w:ascii="宋体" w:hAnsi="宋体" w:eastAsia="宋体" w:cs="宋体"/>
          <w:color w:val="auto"/>
          <w:kern w:val="1"/>
          <w:sz w:val="21"/>
          <w:szCs w:val="21"/>
        </w:rPr>
      </w:pPr>
      <w:r>
        <w:rPr>
          <w:rFonts w:ascii="宋体" w:hAnsi="宋体" w:eastAsia="宋体" w:cs="宋体"/>
          <w:color w:val="auto"/>
          <w:kern w:val="1"/>
          <w:sz w:val="21"/>
          <w:szCs w:val="21"/>
        </w:rPr>
        <w:t>附件</w:t>
      </w:r>
      <w:r>
        <w:rPr>
          <w:rFonts w:hint="eastAsia" w:ascii="宋体" w:hAnsi="宋体" w:eastAsia="宋体" w:cs="宋体"/>
          <w:color w:val="auto"/>
          <w:kern w:val="1"/>
          <w:sz w:val="21"/>
          <w:szCs w:val="21"/>
        </w:rPr>
        <w:t>11</w:t>
      </w:r>
      <w:r>
        <w:rPr>
          <w:rFonts w:ascii="宋体" w:hAnsi="宋体" w:eastAsia="宋体" w:cs="宋体"/>
          <w:color w:val="auto"/>
          <w:kern w:val="1"/>
          <w:sz w:val="21"/>
          <w:szCs w:val="21"/>
        </w:rPr>
        <w:t xml:space="preserve">-1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b w:val="0"/>
          <w:bCs/>
          <w:color w:val="auto"/>
          <w:sz w:val="21"/>
          <w:szCs w:val="21"/>
          <w:lang w:bidi="ar"/>
        </w:rPr>
        <w:t>中小企业声明函</w:t>
      </w:r>
    </w:p>
    <w:p w14:paraId="7DB784BF">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ascii="宋体" w:hAnsi="宋体" w:eastAsia="宋体" w:cs="宋体"/>
          <w:color w:val="auto"/>
          <w:kern w:val="1"/>
          <w:sz w:val="21"/>
          <w:szCs w:val="21"/>
        </w:rPr>
      </w:pPr>
      <w:r>
        <w:rPr>
          <w:rFonts w:ascii="宋体" w:hAnsi="宋体" w:eastAsia="宋体" w:cs="宋体"/>
          <w:color w:val="auto"/>
          <w:kern w:val="1"/>
          <w:sz w:val="21"/>
          <w:szCs w:val="21"/>
        </w:rPr>
        <w:t>附件</w:t>
      </w:r>
      <w:r>
        <w:rPr>
          <w:rFonts w:hint="eastAsia" w:ascii="宋体" w:hAnsi="宋体" w:eastAsia="宋体" w:cs="宋体"/>
          <w:color w:val="auto"/>
          <w:kern w:val="1"/>
          <w:sz w:val="21"/>
          <w:szCs w:val="21"/>
        </w:rPr>
        <w:t>11</w:t>
      </w:r>
      <w:r>
        <w:rPr>
          <w:rFonts w:ascii="宋体" w:hAnsi="宋体" w:eastAsia="宋体" w:cs="宋体"/>
          <w:color w:val="auto"/>
          <w:kern w:val="1"/>
          <w:sz w:val="21"/>
          <w:szCs w:val="21"/>
        </w:rPr>
        <w:t>-</w:t>
      </w:r>
      <w:r>
        <w:rPr>
          <w:rFonts w:hint="eastAsia" w:ascii="宋体" w:hAnsi="宋体" w:eastAsia="宋体" w:cs="宋体"/>
          <w:color w:val="auto"/>
          <w:kern w:val="1"/>
          <w:sz w:val="21"/>
          <w:szCs w:val="21"/>
        </w:rPr>
        <w:t>2</w:t>
      </w:r>
      <w:r>
        <w:rPr>
          <w:rFonts w:hint="eastAsia" w:ascii="宋体" w:hAnsi="宋体" w:eastAsia="宋体" w:cs="宋体"/>
          <w:color w:val="auto"/>
          <w:kern w:val="1"/>
          <w:sz w:val="21"/>
          <w:szCs w:val="21"/>
          <w:lang w:val="en-US" w:eastAsia="zh-CN"/>
        </w:rPr>
        <w:t xml:space="preserve"> </w:t>
      </w:r>
      <w:r>
        <w:rPr>
          <w:rFonts w:ascii="宋体" w:hAnsi="宋体" w:eastAsia="宋体" w:cs="宋体"/>
          <w:color w:val="auto"/>
          <w:kern w:val="1"/>
          <w:sz w:val="21"/>
          <w:szCs w:val="21"/>
        </w:rPr>
        <w:t xml:space="preserve"> 提供中小企业货物清单表</w:t>
      </w:r>
      <w:r>
        <w:rPr>
          <w:rFonts w:hint="eastAsia" w:ascii="宋体" w:hAnsi="宋体" w:eastAsia="宋体" w:cs="宋体"/>
          <w:color w:val="auto"/>
          <w:kern w:val="1"/>
          <w:sz w:val="21"/>
          <w:szCs w:val="21"/>
        </w:rPr>
        <w:t>残疾人福利性单位声明函</w:t>
      </w:r>
    </w:p>
    <w:p w14:paraId="508347AA">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xml:space="preserve">附件11-3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监狱企业证明资料</w:t>
      </w:r>
    </w:p>
    <w:p w14:paraId="0D9568E5">
      <w:pPr>
        <w:keepNext w:val="0"/>
        <w:keepLines w:val="0"/>
        <w:pageBreakBefore w:val="0"/>
        <w:widowControl w:val="0"/>
        <w:kinsoku/>
        <w:wordWrap/>
        <w:overflowPunct w:val="0"/>
        <w:topLinePunct w:val="0"/>
        <w:autoSpaceDE/>
        <w:autoSpaceDN/>
        <w:bidi w:val="0"/>
        <w:spacing w:line="400" w:lineRule="exact"/>
        <w:ind w:firstLine="420" w:firstLineChars="200"/>
        <w:jc w:val="both"/>
        <w:textAlignment w:val="auto"/>
        <w:outlineLvl w:val="9"/>
        <w:rPr>
          <w:rFonts w:ascii="宋体" w:hAnsi="宋体" w:eastAsia="宋体" w:cs="宋体"/>
          <w:color w:val="auto"/>
          <w:kern w:val="1"/>
          <w:sz w:val="21"/>
          <w:szCs w:val="21"/>
        </w:rPr>
      </w:pPr>
      <w:r>
        <w:rPr>
          <w:rFonts w:hint="eastAsia" w:ascii="宋体" w:hAnsi="宋体" w:eastAsia="宋体" w:cs="宋体"/>
          <w:color w:val="auto"/>
          <w:kern w:val="1"/>
          <w:sz w:val="21"/>
          <w:szCs w:val="21"/>
        </w:rPr>
        <w:t xml:space="preserve">附页2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价格评审优惠货物清单</w:t>
      </w:r>
    </w:p>
    <w:p w14:paraId="3B5C03CB">
      <w:pPr>
        <w:keepNext w:val="0"/>
        <w:keepLines w:val="0"/>
        <w:pageBreakBefore w:val="0"/>
        <w:widowControl w:val="0"/>
        <w:kinsoku/>
        <w:wordWrap/>
        <w:overflowPunct w:val="0"/>
        <w:topLinePunct w:val="0"/>
        <w:autoSpaceDE/>
        <w:autoSpaceDN/>
        <w:bidi w:val="0"/>
        <w:spacing w:line="400" w:lineRule="exact"/>
        <w:ind w:firstLine="420"/>
        <w:jc w:val="both"/>
        <w:textAlignment w:val="auto"/>
        <w:outlineLvl w:val="9"/>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 xml:space="preserve">附件11-4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强制采购或者优先采购产品的证明材料</w:t>
      </w:r>
    </w:p>
    <w:p w14:paraId="307252DF">
      <w:pPr>
        <w:keepNext w:val="0"/>
        <w:keepLines w:val="0"/>
        <w:pageBreakBefore w:val="0"/>
        <w:widowControl w:val="0"/>
        <w:kinsoku/>
        <w:wordWrap/>
        <w:overflowPunct w:val="0"/>
        <w:topLinePunct w:val="0"/>
        <w:autoSpaceDE/>
        <w:autoSpaceDN/>
        <w:bidi w:val="0"/>
        <w:spacing w:line="400" w:lineRule="exact"/>
        <w:ind w:firstLine="420" w:firstLineChars="200"/>
        <w:jc w:val="both"/>
        <w:textAlignment w:val="auto"/>
        <w:outlineLvl w:val="9"/>
        <w:rPr>
          <w:rFonts w:ascii="Times New Roman" w:hAnsi="Times New Roman" w:eastAsia="宋体" w:cs="Times New Roman"/>
          <w:color w:val="auto"/>
          <w:sz w:val="21"/>
          <w:szCs w:val="21"/>
        </w:rPr>
      </w:pPr>
      <w:r>
        <w:rPr>
          <w:rFonts w:hint="eastAsia" w:ascii="宋体" w:hAnsi="宋体" w:eastAsia="宋体" w:cs="宋体"/>
          <w:color w:val="auto"/>
          <w:kern w:val="1"/>
          <w:sz w:val="21"/>
          <w:szCs w:val="21"/>
        </w:rPr>
        <w:t xml:space="preserve">附页3 </w:t>
      </w:r>
      <w:r>
        <w:rPr>
          <w:rFonts w:hint="eastAsia" w:ascii="宋体" w:hAnsi="宋体" w:eastAsia="宋体" w:cs="宋体"/>
          <w:color w:val="auto"/>
          <w:kern w:val="1"/>
          <w:sz w:val="21"/>
          <w:szCs w:val="21"/>
          <w:lang w:val="en-US" w:eastAsia="zh-CN"/>
        </w:rPr>
        <w:t xml:space="preserve"> </w:t>
      </w:r>
      <w:r>
        <w:rPr>
          <w:rFonts w:hint="eastAsia" w:ascii="宋体" w:hAnsi="宋体" w:eastAsia="宋体" w:cs="宋体"/>
          <w:color w:val="auto"/>
          <w:kern w:val="1"/>
          <w:sz w:val="21"/>
          <w:szCs w:val="21"/>
        </w:rPr>
        <w:t>优先采购产品清单</w:t>
      </w:r>
    </w:p>
    <w:p w14:paraId="691D131E">
      <w:pPr>
        <w:pStyle w:val="7"/>
        <w:keepNext w:val="0"/>
        <w:keepLines w:val="0"/>
        <w:pageBreakBefore w:val="0"/>
        <w:widowControl w:val="0"/>
        <w:kinsoku/>
        <w:wordWrap/>
        <w:overflowPunct w:val="0"/>
        <w:topLinePunct w:val="0"/>
        <w:autoSpaceDE/>
        <w:autoSpaceDN/>
        <w:bidi w:val="0"/>
        <w:spacing w:line="400" w:lineRule="exact"/>
        <w:jc w:val="both"/>
        <w:textAlignment w:val="auto"/>
        <w:outlineLvl w:val="9"/>
        <w:rPr>
          <w:rFonts w:hint="eastAsia" w:eastAsia="宋体" w:cs="宋体"/>
          <w:b/>
          <w:color w:val="auto"/>
          <w:sz w:val="21"/>
          <w:szCs w:val="21"/>
        </w:rPr>
      </w:pPr>
      <w:r>
        <w:rPr>
          <w:rFonts w:hint="eastAsia" w:eastAsia="宋体" w:cs="宋体"/>
          <w:b/>
          <w:color w:val="auto"/>
          <w:sz w:val="21"/>
          <w:szCs w:val="21"/>
        </w:rPr>
        <w:t>八、</w:t>
      </w:r>
      <w:r>
        <w:rPr>
          <w:rFonts w:eastAsia="宋体" w:cs="宋体"/>
          <w:b/>
          <w:color w:val="auto"/>
          <w:sz w:val="21"/>
          <w:szCs w:val="21"/>
        </w:rPr>
        <w:t>报价一览表</w:t>
      </w:r>
      <w:r>
        <w:rPr>
          <w:rFonts w:hint="eastAsia" w:eastAsia="宋体" w:cs="宋体"/>
          <w:b/>
          <w:color w:val="auto"/>
          <w:sz w:val="21"/>
          <w:szCs w:val="21"/>
        </w:rPr>
        <w:t>及报价文件</w:t>
      </w:r>
    </w:p>
    <w:p w14:paraId="2F81BADA">
      <w:pPr>
        <w:keepNext w:val="0"/>
        <w:keepLines w:val="0"/>
        <w:pageBreakBefore w:val="0"/>
        <w:widowControl w:val="0"/>
        <w:kinsoku/>
        <w:wordWrap/>
        <w:overflowPunct w:val="0"/>
        <w:topLinePunct w:val="0"/>
        <w:autoSpaceDE/>
        <w:autoSpaceDN/>
        <w:bidi w:val="0"/>
        <w:adjustRightInd w:val="0"/>
        <w:snapToGrid w:val="0"/>
        <w:spacing w:line="400" w:lineRule="exact"/>
        <w:ind w:right="23" w:rightChars="11" w:firstLine="420" w:firstLineChars="200"/>
        <w:jc w:val="both"/>
        <w:textAlignment w:val="auto"/>
        <w:outlineLvl w:val="9"/>
        <w:rPr>
          <w:rFonts w:hint="eastAsia" w:ascii="宋体" w:hAnsi="宋体" w:eastAsia="宋体" w:cs="Times New Roman"/>
          <w:color w:val="auto"/>
          <w:sz w:val="21"/>
          <w:szCs w:val="21"/>
        </w:rPr>
      </w:pPr>
      <w:r>
        <w:rPr>
          <w:rFonts w:hint="eastAsia" w:ascii="宋体" w:hAnsi="宋体" w:eastAsia="宋体" w:cs="Times New Roman"/>
          <w:color w:val="auto"/>
          <w:sz w:val="21"/>
          <w:szCs w:val="21"/>
        </w:rPr>
        <w:t>附件12-1</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报价一览表</w:t>
      </w:r>
    </w:p>
    <w:p w14:paraId="1DF2B5E6">
      <w:pPr>
        <w:pStyle w:val="7"/>
        <w:keepNext w:val="0"/>
        <w:keepLines w:val="0"/>
        <w:pageBreakBefore w:val="0"/>
        <w:widowControl w:val="0"/>
        <w:kinsoku/>
        <w:wordWrap/>
        <w:overflowPunct w:val="0"/>
        <w:topLinePunct w:val="0"/>
        <w:autoSpaceDE/>
        <w:autoSpaceDN/>
        <w:bidi w:val="0"/>
        <w:adjustRightInd w:val="0"/>
        <w:snapToGrid w:val="0"/>
        <w:spacing w:line="400" w:lineRule="exact"/>
        <w:ind w:right="23" w:rightChars="11" w:firstLine="420" w:firstLineChars="200"/>
        <w:jc w:val="both"/>
        <w:textAlignment w:val="auto"/>
        <w:outlineLvl w:val="9"/>
        <w:rPr>
          <w:rFonts w:hint="eastAsia" w:eastAsia="宋体" w:cs="宋体"/>
          <w:b/>
          <w:color w:val="auto"/>
          <w:sz w:val="21"/>
          <w:szCs w:val="21"/>
        </w:rPr>
      </w:pPr>
      <w:r>
        <w:rPr>
          <w:rFonts w:hint="eastAsia" w:eastAsia="宋体" w:cs="Times New Roman"/>
          <w:color w:val="auto"/>
          <w:sz w:val="21"/>
          <w:szCs w:val="21"/>
        </w:rPr>
        <w:t>附件12-2</w:t>
      </w:r>
      <w:r>
        <w:rPr>
          <w:rFonts w:hint="eastAsia" w:eastAsia="宋体" w:cs="Times New Roman"/>
          <w:color w:val="auto"/>
          <w:sz w:val="21"/>
          <w:szCs w:val="21"/>
          <w:lang w:val="en-US" w:eastAsia="zh-CN"/>
        </w:rPr>
        <w:t xml:space="preserve">  </w:t>
      </w:r>
      <w:r>
        <w:rPr>
          <w:rFonts w:hint="eastAsia" w:ascii="宋体" w:hAnsi="宋体" w:eastAsia="宋体" w:cs="宋体"/>
          <w:b w:val="0"/>
          <w:bCs/>
          <w:color w:val="auto"/>
          <w:sz w:val="21"/>
          <w:szCs w:val="21"/>
        </w:rPr>
        <w:t>报价文件</w:t>
      </w:r>
    </w:p>
    <w:p w14:paraId="0381CF3C">
      <w:pPr>
        <w:pStyle w:val="7"/>
        <w:keepNext w:val="0"/>
        <w:keepLines w:val="0"/>
        <w:pageBreakBefore w:val="0"/>
        <w:widowControl w:val="0"/>
        <w:kinsoku/>
        <w:wordWrap/>
        <w:overflowPunct w:val="0"/>
        <w:topLinePunct w:val="0"/>
        <w:autoSpaceDE/>
        <w:autoSpaceDN/>
        <w:bidi w:val="0"/>
        <w:spacing w:line="400" w:lineRule="exact"/>
        <w:jc w:val="both"/>
        <w:textAlignment w:val="auto"/>
        <w:outlineLvl w:val="9"/>
        <w:rPr>
          <w:rFonts w:hint="eastAsia" w:eastAsia="宋体" w:cs="宋体"/>
          <w:b/>
          <w:color w:val="auto"/>
          <w:sz w:val="21"/>
          <w:szCs w:val="21"/>
        </w:rPr>
      </w:pPr>
      <w:r>
        <w:rPr>
          <w:rFonts w:hint="eastAsia" w:eastAsia="宋体" w:cs="宋体"/>
          <w:b/>
          <w:color w:val="auto"/>
          <w:sz w:val="21"/>
          <w:szCs w:val="21"/>
        </w:rPr>
        <w:t>九、供应商认为需提供的其它资料</w:t>
      </w:r>
    </w:p>
    <w:p w14:paraId="4165732D">
      <w:pPr>
        <w:pStyle w:val="7"/>
        <w:keepNext w:val="0"/>
        <w:keepLines w:val="0"/>
        <w:pageBreakBefore w:val="0"/>
        <w:widowControl w:val="0"/>
        <w:kinsoku/>
        <w:wordWrap/>
        <w:overflowPunct w:val="0"/>
        <w:topLinePunct w:val="0"/>
        <w:autoSpaceDE/>
        <w:autoSpaceDN/>
        <w:bidi w:val="0"/>
        <w:spacing w:line="400" w:lineRule="exact"/>
        <w:jc w:val="both"/>
        <w:textAlignment w:val="auto"/>
        <w:outlineLvl w:val="9"/>
        <w:rPr>
          <w:rFonts w:hint="eastAsia" w:eastAsia="宋体" w:cs="宋体"/>
          <w:b/>
          <w:color w:val="auto"/>
          <w:sz w:val="21"/>
          <w:szCs w:val="21"/>
        </w:rPr>
      </w:pPr>
      <w:r>
        <w:rPr>
          <w:rFonts w:hint="eastAsia" w:eastAsia="宋体" w:cs="宋体"/>
          <w:b/>
          <w:color w:val="auto"/>
          <w:sz w:val="21"/>
          <w:szCs w:val="21"/>
        </w:rPr>
        <w:t>十、最后报价</w:t>
      </w:r>
    </w:p>
    <w:p w14:paraId="1D388EEC">
      <w:pPr>
        <w:keepNext w:val="0"/>
        <w:keepLines w:val="0"/>
        <w:pageBreakBefore w:val="0"/>
        <w:widowControl w:val="0"/>
        <w:kinsoku/>
        <w:wordWrap/>
        <w:overflowPunct w:val="0"/>
        <w:topLinePunct w:val="0"/>
        <w:autoSpaceDE/>
        <w:autoSpaceDN/>
        <w:bidi w:val="0"/>
        <w:spacing w:line="480" w:lineRule="exact"/>
        <w:jc w:val="center"/>
        <w:textAlignment w:val="auto"/>
        <w:outlineLvl w:val="1"/>
        <w:rPr>
          <w:rFonts w:ascii="宋体" w:hAnsi="宋体" w:eastAsia="宋体" w:cs="宋体"/>
          <w:b/>
          <w:color w:val="auto"/>
          <w:kern w:val="1"/>
          <w:sz w:val="32"/>
          <w:szCs w:val="32"/>
        </w:rPr>
      </w:pPr>
      <w:r>
        <w:rPr>
          <w:rFonts w:ascii="Times New Roman" w:hAnsi="Times New Roman" w:eastAsia="宋体" w:cs="宋体"/>
          <w:b/>
          <w:color w:val="auto"/>
        </w:rPr>
        <w:br w:type="page"/>
      </w:r>
      <w:bookmarkStart w:id="576" w:name="_Toc1024"/>
      <w:r>
        <w:rPr>
          <w:rFonts w:hint="eastAsia" w:ascii="宋体" w:hAnsi="宋体" w:eastAsia="宋体" w:cs="宋体"/>
          <w:b/>
          <w:color w:val="auto"/>
          <w:kern w:val="1"/>
          <w:sz w:val="32"/>
          <w:szCs w:val="32"/>
        </w:rPr>
        <w:t>一、磋商响应声明</w:t>
      </w:r>
      <w:bookmarkEnd w:id="576"/>
    </w:p>
    <w:p w14:paraId="6B8252E3">
      <w:pPr>
        <w:pageBreakBefore w:val="0"/>
        <w:widowControl w:val="0"/>
        <w:kinsoku/>
        <w:wordWrap/>
        <w:overflowPunct w:val="0"/>
        <w:bidi w:val="0"/>
        <w:jc w:val="both"/>
        <w:textAlignment w:val="auto"/>
        <w:rPr>
          <w:rFonts w:ascii="宋体" w:hAnsi="宋体" w:eastAsia="宋体" w:cs="宋体"/>
          <w:color w:val="auto"/>
          <w:kern w:val="1"/>
          <w:szCs w:val="21"/>
        </w:rPr>
      </w:pPr>
    </w:p>
    <w:p w14:paraId="1A425E2F">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致 (采购人或采购代理机构)：</w:t>
      </w:r>
    </w:p>
    <w:p w14:paraId="53D0B862">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我方已仔细研究了</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项目名称)的竞争性磋商文件（政府采购编号：</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；采购代理编号：</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）的全部内容，知悉参加竞争性磋商的风险，我方承诺接受磋商文件的全部条款且无任何异议。</w:t>
      </w:r>
    </w:p>
    <w:p w14:paraId="31F0EF99">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一、我方同意在磋商文件中规定的提交首次响应文件截止时间起</w:t>
      </w:r>
      <w:r>
        <w:rPr>
          <w:rFonts w:hint="eastAsia" w:eastAsia="宋体" w:cs="宋体"/>
          <w:color w:val="auto"/>
          <w:sz w:val="24"/>
          <w:szCs w:val="24"/>
          <w:u w:val="single"/>
        </w:rPr>
        <w:t xml:space="preserve">     </w:t>
      </w:r>
      <w:r>
        <w:rPr>
          <w:rFonts w:hint="eastAsia" w:eastAsia="宋体" w:cs="宋体"/>
          <w:color w:val="auto"/>
          <w:sz w:val="24"/>
          <w:szCs w:val="24"/>
        </w:rPr>
        <w:t>日内(响应文件有效期)遵守本响应文件中的承诺且在此期限期满之前均具有法律约束力。</w:t>
      </w:r>
    </w:p>
    <w:p w14:paraId="57338ED2">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二、我方提交响应文件正本一份和副本一式</w:t>
      </w:r>
      <w:r>
        <w:rPr>
          <w:rFonts w:hint="eastAsia" w:eastAsia="宋体" w:cs="宋体"/>
          <w:color w:val="auto"/>
          <w:sz w:val="24"/>
          <w:szCs w:val="24"/>
          <w:u w:val="single"/>
        </w:rPr>
        <w:t xml:space="preserve">    </w:t>
      </w:r>
      <w:r>
        <w:rPr>
          <w:rFonts w:hint="eastAsia" w:eastAsia="宋体" w:cs="宋体"/>
          <w:color w:val="auto"/>
          <w:sz w:val="24"/>
          <w:szCs w:val="24"/>
        </w:rPr>
        <w:t>份，并保证响应文件提供的数据和资料全部内容真实、合法、准确和完整，我们对此负责，并愿承担由此引起的法律责任。</w:t>
      </w:r>
    </w:p>
    <w:p w14:paraId="19F9A5D7">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三、我方愿意向贵方提供任何与本项采购有关的数据、情况和技术资料。若贵方需要，我方愿意提供我方作出的一切承诺的证明资料。</w:t>
      </w:r>
    </w:p>
    <w:p w14:paraId="13775D1F">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四、我方愿意按磋商文件规定和磋商小组要求重新提交响应文件和最后报价。</w:t>
      </w:r>
    </w:p>
    <w:p w14:paraId="3A275F13">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五、我方承诺遵守《中华人民共和国政府采购法》的有关规定，保证在获得成交资格后，按照磋商文件确定的事项签订政府采购合同，履行双方所签订的合同，并承担合同规定的责任和义务。</w:t>
      </w:r>
    </w:p>
    <w:p w14:paraId="3B783E4E">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 xml:space="preserve">六、我方在此声明： </w:t>
      </w:r>
    </w:p>
    <w:p w14:paraId="6E6F4110">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（一）我方与采购人或采购代理机构不存在隶属关系或者其他利害关系。</w:t>
      </w:r>
    </w:p>
    <w:p w14:paraId="353A1806">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（二）我方与参加本项目的其他供应商不存在直接控股、管理关系，或者与其他供应商法定代表人（或者负责人）为同一人。</w:t>
      </w:r>
    </w:p>
    <w:p w14:paraId="18E81EE6">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（三）我方未为本项目前期准备提供设计或咨询服务。</w:t>
      </w:r>
    </w:p>
    <w:p w14:paraId="5267BAFE">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（四）我方承诺（承诺期：成立三年以上的，为提交首次响应文件截止时间前三年内；成立不足三年的，为实际时间）：</w:t>
      </w:r>
    </w:p>
    <w:p w14:paraId="35EDB631">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1、我方依法缴纳了各项税费及各项社会保障资金，没有偷税、漏税及欠缴行为。</w:t>
      </w:r>
    </w:p>
    <w:p w14:paraId="4421CAA5">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2、我方在经营活动中没有存在下列重大违法记录：</w:t>
      </w:r>
    </w:p>
    <w:p w14:paraId="36F0C088">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(1)受到刑事处罚；</w:t>
      </w:r>
    </w:p>
    <w:p w14:paraId="741852F1">
      <w:pPr>
        <w:pStyle w:val="7"/>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eastAsia="宋体" w:cs="宋体"/>
          <w:color w:val="auto"/>
          <w:sz w:val="24"/>
          <w:szCs w:val="24"/>
        </w:rPr>
      </w:pPr>
      <w:r>
        <w:rPr>
          <w:rFonts w:eastAsia="宋体" w:cs="宋体"/>
          <w:color w:val="auto"/>
          <w:sz w:val="24"/>
          <w:szCs w:val="24"/>
        </w:rPr>
        <w:t>(2)受到三万元以上的罚款、责令停产停业、在一至三年内禁止参加政府采购活动、暂扣或者吊销许可证、暂扣或者吊销执照的行政处罚。</w:t>
      </w:r>
    </w:p>
    <w:p w14:paraId="25D3BDCD">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hint="eastAsia" w:ascii="宋体" w:hAnsi="宋体" w:eastAsia="宋体" w:cs="宋体"/>
          <w:bCs/>
          <w:color w:val="auto"/>
          <w:kern w:val="1"/>
          <w:sz w:val="24"/>
          <w:szCs w:val="24"/>
        </w:rPr>
      </w:pPr>
    </w:p>
    <w:p w14:paraId="6832B4C4">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hint="eastAsia" w:ascii="宋体" w:hAnsi="宋体" w:eastAsia="宋体" w:cs="宋体"/>
          <w:bCs/>
          <w:color w:val="auto"/>
          <w:kern w:val="1"/>
          <w:sz w:val="24"/>
          <w:szCs w:val="24"/>
        </w:rPr>
      </w:pPr>
    </w:p>
    <w:p w14:paraId="6AEAC456">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bCs/>
          <w:color w:val="auto"/>
          <w:kern w:val="1"/>
          <w:sz w:val="24"/>
          <w:szCs w:val="24"/>
        </w:rPr>
        <w:t>附件1：</w:t>
      </w:r>
      <w:r>
        <w:rPr>
          <w:rFonts w:hint="eastAsia" w:ascii="宋体" w:hAnsi="宋体" w:eastAsia="宋体" w:cs="宋体"/>
          <w:color w:val="auto"/>
          <w:kern w:val="1"/>
          <w:sz w:val="24"/>
          <w:szCs w:val="24"/>
        </w:rPr>
        <w:t>法定代表人身份证明；</w:t>
      </w:r>
    </w:p>
    <w:p w14:paraId="45B547B9">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bCs/>
          <w:color w:val="auto"/>
          <w:kern w:val="1"/>
          <w:sz w:val="24"/>
          <w:szCs w:val="24"/>
        </w:rPr>
        <w:t>附件2</w:t>
      </w:r>
      <w:r>
        <w:rPr>
          <w:rFonts w:hint="eastAsia" w:ascii="宋体" w:hAnsi="宋体" w:eastAsia="宋体" w:cs="宋体"/>
          <w:color w:val="auto"/>
          <w:kern w:val="1"/>
          <w:sz w:val="24"/>
          <w:szCs w:val="24"/>
        </w:rPr>
        <w:t>：法定代表人授权书</w:t>
      </w:r>
    </w:p>
    <w:p w14:paraId="17F7B6C6">
      <w:pPr>
        <w:keepNext w:val="0"/>
        <w:keepLines w:val="0"/>
        <w:pageBreakBefore w:val="0"/>
        <w:widowControl w:val="0"/>
        <w:kinsoku/>
        <w:wordWrap/>
        <w:overflowPunct w:val="0"/>
        <w:topLinePunct w:val="0"/>
        <w:autoSpaceDE/>
        <w:autoSpaceDN/>
        <w:bidi w:val="0"/>
        <w:adjustRightInd/>
        <w:snapToGrid/>
        <w:spacing w:line="520" w:lineRule="exact"/>
        <w:ind w:right="0" w:firstLine="480" w:firstLineChars="200"/>
        <w:jc w:val="both"/>
        <w:textAlignment w:val="auto"/>
        <w:rPr>
          <w:rFonts w:ascii="宋体" w:hAnsi="宋体" w:eastAsia="宋体" w:cs="宋体"/>
          <w:color w:val="auto"/>
          <w:kern w:val="1"/>
          <w:sz w:val="24"/>
          <w:szCs w:val="24"/>
        </w:rPr>
      </w:pPr>
      <w:r>
        <w:rPr>
          <w:rFonts w:ascii="宋体" w:hAnsi="宋体" w:eastAsia="宋体" w:cs="宋体"/>
          <w:bCs/>
          <w:color w:val="auto"/>
          <w:kern w:val="1"/>
          <w:sz w:val="24"/>
          <w:szCs w:val="24"/>
        </w:rPr>
        <w:t>附件3</w:t>
      </w:r>
      <w:r>
        <w:rPr>
          <w:rFonts w:ascii="宋体" w:hAnsi="宋体" w:eastAsia="宋体" w:cs="宋体"/>
          <w:color w:val="auto"/>
          <w:kern w:val="1"/>
          <w:sz w:val="24"/>
          <w:szCs w:val="24"/>
        </w:rPr>
        <w:t>：工程质量保修书(工程类项目适用)</w:t>
      </w:r>
    </w:p>
    <w:p w14:paraId="63764B49">
      <w:pPr>
        <w:pStyle w:val="15"/>
        <w:keepNext w:val="0"/>
        <w:keepLines w:val="0"/>
        <w:pageBreakBefore w:val="0"/>
        <w:widowControl w:val="0"/>
        <w:kinsoku/>
        <w:wordWrap/>
        <w:overflowPunct w:val="0"/>
        <w:topLinePunct w:val="0"/>
        <w:autoSpaceDE/>
        <w:autoSpaceDN/>
        <w:bidi w:val="0"/>
        <w:adjustRightInd/>
        <w:snapToGrid/>
        <w:spacing w:after="0" w:line="520" w:lineRule="exact"/>
        <w:ind w:left="0" w:leftChars="0" w:righ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附件</w:t>
      </w:r>
      <w:r>
        <w:rPr>
          <w:rFonts w:hint="eastAsia" w:ascii="宋体" w:hAnsi="宋体" w:eastAsia="宋体" w:cs="宋体"/>
          <w:color w:val="auto"/>
          <w:kern w:val="1"/>
          <w:sz w:val="24"/>
          <w:szCs w:val="24"/>
        </w:rPr>
        <w:t>4</w:t>
      </w:r>
      <w:r>
        <w:rPr>
          <w:rFonts w:ascii="宋体" w:hAnsi="宋体" w:eastAsia="宋体" w:cs="宋体"/>
          <w:color w:val="auto"/>
          <w:kern w:val="1"/>
          <w:sz w:val="24"/>
          <w:szCs w:val="24"/>
        </w:rPr>
        <w:t>：</w:t>
      </w:r>
      <w:r>
        <w:rPr>
          <w:rFonts w:hint="eastAsia" w:ascii="宋体" w:hAnsi="宋体" w:eastAsia="宋体" w:cs="宋体"/>
          <w:color w:val="auto"/>
          <w:kern w:val="1"/>
          <w:sz w:val="24"/>
          <w:szCs w:val="24"/>
        </w:rPr>
        <w:t>不拖欠民工工资承诺书</w:t>
      </w:r>
    </w:p>
    <w:p w14:paraId="571DF635">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57BABFD3">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278C591D">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53CCCB94">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02952FDA">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4889DD01">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0C8C415E">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0441369C">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440FDF57">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06D09022">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55ECAF93">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540B9347">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2A67031E">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0E331FCD">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Times New Roman" w:hAnsi="Times New Roman" w:eastAsia="宋体" w:cs="Times New Roman"/>
          <w:color w:val="auto"/>
          <w:sz w:val="24"/>
          <w:szCs w:val="24"/>
        </w:rPr>
      </w:pPr>
    </w:p>
    <w:p w14:paraId="13C5CAB7">
      <w:pPr>
        <w:pStyle w:val="7"/>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eastAsia="宋体" w:cs="宋体"/>
          <w:color w:val="auto"/>
          <w:sz w:val="24"/>
          <w:szCs w:val="24"/>
        </w:rPr>
      </w:pPr>
      <w:r>
        <w:rPr>
          <w:rFonts w:hint="eastAsia" w:eastAsia="宋体" w:cs="宋体"/>
          <w:color w:val="auto"/>
          <w:sz w:val="24"/>
          <w:szCs w:val="24"/>
        </w:rPr>
        <w:t>供应商名称(盖单位章)：</w:t>
      </w:r>
    </w:p>
    <w:p w14:paraId="1385BC72">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法定代表人或其委托代理人(签字)：</w:t>
      </w:r>
    </w:p>
    <w:p w14:paraId="3C951F5C">
      <w:pPr>
        <w:keepNext w:val="0"/>
        <w:keepLines w:val="0"/>
        <w:pageBreakBefore w:val="0"/>
        <w:widowControl w:val="0"/>
        <w:kinsoku/>
        <w:wordWrap/>
        <w:overflowPunct w:val="0"/>
        <w:topLinePunct w:val="0"/>
        <w:autoSpaceDE/>
        <w:autoSpaceDN/>
        <w:bidi w:val="0"/>
        <w:adjustRightInd/>
        <w:snapToGrid/>
        <w:spacing w:line="480" w:lineRule="exact"/>
        <w:ind w:righ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日     期：</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年</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月</w:t>
      </w:r>
      <w:r>
        <w:rPr>
          <w:rFonts w:hint="eastAsia" w:ascii="宋体" w:hAnsi="宋体" w:eastAsia="宋体" w:cs="宋体"/>
          <w:color w:val="auto"/>
          <w:kern w:val="1"/>
          <w:sz w:val="24"/>
          <w:szCs w:val="24"/>
          <w:lang w:val="en-US" w:eastAsia="zh-CN"/>
        </w:rPr>
        <w:t xml:space="preserve">   </w:t>
      </w:r>
      <w:r>
        <w:rPr>
          <w:rFonts w:hint="eastAsia" w:ascii="宋体" w:hAnsi="宋体" w:eastAsia="宋体" w:cs="宋体"/>
          <w:color w:val="auto"/>
          <w:kern w:val="1"/>
          <w:sz w:val="24"/>
          <w:szCs w:val="24"/>
        </w:rPr>
        <w:t>日</w:t>
      </w:r>
    </w:p>
    <w:p w14:paraId="0B97B4B9">
      <w:pPr>
        <w:pageBreakBefore w:val="0"/>
        <w:widowControl w:val="0"/>
        <w:kinsoku/>
        <w:wordWrap/>
        <w:overflowPunct w:val="0"/>
        <w:bidi w:val="0"/>
        <w:ind w:right="24"/>
        <w:jc w:val="both"/>
        <w:textAlignment w:val="auto"/>
        <w:rPr>
          <w:rFonts w:ascii="宋体" w:hAnsi="宋体" w:eastAsia="宋体" w:cs="宋体"/>
          <w:color w:val="auto"/>
          <w:kern w:val="1"/>
          <w:sz w:val="28"/>
          <w:szCs w:val="28"/>
        </w:rPr>
      </w:pPr>
      <w:r>
        <w:rPr>
          <w:rFonts w:hint="eastAsia" w:ascii="宋体" w:hAnsi="宋体" w:eastAsia="宋体" w:cs="宋体"/>
          <w:color w:val="auto"/>
          <w:kern w:val="1"/>
          <w:sz w:val="30"/>
          <w:szCs w:val="30"/>
        </w:rPr>
        <w:br w:type="page"/>
      </w:r>
      <w:r>
        <w:rPr>
          <w:rFonts w:hint="eastAsia" w:ascii="宋体" w:hAnsi="宋体" w:eastAsia="宋体" w:cs="宋体"/>
          <w:color w:val="auto"/>
          <w:kern w:val="1"/>
          <w:sz w:val="28"/>
          <w:szCs w:val="28"/>
        </w:rPr>
        <w:t>附件1</w:t>
      </w:r>
    </w:p>
    <w:p w14:paraId="09F17050">
      <w:pPr>
        <w:pageBreakBefore w:val="0"/>
        <w:widowControl w:val="0"/>
        <w:kinsoku/>
        <w:wordWrap/>
        <w:overflowPunct w:val="0"/>
        <w:bidi w:val="0"/>
        <w:spacing w:line="480" w:lineRule="exact"/>
        <w:jc w:val="center"/>
        <w:textAlignment w:val="auto"/>
        <w:rPr>
          <w:rFonts w:ascii="宋体" w:hAnsi="宋体" w:eastAsia="宋体" w:cs="宋体"/>
          <w:b/>
          <w:color w:val="auto"/>
          <w:kern w:val="1"/>
          <w:sz w:val="28"/>
          <w:szCs w:val="28"/>
        </w:rPr>
      </w:pPr>
      <w:r>
        <w:rPr>
          <w:rFonts w:hint="eastAsia" w:ascii="宋体" w:hAnsi="宋体" w:eastAsia="宋体" w:cs="宋体"/>
          <w:b/>
          <w:color w:val="auto"/>
          <w:kern w:val="1"/>
          <w:sz w:val="28"/>
          <w:szCs w:val="28"/>
        </w:rPr>
        <w:t>法定代表人身份证明</w:t>
      </w:r>
    </w:p>
    <w:p w14:paraId="4F3D8034">
      <w:pPr>
        <w:pageBreakBefore w:val="0"/>
        <w:widowControl w:val="0"/>
        <w:kinsoku/>
        <w:wordWrap/>
        <w:overflowPunct w:val="0"/>
        <w:bidi w:val="0"/>
        <w:spacing w:line="480" w:lineRule="auto"/>
        <w:jc w:val="both"/>
        <w:textAlignment w:val="auto"/>
        <w:rPr>
          <w:rFonts w:ascii="宋体" w:hAnsi="宋体" w:eastAsia="宋体" w:cs="宋体"/>
          <w:color w:val="auto"/>
          <w:kern w:val="1"/>
          <w:szCs w:val="21"/>
        </w:rPr>
      </w:pPr>
    </w:p>
    <w:p w14:paraId="6A7692E0">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kern w:val="1"/>
          <w:sz w:val="24"/>
          <w:szCs w:val="24"/>
        </w:rPr>
        <w:t>供应商</w:t>
      </w:r>
      <w:r>
        <w:rPr>
          <w:rFonts w:hint="eastAsia" w:ascii="宋体" w:hAnsi="宋体" w:eastAsia="宋体" w:cs="宋体"/>
          <w:color w:val="auto"/>
          <w:sz w:val="24"/>
          <w:szCs w:val="24"/>
        </w:rPr>
        <w:t>名称：</w:t>
      </w:r>
    </w:p>
    <w:p w14:paraId="077D87CB">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注册号：</w:t>
      </w:r>
    </w:p>
    <w:p w14:paraId="10A1A04C">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注册地址：</w:t>
      </w:r>
    </w:p>
    <w:p w14:paraId="405EBC0D">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成立时间： 年 月 日</w:t>
      </w:r>
    </w:p>
    <w:p w14:paraId="039E450A">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经营期限：</w:t>
      </w:r>
    </w:p>
    <w:p w14:paraId="16946AEB">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经营范围：主营：；兼营：</w:t>
      </w:r>
    </w:p>
    <w:p w14:paraId="6E5B4592">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姓名： 性别： 年龄： 系（</w:t>
      </w:r>
      <w:r>
        <w:rPr>
          <w:rFonts w:hint="eastAsia" w:ascii="宋体" w:hAnsi="宋体" w:eastAsia="宋体" w:cs="宋体"/>
          <w:color w:val="auto"/>
          <w:kern w:val="1"/>
          <w:sz w:val="24"/>
          <w:szCs w:val="24"/>
        </w:rPr>
        <w:t>供应商</w:t>
      </w:r>
      <w:r>
        <w:rPr>
          <w:rFonts w:hint="eastAsia" w:ascii="宋体" w:hAnsi="宋体" w:eastAsia="宋体" w:cs="宋体"/>
          <w:color w:val="auto"/>
          <w:sz w:val="24"/>
          <w:szCs w:val="24"/>
        </w:rPr>
        <w:t>名称）的法定代表人。</w:t>
      </w:r>
    </w:p>
    <w:p w14:paraId="7CC072DC">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特此证明。</w:t>
      </w:r>
    </w:p>
    <w:p w14:paraId="4FFC1917">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kern w:val="1"/>
          <w:sz w:val="24"/>
          <w:szCs w:val="24"/>
        </w:rPr>
        <w:t>附：法定代表人身份证复印件</w:t>
      </w:r>
    </w:p>
    <w:p w14:paraId="06957C33">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p>
    <w:p w14:paraId="61CF0284">
      <w:pPr>
        <w:pStyle w:val="14"/>
        <w:keepNext w:val="0"/>
        <w:keepLines w:val="0"/>
        <w:pageBreakBefore w:val="0"/>
        <w:widowControl w:val="0"/>
        <w:kinsoku/>
        <w:wordWrap/>
        <w:overflowPunct w:val="0"/>
        <w:topLinePunct w:val="0"/>
        <w:bidi w:val="0"/>
        <w:snapToGrid/>
        <w:spacing w:before="0" w:after="0" w:line="480" w:lineRule="exact"/>
        <w:ind w:right="0" w:firstLine="480" w:firstLineChars="200"/>
        <w:jc w:val="both"/>
        <w:textAlignment w:val="auto"/>
        <w:rPr>
          <w:rFonts w:ascii="Times New Roman" w:hAnsi="Times New Roman" w:eastAsia="宋体" w:cs="Times New Roman"/>
          <w:color w:val="auto"/>
          <w:sz w:val="24"/>
          <w:szCs w:val="24"/>
        </w:rPr>
      </w:pPr>
    </w:p>
    <w:p w14:paraId="70F0DF39">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p>
    <w:p w14:paraId="54F2B295">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p>
    <w:p w14:paraId="3BF2856B">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p>
    <w:p w14:paraId="34A06B96">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p>
    <w:p w14:paraId="2856EB9C">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p>
    <w:p w14:paraId="55DFAC05">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供应商名称（盖单位章）：</w:t>
      </w:r>
    </w:p>
    <w:p w14:paraId="7F07DD1B">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日期：年月日  </w:t>
      </w:r>
    </w:p>
    <w:p w14:paraId="4E721B63">
      <w:pPr>
        <w:keepNext w:val="0"/>
        <w:keepLines w:val="0"/>
        <w:pageBreakBefore w:val="0"/>
        <w:widowControl w:val="0"/>
        <w:kinsoku/>
        <w:wordWrap/>
        <w:overflowPunct w:val="0"/>
        <w:topLinePunct w:val="0"/>
        <w:bidi w:val="0"/>
        <w:snapToGrid/>
        <w:spacing w:line="480" w:lineRule="exact"/>
        <w:ind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w:t>
      </w:r>
    </w:p>
    <w:p w14:paraId="634B3616">
      <w:pPr>
        <w:pageBreakBefore w:val="0"/>
        <w:widowControl w:val="0"/>
        <w:kinsoku/>
        <w:wordWrap/>
        <w:overflowPunct w:val="0"/>
        <w:bidi w:val="0"/>
        <w:jc w:val="both"/>
        <w:textAlignment w:val="auto"/>
        <w:rPr>
          <w:rFonts w:hint="eastAsia" w:ascii="宋体" w:hAnsi="宋体" w:eastAsia="宋体" w:cs="宋体"/>
          <w:color w:val="auto"/>
          <w:kern w:val="1"/>
          <w:szCs w:val="21"/>
        </w:rPr>
      </w:pPr>
    </w:p>
    <w:p w14:paraId="667648FB">
      <w:pPr>
        <w:pageBreakBefore w:val="0"/>
        <w:widowControl w:val="0"/>
        <w:kinsoku/>
        <w:wordWrap/>
        <w:overflowPunct w:val="0"/>
        <w:topLinePunct/>
        <w:bidi w:val="0"/>
        <w:spacing w:line="440" w:lineRule="atLeast"/>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说明：1.复印件是指原件复印件或扫描件或影印件，下同。</w:t>
      </w:r>
    </w:p>
    <w:p w14:paraId="737C8DEC">
      <w:pPr>
        <w:pageBreakBefore w:val="0"/>
        <w:widowControl w:val="0"/>
        <w:kinsoku/>
        <w:wordWrap/>
        <w:overflowPunct w:val="0"/>
        <w:topLinePunct/>
        <w:bidi w:val="0"/>
        <w:spacing w:line="440" w:lineRule="atLeast"/>
        <w:ind w:firstLine="630" w:firstLineChars="300"/>
        <w:jc w:val="both"/>
        <w:textAlignment w:val="auto"/>
        <w:rPr>
          <w:rFonts w:hint="eastAsia" w:ascii="Times New Roman" w:hAnsi="Times New Roman" w:eastAsia="宋体" w:cs="Times New Roman"/>
          <w:bCs/>
          <w:color w:val="auto"/>
          <w:u w:val="single"/>
        </w:rPr>
      </w:pPr>
      <w:r>
        <w:rPr>
          <w:rFonts w:hint="eastAsia" w:ascii="Times New Roman" w:hAnsi="Times New Roman" w:eastAsia="宋体" w:cs="Times New Roman"/>
          <w:color w:val="auto"/>
        </w:rPr>
        <w:t>2.</w:t>
      </w:r>
      <w:r>
        <w:rPr>
          <w:rFonts w:hint="eastAsia" w:ascii="Times New Roman" w:hAnsi="Times New Roman" w:eastAsia="宋体" w:cs="Times New Roman"/>
          <w:bCs/>
          <w:color w:val="auto"/>
        </w:rPr>
        <w:t>由法定代表人参加磋商的，</w:t>
      </w:r>
      <w:r>
        <w:rPr>
          <w:rFonts w:ascii="Times New Roman" w:hAnsi="Times New Roman" w:eastAsia="宋体" w:cs="Times New Roman"/>
          <w:bCs/>
          <w:color w:val="auto"/>
        </w:rPr>
        <w:t>请</w:t>
      </w:r>
      <w:r>
        <w:rPr>
          <w:rFonts w:hint="eastAsia" w:ascii="Times New Roman" w:hAnsi="Times New Roman" w:eastAsia="宋体" w:cs="Times New Roman"/>
          <w:bCs/>
          <w:color w:val="auto"/>
        </w:rPr>
        <w:t>按第二章磋商须知的规定</w:t>
      </w:r>
      <w:r>
        <w:rPr>
          <w:rFonts w:ascii="Times New Roman" w:hAnsi="Times New Roman" w:eastAsia="宋体" w:cs="Times New Roman"/>
          <w:bCs/>
          <w:color w:val="auto"/>
        </w:rPr>
        <w:t>另</w:t>
      </w:r>
      <w:r>
        <w:rPr>
          <w:rFonts w:hint="eastAsia" w:ascii="Times New Roman" w:hAnsi="Times New Roman" w:eastAsia="宋体" w:cs="Times New Roman"/>
          <w:bCs/>
          <w:color w:val="auto"/>
        </w:rPr>
        <w:t>行</w:t>
      </w:r>
      <w:r>
        <w:rPr>
          <w:rFonts w:ascii="Times New Roman" w:hAnsi="Times New Roman" w:eastAsia="宋体" w:cs="Times New Roman"/>
          <w:bCs/>
          <w:color w:val="auto"/>
        </w:rPr>
        <w:t>准备</w:t>
      </w:r>
      <w:r>
        <w:rPr>
          <w:rFonts w:hint="eastAsia" w:ascii="Times New Roman" w:hAnsi="Times New Roman" w:eastAsia="宋体" w:cs="Times New Roman"/>
          <w:bCs/>
          <w:color w:val="auto"/>
        </w:rPr>
        <w:t>法定代表人身份证明</w:t>
      </w:r>
      <w:r>
        <w:rPr>
          <w:rFonts w:ascii="Times New Roman" w:hAnsi="Times New Roman" w:eastAsia="宋体" w:cs="Times New Roman"/>
          <w:bCs/>
          <w:color w:val="auto"/>
        </w:rPr>
        <w:t>原件一份，</w:t>
      </w:r>
      <w:r>
        <w:rPr>
          <w:rFonts w:hint="eastAsia" w:ascii="Times New Roman" w:hAnsi="Times New Roman" w:eastAsia="宋体" w:cs="Times New Roman"/>
          <w:bCs/>
          <w:color w:val="auto"/>
        </w:rPr>
        <w:t>在参加磋商</w:t>
      </w:r>
      <w:r>
        <w:rPr>
          <w:rFonts w:ascii="Times New Roman" w:hAnsi="Times New Roman" w:eastAsia="宋体" w:cs="Times New Roman"/>
          <w:bCs/>
          <w:color w:val="auto"/>
        </w:rPr>
        <w:t>时单独提交。</w:t>
      </w:r>
    </w:p>
    <w:p w14:paraId="09C20A63">
      <w:pPr>
        <w:pageBreakBefore w:val="0"/>
        <w:widowControl w:val="0"/>
        <w:kinsoku/>
        <w:wordWrap/>
        <w:overflowPunct w:val="0"/>
        <w:bidi w:val="0"/>
        <w:ind w:right="24"/>
        <w:jc w:val="both"/>
        <w:textAlignment w:val="auto"/>
        <w:rPr>
          <w:rFonts w:hint="eastAsia" w:ascii="宋体" w:hAnsi="宋体" w:eastAsia="宋体" w:cs="宋体"/>
          <w:color w:val="auto"/>
          <w:kern w:val="1"/>
          <w:sz w:val="28"/>
          <w:szCs w:val="28"/>
        </w:rPr>
      </w:pPr>
      <w:r>
        <w:rPr>
          <w:rFonts w:ascii="宋体" w:hAnsi="宋体" w:eastAsia="宋体" w:cs="宋体"/>
          <w:color w:val="auto"/>
          <w:kern w:val="1"/>
          <w:szCs w:val="21"/>
        </w:rPr>
        <w:br w:type="page"/>
      </w:r>
      <w:r>
        <w:rPr>
          <w:rFonts w:hint="eastAsia" w:ascii="宋体" w:hAnsi="宋体" w:eastAsia="宋体" w:cs="宋体"/>
          <w:color w:val="auto"/>
          <w:kern w:val="1"/>
          <w:sz w:val="28"/>
          <w:szCs w:val="28"/>
        </w:rPr>
        <w:t>附件2</w:t>
      </w:r>
    </w:p>
    <w:p w14:paraId="4EBCAD50">
      <w:pPr>
        <w:pageBreakBefore w:val="0"/>
        <w:widowControl w:val="0"/>
        <w:kinsoku/>
        <w:wordWrap/>
        <w:overflowPunct w:val="0"/>
        <w:bidi w:val="0"/>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法定代表人授权委托书</w:t>
      </w:r>
    </w:p>
    <w:p w14:paraId="5D4EDF15">
      <w:pPr>
        <w:pageBreakBefore w:val="0"/>
        <w:widowControl w:val="0"/>
        <w:kinsoku/>
        <w:wordWrap/>
        <w:overflowPunct w:val="0"/>
        <w:bidi w:val="0"/>
        <w:jc w:val="both"/>
        <w:textAlignment w:val="auto"/>
        <w:rPr>
          <w:rFonts w:ascii="Times New Roman" w:hAnsi="Times New Roman" w:eastAsia="宋体" w:cs="Times New Roman"/>
          <w:color w:val="auto"/>
          <w:sz w:val="28"/>
          <w:szCs w:val="28"/>
        </w:rPr>
      </w:pPr>
    </w:p>
    <w:p w14:paraId="5F68E976">
      <w:pPr>
        <w:keepNext w:val="0"/>
        <w:keepLines w:val="0"/>
        <w:pageBreakBefore w:val="0"/>
        <w:widowControl w:val="0"/>
        <w:kinsoku/>
        <w:wordWrap/>
        <w:overflowPunct w:val="0"/>
        <w:bidi w:val="0"/>
        <w:spacing w:line="4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（姓名、职务）系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（供应商名称）的法定代表人，现授权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（姓名、职务）为我方代理人，代理人根据授权，以我方名义：(1)签署、澄清、补正、修改、撤回、提交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w:t>
      </w:r>
      <w:r>
        <w:rPr>
          <w:rFonts w:hint="eastAsia" w:ascii="宋体" w:hAnsi="宋体" w:eastAsia="宋体" w:cs="Times New Roman"/>
          <w:color w:val="auto"/>
          <w:sz w:val="24"/>
          <w:szCs w:val="24"/>
        </w:rPr>
        <w:t>政府</w:t>
      </w:r>
      <w:r>
        <w:rPr>
          <w:rFonts w:hint="eastAsia" w:ascii="宋体" w:hAnsi="宋体" w:eastAsia="宋体" w:cs="宋体"/>
          <w:color w:val="auto"/>
          <w:sz w:val="24"/>
          <w:szCs w:val="24"/>
        </w:rPr>
        <w:t>采购编号、采购代理机构编号）响应文件；(2)签署并重新提交响应文件及最后报价；(3)签订合同和处理有关事宜，其法律后果由我方承担；（4）询问、质疑、投诉等相关事项，其法律后果由我方承担。</w:t>
      </w:r>
    </w:p>
    <w:p w14:paraId="60C1675B">
      <w:pPr>
        <w:keepNext w:val="0"/>
        <w:keepLines w:val="0"/>
        <w:pageBreakBefore w:val="0"/>
        <w:widowControl w:val="0"/>
        <w:kinsoku/>
        <w:wordWrap/>
        <w:overflowPunct w:val="0"/>
        <w:bidi w:val="0"/>
        <w:spacing w:line="4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19AC559">
      <w:pPr>
        <w:keepNext w:val="0"/>
        <w:keepLines w:val="0"/>
        <w:pageBreakBefore w:val="0"/>
        <w:widowControl w:val="0"/>
        <w:kinsoku/>
        <w:wordWrap/>
        <w:overflowPunct w:val="0"/>
        <w:bidi w:val="0"/>
        <w:spacing w:line="4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代理人无转委托权。</w:t>
      </w:r>
    </w:p>
    <w:p w14:paraId="0F91C4F0">
      <w:pPr>
        <w:keepNext w:val="0"/>
        <w:keepLines w:val="0"/>
        <w:pageBreakBefore w:val="0"/>
        <w:widowControl w:val="0"/>
        <w:kinsoku/>
        <w:wordWrap/>
        <w:overflowPunct w:val="0"/>
        <w:bidi w:val="0"/>
        <w:spacing w:line="4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6B7EE5B5">
      <w:pPr>
        <w:keepNext w:val="0"/>
        <w:keepLines w:val="0"/>
        <w:pageBreakBefore w:val="0"/>
        <w:widowControl w:val="0"/>
        <w:kinsoku/>
        <w:wordWrap/>
        <w:overflowPunct w:val="0"/>
        <w:bidi w:val="0"/>
        <w:adjustRightInd w:val="0"/>
        <w:snapToGrid w:val="0"/>
        <w:spacing w:line="480" w:lineRule="exact"/>
        <w:ind w:firstLine="482" w:firstLineChars="200"/>
        <w:jc w:val="both"/>
        <w:textAlignment w:val="auto"/>
        <w:rPr>
          <w:rFonts w:hint="eastAsia" w:ascii="宋体" w:hAnsi="宋体" w:eastAsia="宋体" w:cs="宋体"/>
          <w:b/>
          <w:color w:val="auto"/>
          <w:sz w:val="24"/>
          <w:szCs w:val="24"/>
        </w:rPr>
      </w:pPr>
    </w:p>
    <w:p w14:paraId="3EB09D79">
      <w:pPr>
        <w:keepNext w:val="0"/>
        <w:keepLines w:val="0"/>
        <w:pageBreakBefore w:val="0"/>
        <w:widowControl w:val="0"/>
        <w:kinsoku/>
        <w:wordWrap/>
        <w:overflowPunct w:val="0"/>
        <w:bidi w:val="0"/>
        <w:adjustRightInd w:val="0"/>
        <w:snapToGrid w:val="0"/>
        <w:spacing w:line="480" w:lineRule="exact"/>
        <w:ind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宋体"/>
          <w:bCs/>
          <w:color w:val="auto"/>
          <w:sz w:val="24"/>
          <w:szCs w:val="24"/>
        </w:rPr>
        <w:t>附：</w:t>
      </w:r>
      <w:r>
        <w:rPr>
          <w:rFonts w:hint="eastAsia" w:ascii="宋体" w:hAnsi="宋体" w:eastAsia="宋体" w:cs="Times New Roman"/>
          <w:color w:val="auto"/>
          <w:sz w:val="24"/>
          <w:szCs w:val="24"/>
        </w:rPr>
        <w:t>委托代理人身份证复印件及法定代表人身份证明(附件1，原件)</w:t>
      </w:r>
    </w:p>
    <w:p w14:paraId="7A8BAAC7">
      <w:pPr>
        <w:keepNext w:val="0"/>
        <w:keepLines w:val="0"/>
        <w:pageBreakBefore w:val="0"/>
        <w:widowControl w:val="0"/>
        <w:kinsoku/>
        <w:wordWrap/>
        <w:overflowPunct w:val="0"/>
        <w:bidi w:val="0"/>
        <w:spacing w:line="480" w:lineRule="exact"/>
        <w:ind w:firstLine="480" w:firstLineChars="200"/>
        <w:jc w:val="both"/>
        <w:textAlignment w:val="auto"/>
        <w:rPr>
          <w:rFonts w:ascii="宋体" w:hAnsi="宋体" w:eastAsia="宋体" w:cs="宋体"/>
          <w:color w:val="auto"/>
          <w:sz w:val="24"/>
          <w:szCs w:val="24"/>
        </w:rPr>
      </w:pPr>
    </w:p>
    <w:p w14:paraId="34C9389A">
      <w:pPr>
        <w:keepNext w:val="0"/>
        <w:keepLines w:val="0"/>
        <w:pageBreakBefore w:val="0"/>
        <w:widowControl w:val="0"/>
        <w:kinsoku/>
        <w:wordWrap/>
        <w:overflowPunct w:val="0"/>
        <w:topLinePunct/>
        <w:bidi w:val="0"/>
        <w:spacing w:line="480" w:lineRule="exact"/>
        <w:ind w:firstLine="480" w:firstLineChars="200"/>
        <w:jc w:val="both"/>
        <w:textAlignment w:val="auto"/>
        <w:rPr>
          <w:rFonts w:hint="eastAsia" w:ascii="Times New Roman" w:hAnsi="Times New Roman" w:eastAsia="宋体" w:cs="Times New Roman"/>
          <w:color w:val="auto"/>
          <w:sz w:val="24"/>
          <w:szCs w:val="24"/>
        </w:rPr>
      </w:pPr>
    </w:p>
    <w:p w14:paraId="620D9B4F">
      <w:pPr>
        <w:keepNext w:val="0"/>
        <w:keepLines w:val="0"/>
        <w:pageBreakBefore w:val="0"/>
        <w:widowControl w:val="0"/>
        <w:kinsoku/>
        <w:wordWrap/>
        <w:overflowPunct w:val="0"/>
        <w:topLinePunct/>
        <w:bidi w:val="0"/>
        <w:spacing w:line="480" w:lineRule="exact"/>
        <w:ind w:firstLine="480" w:firstLineChars="200"/>
        <w:jc w:val="both"/>
        <w:textAlignment w:val="auto"/>
        <w:rPr>
          <w:rFonts w:hint="eastAsia" w:ascii="Times New Roman" w:hAnsi="Times New Roman" w:eastAsia="宋体" w:cs="Times New Roman"/>
          <w:color w:val="auto"/>
          <w:sz w:val="24"/>
          <w:szCs w:val="24"/>
        </w:rPr>
      </w:pPr>
    </w:p>
    <w:p w14:paraId="50A3E607">
      <w:pPr>
        <w:keepNext w:val="0"/>
        <w:keepLines w:val="0"/>
        <w:pageBreakBefore w:val="0"/>
        <w:widowControl w:val="0"/>
        <w:kinsoku/>
        <w:wordWrap/>
        <w:overflowPunct w:val="0"/>
        <w:topLinePunct/>
        <w:bidi w:val="0"/>
        <w:spacing w:line="480" w:lineRule="exact"/>
        <w:ind w:firstLine="480" w:firstLineChars="200"/>
        <w:jc w:val="both"/>
        <w:textAlignment w:val="auto"/>
        <w:rPr>
          <w:rFonts w:hint="eastAsia" w:ascii="Times New Roman" w:hAnsi="Times New Roman" w:eastAsia="宋体" w:cs="Times New Roman"/>
          <w:color w:val="auto"/>
          <w:sz w:val="24"/>
          <w:szCs w:val="24"/>
        </w:rPr>
      </w:pPr>
    </w:p>
    <w:p w14:paraId="75A507F8">
      <w:pPr>
        <w:keepNext w:val="0"/>
        <w:keepLines w:val="0"/>
        <w:pageBreakBefore w:val="0"/>
        <w:widowControl w:val="0"/>
        <w:kinsoku/>
        <w:wordWrap/>
        <w:overflowPunct w:val="0"/>
        <w:topLinePunct/>
        <w:bidi w:val="0"/>
        <w:spacing w:line="480" w:lineRule="exact"/>
        <w:ind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w:t>
      </w:r>
      <w:r>
        <w:rPr>
          <w:rFonts w:ascii="Times New Roman" w:hAnsi="Times New Roman" w:eastAsia="宋体" w:cs="Times New Roman"/>
          <w:color w:val="auto"/>
          <w:sz w:val="24"/>
          <w:szCs w:val="24"/>
        </w:rPr>
        <w:t>：（盖单位章）</w:t>
      </w:r>
    </w:p>
    <w:p w14:paraId="47EEE29B">
      <w:pPr>
        <w:keepNext w:val="0"/>
        <w:keepLines w:val="0"/>
        <w:pageBreakBefore w:val="0"/>
        <w:widowControl w:val="0"/>
        <w:kinsoku/>
        <w:wordWrap/>
        <w:overflowPunct w:val="0"/>
        <w:topLinePunct/>
        <w:bidi w:val="0"/>
        <w:spacing w:line="480" w:lineRule="exact"/>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法定代表人：（签字）</w:t>
      </w:r>
    </w:p>
    <w:p w14:paraId="551A2B6E">
      <w:pPr>
        <w:keepNext w:val="0"/>
        <w:keepLines w:val="0"/>
        <w:pageBreakBefore w:val="0"/>
        <w:widowControl w:val="0"/>
        <w:kinsoku/>
        <w:wordWrap/>
        <w:overflowPunct w:val="0"/>
        <w:topLinePunct/>
        <w:bidi w:val="0"/>
        <w:spacing w:line="480" w:lineRule="exact"/>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委托代理人：（签字）</w:t>
      </w:r>
    </w:p>
    <w:p w14:paraId="672B084C">
      <w:pPr>
        <w:pStyle w:val="14"/>
        <w:keepNext w:val="0"/>
        <w:keepLines w:val="0"/>
        <w:pageBreakBefore w:val="0"/>
        <w:widowControl w:val="0"/>
        <w:kinsoku/>
        <w:wordWrap/>
        <w:overflowPunct w:val="0"/>
        <w:bidi w:val="0"/>
        <w:spacing w:before="0" w:after="0" w:line="480" w:lineRule="exact"/>
        <w:ind w:firstLine="480" w:firstLineChars="200"/>
        <w:jc w:val="both"/>
        <w:textAlignment w:val="auto"/>
        <w:rPr>
          <w:rFonts w:ascii="宋体" w:hAnsi="宋体" w:eastAsia="宋体" w:cs="宋体"/>
          <w:color w:val="auto"/>
          <w:sz w:val="24"/>
          <w:szCs w:val="24"/>
        </w:rPr>
      </w:pPr>
    </w:p>
    <w:p w14:paraId="1E4885F2">
      <w:pPr>
        <w:keepNext w:val="0"/>
        <w:keepLines w:val="0"/>
        <w:pageBreakBefore w:val="0"/>
        <w:widowControl w:val="0"/>
        <w:kinsoku/>
        <w:wordWrap/>
        <w:overflowPunct w:val="0"/>
        <w:bidi w:val="0"/>
        <w:spacing w:line="480" w:lineRule="exact"/>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AB71285">
      <w:pPr>
        <w:pageBreakBefore w:val="0"/>
        <w:widowControl w:val="0"/>
        <w:kinsoku/>
        <w:wordWrap/>
        <w:overflowPunct w:val="0"/>
        <w:bidi w:val="0"/>
        <w:spacing w:line="400" w:lineRule="atLeast"/>
        <w:jc w:val="both"/>
        <w:textAlignment w:val="auto"/>
        <w:rPr>
          <w:rFonts w:ascii="Times New Roman" w:hAnsi="Times New Roman" w:eastAsia="宋体" w:cs="Times New Roman"/>
          <w:color w:val="auto"/>
        </w:rPr>
      </w:pPr>
    </w:p>
    <w:p w14:paraId="19BC49A9">
      <w:pPr>
        <w:pageBreakBefore w:val="0"/>
        <w:widowControl w:val="0"/>
        <w:kinsoku/>
        <w:wordWrap/>
        <w:overflowPunct w:val="0"/>
        <w:bidi w:val="0"/>
        <w:spacing w:line="360" w:lineRule="exact"/>
        <w:jc w:val="both"/>
        <w:textAlignment w:val="auto"/>
        <w:rPr>
          <w:rFonts w:ascii="宋体" w:hAnsi="宋体" w:eastAsia="宋体" w:cs="宋体"/>
          <w:bCs/>
          <w:color w:val="auto"/>
          <w:kern w:val="1"/>
          <w:sz w:val="28"/>
          <w:szCs w:val="28"/>
        </w:rPr>
      </w:pPr>
    </w:p>
    <w:p w14:paraId="7CD2E78E">
      <w:pPr>
        <w:pageBreakBefore w:val="0"/>
        <w:widowControl w:val="0"/>
        <w:kinsoku/>
        <w:wordWrap/>
        <w:overflowPunct w:val="0"/>
        <w:topLinePunct/>
        <w:bidi w:val="0"/>
        <w:ind w:firstLine="420" w:firstLineChars="200"/>
        <w:jc w:val="both"/>
        <w:textAlignment w:val="auto"/>
        <w:rPr>
          <w:rFonts w:ascii="Times New Roman" w:hAnsi="Times New Roman" w:eastAsia="宋体" w:cs="Times New Roman"/>
          <w:bCs/>
          <w:color w:val="auto"/>
        </w:rPr>
      </w:pPr>
      <w:r>
        <w:rPr>
          <w:rFonts w:hint="eastAsia" w:ascii="Times New Roman" w:hAnsi="Times New Roman" w:eastAsia="宋体" w:cs="Times New Roman"/>
          <w:color w:val="auto"/>
        </w:rPr>
        <w:t>说明</w:t>
      </w:r>
      <w:r>
        <w:rPr>
          <w:rFonts w:ascii="Times New Roman" w:hAnsi="Times New Roman" w:eastAsia="宋体" w:cs="Times New Roman"/>
          <w:color w:val="auto"/>
        </w:rPr>
        <w:t>：</w:t>
      </w:r>
      <w:r>
        <w:rPr>
          <w:rFonts w:hint="eastAsia" w:ascii="Times New Roman" w:hAnsi="Times New Roman" w:eastAsia="宋体" w:cs="Times New Roman"/>
          <w:color w:val="auto"/>
        </w:rPr>
        <w:t>由授权委托代理人参加开标会议的，</w:t>
      </w:r>
      <w:r>
        <w:rPr>
          <w:rFonts w:ascii="Times New Roman" w:hAnsi="Times New Roman" w:eastAsia="宋体" w:cs="Times New Roman"/>
          <w:bCs/>
          <w:color w:val="auto"/>
        </w:rPr>
        <w:t>请</w:t>
      </w:r>
      <w:r>
        <w:rPr>
          <w:rFonts w:hint="eastAsia" w:ascii="Times New Roman" w:hAnsi="Times New Roman" w:eastAsia="宋体" w:cs="Times New Roman"/>
          <w:bCs/>
          <w:color w:val="auto"/>
        </w:rPr>
        <w:t>按第二章磋商须知的规定</w:t>
      </w:r>
      <w:r>
        <w:rPr>
          <w:rFonts w:ascii="Times New Roman" w:hAnsi="Times New Roman" w:eastAsia="宋体" w:cs="Times New Roman"/>
          <w:bCs/>
          <w:color w:val="auto"/>
        </w:rPr>
        <w:t>另</w:t>
      </w:r>
      <w:r>
        <w:rPr>
          <w:rFonts w:hint="eastAsia" w:ascii="Times New Roman" w:hAnsi="Times New Roman" w:eastAsia="宋体" w:cs="Times New Roman"/>
          <w:bCs/>
          <w:color w:val="auto"/>
        </w:rPr>
        <w:t>行</w:t>
      </w:r>
      <w:r>
        <w:rPr>
          <w:rFonts w:ascii="Times New Roman" w:hAnsi="Times New Roman" w:eastAsia="宋体" w:cs="Times New Roman"/>
          <w:bCs/>
          <w:color w:val="auto"/>
        </w:rPr>
        <w:t>准备</w:t>
      </w:r>
      <w:r>
        <w:rPr>
          <w:rFonts w:ascii="Times New Roman" w:hAnsi="Times New Roman" w:eastAsia="宋体" w:cs="Times New Roman"/>
          <w:color w:val="auto"/>
        </w:rPr>
        <w:t>授权委托书</w:t>
      </w:r>
      <w:r>
        <w:rPr>
          <w:rFonts w:hint="eastAsia" w:ascii="Times New Roman" w:hAnsi="Times New Roman" w:eastAsia="宋体" w:cs="Times New Roman"/>
          <w:color w:val="auto"/>
        </w:rPr>
        <w:t>、</w:t>
      </w:r>
      <w:r>
        <w:rPr>
          <w:rFonts w:hint="eastAsia" w:ascii="Times New Roman" w:hAnsi="Times New Roman" w:eastAsia="宋体" w:cs="Times New Roman"/>
          <w:bCs/>
          <w:color w:val="auto"/>
        </w:rPr>
        <w:t>法定代表人身份证明</w:t>
      </w:r>
      <w:r>
        <w:rPr>
          <w:rFonts w:ascii="Times New Roman" w:hAnsi="Times New Roman" w:eastAsia="宋体" w:cs="Times New Roman"/>
          <w:color w:val="auto"/>
        </w:rPr>
        <w:t>原件一份，</w:t>
      </w:r>
      <w:r>
        <w:rPr>
          <w:rFonts w:hint="eastAsia" w:ascii="Times New Roman" w:hAnsi="Times New Roman" w:eastAsia="宋体" w:cs="Times New Roman"/>
          <w:bCs/>
          <w:color w:val="auto"/>
        </w:rPr>
        <w:t>在参加磋商</w:t>
      </w:r>
      <w:r>
        <w:rPr>
          <w:rFonts w:ascii="Times New Roman" w:hAnsi="Times New Roman" w:eastAsia="宋体" w:cs="Times New Roman"/>
          <w:bCs/>
          <w:color w:val="auto"/>
        </w:rPr>
        <w:t>时单独提交。</w:t>
      </w:r>
    </w:p>
    <w:p w14:paraId="6DDF02FB">
      <w:pPr>
        <w:pStyle w:val="14"/>
        <w:pageBreakBefore w:val="0"/>
        <w:widowControl w:val="0"/>
        <w:kinsoku/>
        <w:wordWrap/>
        <w:overflowPunct w:val="0"/>
        <w:bidi w:val="0"/>
        <w:ind w:firstLine="560"/>
        <w:jc w:val="both"/>
        <w:textAlignment w:val="auto"/>
        <w:rPr>
          <w:rFonts w:ascii="宋体" w:hAnsi="宋体" w:eastAsia="宋体" w:cs="宋体"/>
          <w:bCs/>
          <w:color w:val="auto"/>
          <w:kern w:val="1"/>
          <w:sz w:val="28"/>
          <w:szCs w:val="28"/>
        </w:rPr>
      </w:pPr>
    </w:p>
    <w:p w14:paraId="57C7AD65">
      <w:pPr>
        <w:pageBreakBefore w:val="0"/>
        <w:widowControl w:val="0"/>
        <w:kinsoku/>
        <w:wordWrap/>
        <w:overflowPunct w:val="0"/>
        <w:bidi w:val="0"/>
        <w:ind w:right="24"/>
        <w:jc w:val="both"/>
        <w:textAlignment w:val="auto"/>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附件3</w:t>
      </w:r>
    </w:p>
    <w:p w14:paraId="66801AA9">
      <w:pPr>
        <w:pageBreakBefore w:val="0"/>
        <w:widowControl w:val="0"/>
        <w:kinsoku/>
        <w:wordWrap/>
        <w:overflowPunct w:val="0"/>
        <w:bidi w:val="0"/>
        <w:spacing w:line="480" w:lineRule="exact"/>
        <w:jc w:val="center"/>
        <w:textAlignment w:val="auto"/>
        <w:rPr>
          <w:rFonts w:ascii="宋体" w:hAnsi="宋体" w:eastAsia="宋体" w:cs="宋体"/>
          <w:b/>
          <w:color w:val="auto"/>
          <w:kern w:val="1"/>
          <w:sz w:val="28"/>
          <w:szCs w:val="28"/>
        </w:rPr>
      </w:pPr>
      <w:r>
        <w:rPr>
          <w:rFonts w:ascii="宋体" w:hAnsi="宋体" w:eastAsia="宋体" w:cs="宋体"/>
          <w:b/>
          <w:color w:val="auto"/>
          <w:kern w:val="1"/>
          <w:sz w:val="28"/>
          <w:szCs w:val="28"/>
        </w:rPr>
        <w:t>工程质量保修书</w:t>
      </w:r>
    </w:p>
    <w:p w14:paraId="4E704DCD">
      <w:pPr>
        <w:pageBreakBefore w:val="0"/>
        <w:widowControl w:val="0"/>
        <w:kinsoku/>
        <w:wordWrap/>
        <w:overflowPunct w:val="0"/>
        <w:bidi w:val="0"/>
        <w:jc w:val="both"/>
        <w:textAlignment w:val="auto"/>
        <w:rPr>
          <w:rFonts w:ascii="宋体" w:hAnsi="宋体" w:eastAsia="宋体" w:cs="宋体"/>
          <w:color w:val="auto"/>
          <w:kern w:val="1"/>
          <w:sz w:val="24"/>
          <w:szCs w:val="18"/>
        </w:rPr>
      </w:pPr>
    </w:p>
    <w:p w14:paraId="65F384A8">
      <w:pPr>
        <w:keepNext w:val="0"/>
        <w:keepLines w:val="0"/>
        <w:pageBreakBefore w:val="0"/>
        <w:widowControl w:val="0"/>
        <w:kinsoku/>
        <w:wordWrap/>
        <w:overflowPunct w:val="0"/>
        <w:topLinePunct w:val="0"/>
        <w:autoSpaceDE/>
        <w:autoSpaceDN/>
        <w:bidi w:val="0"/>
        <w:spacing w:line="480" w:lineRule="exact"/>
        <w:ind w:firstLine="480" w:firstLineChars="200"/>
        <w:jc w:val="center"/>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格式自拟</w:t>
      </w:r>
    </w:p>
    <w:p w14:paraId="7F4979FD">
      <w:pPr>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4A53FB71">
      <w:pPr>
        <w:pStyle w:val="15"/>
        <w:keepNext w:val="0"/>
        <w:keepLines w:val="0"/>
        <w:pageBreakBefore w:val="0"/>
        <w:widowControl w:val="0"/>
        <w:kinsoku/>
        <w:wordWrap/>
        <w:overflowPunct w:val="0"/>
        <w:topLinePunct w:val="0"/>
        <w:autoSpaceDE/>
        <w:autoSpaceDN/>
        <w:bidi w:val="0"/>
        <w:spacing w:after="0" w:line="480" w:lineRule="exact"/>
        <w:ind w:firstLine="482" w:firstLineChars="200"/>
        <w:jc w:val="both"/>
        <w:textAlignment w:val="auto"/>
        <w:rPr>
          <w:rFonts w:ascii="宋体" w:hAnsi="宋体" w:eastAsia="宋体" w:cs="宋体"/>
          <w:b/>
          <w:color w:val="auto"/>
          <w:kern w:val="1"/>
          <w:sz w:val="24"/>
          <w:szCs w:val="24"/>
        </w:rPr>
      </w:pPr>
    </w:p>
    <w:p w14:paraId="17AC7EC7">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443B72DF">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41ECEDF6">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7AB5DF9D">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2F08F19B">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7F47EE6D">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698CE48C">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3CE0D002">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636078B3">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2F576318">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538E913B">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0AA11485">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3000B022">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29882BB5">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7FBEFCD8">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24F2D383">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39825635">
      <w:pPr>
        <w:keepNext w:val="0"/>
        <w:keepLines w:val="0"/>
        <w:pageBreakBefore w:val="0"/>
        <w:widowControl w:val="0"/>
        <w:kinsoku/>
        <w:wordWrap/>
        <w:overflowPunct w:val="0"/>
        <w:topLinePunct w:val="0"/>
        <w:autoSpaceDE/>
        <w:autoSpaceDN/>
        <w:bidi w:val="0"/>
        <w:adjustRightInd w:val="0"/>
        <w:snapToGrid w:val="0"/>
        <w:spacing w:line="480" w:lineRule="exact"/>
        <w:ind w:right="23" w:rightChars="11"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供应商名称（盖章）：</w:t>
      </w:r>
    </w:p>
    <w:p w14:paraId="36E44A35">
      <w:pPr>
        <w:keepNext w:val="0"/>
        <w:keepLines w:val="0"/>
        <w:pageBreakBefore w:val="0"/>
        <w:widowControl w:val="0"/>
        <w:kinsoku/>
        <w:wordWrap/>
        <w:overflowPunct w:val="0"/>
        <w:topLinePunct w:val="0"/>
        <w:autoSpaceDE/>
        <w:autoSpaceDN/>
        <w:bidi w:val="0"/>
        <w:adjustRightInd w:val="0"/>
        <w:snapToGrid w:val="0"/>
        <w:spacing w:line="480" w:lineRule="exact"/>
        <w:ind w:right="23" w:rightChars="11"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法定代表人或其委托代理人（签字）：</w:t>
      </w:r>
    </w:p>
    <w:p w14:paraId="73BB79F6">
      <w:pPr>
        <w:keepNext w:val="0"/>
        <w:keepLines w:val="0"/>
        <w:pageBreakBefore w:val="0"/>
        <w:widowControl w:val="0"/>
        <w:kinsoku/>
        <w:wordWrap/>
        <w:overflowPunct w:val="0"/>
        <w:topLinePunct w:val="0"/>
        <w:autoSpaceDE/>
        <w:autoSpaceDN/>
        <w:bidi w:val="0"/>
        <w:adjustRightInd w:val="0"/>
        <w:snapToGrid w:val="0"/>
        <w:spacing w:line="480" w:lineRule="exact"/>
        <w:ind w:right="23" w:rightChars="11"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D016B8B">
      <w:pPr>
        <w:pStyle w:val="3"/>
        <w:pageBreakBefore w:val="0"/>
        <w:widowControl w:val="0"/>
        <w:kinsoku/>
        <w:wordWrap/>
        <w:overflowPunct w:val="0"/>
        <w:bidi w:val="0"/>
        <w:jc w:val="both"/>
        <w:textAlignment w:val="auto"/>
        <w:rPr>
          <w:rFonts w:ascii="宋体" w:hAnsi="宋体" w:eastAsia="宋体" w:cs="宋体"/>
          <w:b/>
          <w:color w:val="auto"/>
          <w:kern w:val="1"/>
        </w:rPr>
      </w:pPr>
    </w:p>
    <w:p w14:paraId="774A0D95">
      <w:pPr>
        <w:pStyle w:val="3"/>
        <w:pageBreakBefore w:val="0"/>
        <w:widowControl w:val="0"/>
        <w:kinsoku/>
        <w:wordWrap/>
        <w:overflowPunct w:val="0"/>
        <w:bidi w:val="0"/>
        <w:jc w:val="both"/>
        <w:textAlignment w:val="auto"/>
        <w:rPr>
          <w:rFonts w:ascii="宋体" w:hAnsi="宋体" w:eastAsia="宋体" w:cs="宋体"/>
          <w:b/>
          <w:color w:val="auto"/>
          <w:kern w:val="1"/>
        </w:rPr>
      </w:pPr>
    </w:p>
    <w:p w14:paraId="5566E73B">
      <w:pPr>
        <w:pStyle w:val="3"/>
        <w:pageBreakBefore w:val="0"/>
        <w:widowControl w:val="0"/>
        <w:kinsoku/>
        <w:wordWrap/>
        <w:overflowPunct w:val="0"/>
        <w:bidi w:val="0"/>
        <w:jc w:val="both"/>
        <w:textAlignment w:val="auto"/>
        <w:rPr>
          <w:rFonts w:ascii="宋体" w:hAnsi="宋体" w:eastAsia="宋体" w:cs="宋体"/>
          <w:b/>
          <w:color w:val="auto"/>
          <w:kern w:val="1"/>
        </w:rPr>
      </w:pPr>
    </w:p>
    <w:p w14:paraId="6998CE0C">
      <w:pPr>
        <w:pageBreakBefore w:val="0"/>
        <w:widowControl w:val="0"/>
        <w:kinsoku/>
        <w:wordWrap/>
        <w:overflowPunct w:val="0"/>
        <w:bidi w:val="0"/>
        <w:ind w:right="24"/>
        <w:jc w:val="both"/>
        <w:textAlignment w:val="auto"/>
        <w:rPr>
          <w:rFonts w:hint="eastAsia" w:ascii="宋体" w:hAnsi="宋体" w:eastAsia="宋体" w:cs="宋体"/>
          <w:color w:val="auto"/>
          <w:kern w:val="1"/>
          <w:sz w:val="28"/>
          <w:szCs w:val="28"/>
        </w:rPr>
      </w:pPr>
      <w:r>
        <w:rPr>
          <w:rFonts w:hint="eastAsia" w:ascii="宋体" w:hAnsi="宋体" w:eastAsia="宋体" w:cs="宋体"/>
          <w:color w:val="auto"/>
          <w:kern w:val="1"/>
          <w:sz w:val="28"/>
          <w:szCs w:val="28"/>
        </w:rPr>
        <w:t xml:space="preserve">附件4：                   </w:t>
      </w:r>
    </w:p>
    <w:p w14:paraId="37E54A53">
      <w:pPr>
        <w:pageBreakBefore w:val="0"/>
        <w:widowControl w:val="0"/>
        <w:kinsoku/>
        <w:wordWrap/>
        <w:overflowPunct w:val="0"/>
        <w:bidi w:val="0"/>
        <w:adjustRightInd w:val="0"/>
        <w:snapToGrid w:val="0"/>
        <w:spacing w:line="480" w:lineRule="exact"/>
        <w:ind w:right="23" w:rightChars="11"/>
        <w:jc w:val="center"/>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不拖欠民工工资承诺书</w:t>
      </w:r>
    </w:p>
    <w:p w14:paraId="70DFECA1">
      <w:pPr>
        <w:pageBreakBefore w:val="0"/>
        <w:widowControl w:val="0"/>
        <w:kinsoku/>
        <w:wordWrap/>
        <w:overflowPunct w:val="0"/>
        <w:bidi w:val="0"/>
        <w:ind w:firstLine="420"/>
        <w:jc w:val="both"/>
        <w:textAlignment w:val="auto"/>
        <w:rPr>
          <w:rFonts w:hint="eastAsia" w:ascii="宋体" w:hAnsi="宋体" w:eastAsia="宋体" w:cs="宋体"/>
          <w:color w:val="auto"/>
          <w:kern w:val="1"/>
          <w:szCs w:val="21"/>
        </w:rPr>
      </w:pPr>
    </w:p>
    <w:p w14:paraId="2A77BFAE">
      <w:pPr>
        <w:pageBreakBefore w:val="0"/>
        <w:widowControl w:val="0"/>
        <w:kinsoku/>
        <w:wordWrap/>
        <w:overflowPunct w:val="0"/>
        <w:bidi w:val="0"/>
        <w:ind w:firstLine="420" w:firstLineChars="200"/>
        <w:jc w:val="center"/>
        <w:textAlignment w:val="auto"/>
        <w:rPr>
          <w:rFonts w:hint="eastAsia" w:ascii="宋体" w:hAnsi="宋体" w:eastAsia="宋体" w:cs="宋体"/>
          <w:color w:val="auto"/>
          <w:kern w:val="1"/>
          <w:szCs w:val="21"/>
        </w:rPr>
      </w:pPr>
      <w:r>
        <w:rPr>
          <w:rFonts w:hint="eastAsia" w:ascii="宋体" w:hAnsi="宋体" w:eastAsia="宋体" w:cs="宋体"/>
          <w:color w:val="auto"/>
          <w:kern w:val="1"/>
          <w:szCs w:val="21"/>
        </w:rPr>
        <w:t>格式自拟。</w:t>
      </w:r>
    </w:p>
    <w:p w14:paraId="7A4768E3">
      <w:pPr>
        <w:pageBreakBefore w:val="0"/>
        <w:widowControl w:val="0"/>
        <w:kinsoku/>
        <w:wordWrap/>
        <w:overflowPunct w:val="0"/>
        <w:bidi w:val="0"/>
        <w:adjustRightInd w:val="0"/>
        <w:snapToGrid w:val="0"/>
        <w:spacing w:line="480" w:lineRule="exact"/>
        <w:ind w:right="23" w:rightChars="11"/>
        <w:jc w:val="both"/>
        <w:textAlignment w:val="auto"/>
        <w:rPr>
          <w:rFonts w:hint="eastAsia" w:ascii="黑体" w:hAnsi="Times New Roman" w:eastAsia="黑体" w:cs="Times New Roman"/>
          <w:b/>
          <w:color w:val="auto"/>
          <w:sz w:val="28"/>
          <w:szCs w:val="28"/>
        </w:rPr>
      </w:pPr>
    </w:p>
    <w:p w14:paraId="1F91C81C">
      <w:pPr>
        <w:pageBreakBefore w:val="0"/>
        <w:widowControl w:val="0"/>
        <w:kinsoku/>
        <w:wordWrap/>
        <w:overflowPunct w:val="0"/>
        <w:bidi w:val="0"/>
        <w:adjustRightInd w:val="0"/>
        <w:snapToGrid w:val="0"/>
        <w:spacing w:line="480" w:lineRule="exact"/>
        <w:ind w:right="23" w:rightChars="11"/>
        <w:jc w:val="both"/>
        <w:textAlignment w:val="auto"/>
        <w:rPr>
          <w:rFonts w:hint="eastAsia" w:ascii="黑体" w:hAnsi="Times New Roman" w:eastAsia="黑体" w:cs="Times New Roman"/>
          <w:color w:val="auto"/>
          <w:szCs w:val="21"/>
        </w:rPr>
      </w:pPr>
    </w:p>
    <w:p w14:paraId="45B350DE">
      <w:pPr>
        <w:pageBreakBefore w:val="0"/>
        <w:widowControl w:val="0"/>
        <w:kinsoku/>
        <w:wordWrap/>
        <w:overflowPunct w:val="0"/>
        <w:bidi w:val="0"/>
        <w:adjustRightInd w:val="0"/>
        <w:snapToGrid w:val="0"/>
        <w:spacing w:line="480" w:lineRule="exact"/>
        <w:ind w:right="23" w:rightChars="11"/>
        <w:jc w:val="both"/>
        <w:textAlignment w:val="auto"/>
        <w:rPr>
          <w:rFonts w:hint="eastAsia" w:ascii="黑体" w:hAnsi="Times New Roman" w:eastAsia="黑体" w:cs="Times New Roman"/>
          <w:color w:val="auto"/>
          <w:szCs w:val="21"/>
        </w:rPr>
      </w:pPr>
    </w:p>
    <w:p w14:paraId="5DDA7C71">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485273CB">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4DB14E2A">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5813423A">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09EF2239">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33166BAC">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38D84C16">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0BD16906">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6AAFD5B8">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1C7ED336">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13AC9632">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5125DD48">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6A46B19D">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173F8322">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0F7B3913">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7460635A">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434B7891">
      <w:pPr>
        <w:pStyle w:val="3"/>
        <w:keepNext w:val="0"/>
        <w:keepLines w:val="0"/>
        <w:pageBreakBefore w:val="0"/>
        <w:widowControl w:val="0"/>
        <w:kinsoku/>
        <w:wordWrap/>
        <w:overflowPunct w:val="0"/>
        <w:topLinePunct w:val="0"/>
        <w:autoSpaceDE/>
        <w:autoSpaceDN/>
        <w:bidi w:val="0"/>
        <w:spacing w:line="480" w:lineRule="exact"/>
        <w:ind w:firstLine="482" w:firstLineChars="200"/>
        <w:jc w:val="both"/>
        <w:textAlignment w:val="auto"/>
        <w:rPr>
          <w:rFonts w:ascii="宋体" w:hAnsi="宋体" w:eastAsia="宋体" w:cs="宋体"/>
          <w:b/>
          <w:color w:val="auto"/>
          <w:kern w:val="1"/>
          <w:sz w:val="24"/>
          <w:szCs w:val="24"/>
        </w:rPr>
      </w:pPr>
    </w:p>
    <w:p w14:paraId="25CC238E">
      <w:pPr>
        <w:keepNext w:val="0"/>
        <w:keepLines w:val="0"/>
        <w:pageBreakBefore w:val="0"/>
        <w:widowControl w:val="0"/>
        <w:kinsoku/>
        <w:wordWrap/>
        <w:overflowPunct w:val="0"/>
        <w:topLinePunct w:val="0"/>
        <w:autoSpaceDE/>
        <w:autoSpaceDN/>
        <w:bidi w:val="0"/>
        <w:adjustRightInd w:val="0"/>
        <w:snapToGrid w:val="0"/>
        <w:spacing w:line="480" w:lineRule="exact"/>
        <w:ind w:right="23" w:rightChars="11"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供应商名称（盖章）：</w:t>
      </w:r>
    </w:p>
    <w:p w14:paraId="085522A2">
      <w:pPr>
        <w:keepNext w:val="0"/>
        <w:keepLines w:val="0"/>
        <w:pageBreakBefore w:val="0"/>
        <w:widowControl w:val="0"/>
        <w:kinsoku/>
        <w:wordWrap/>
        <w:overflowPunct w:val="0"/>
        <w:topLinePunct w:val="0"/>
        <w:autoSpaceDE/>
        <w:autoSpaceDN/>
        <w:bidi w:val="0"/>
        <w:adjustRightInd w:val="0"/>
        <w:snapToGrid w:val="0"/>
        <w:spacing w:line="480" w:lineRule="exact"/>
        <w:ind w:right="23" w:rightChars="11"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法定代表人或其委托代理人（签字）：</w:t>
      </w:r>
    </w:p>
    <w:p w14:paraId="4F14C70C">
      <w:pPr>
        <w:keepNext w:val="0"/>
        <w:keepLines w:val="0"/>
        <w:pageBreakBefore w:val="0"/>
        <w:widowControl w:val="0"/>
        <w:kinsoku/>
        <w:wordWrap/>
        <w:overflowPunct w:val="0"/>
        <w:topLinePunct w:val="0"/>
        <w:autoSpaceDE/>
        <w:autoSpaceDN/>
        <w:bidi w:val="0"/>
        <w:adjustRightInd w:val="0"/>
        <w:snapToGrid w:val="0"/>
        <w:spacing w:line="480" w:lineRule="exact"/>
        <w:ind w:right="23" w:rightChars="11" w:firstLine="480" w:firstLineChars="200"/>
        <w:jc w:val="both"/>
        <w:textAlignment w:val="auto"/>
        <w:rPr>
          <w:rFonts w:ascii="宋体" w:hAnsi="宋体" w:eastAsia="宋体" w:cs="宋体"/>
          <w:b/>
          <w:color w:val="auto"/>
          <w:kern w:val="1"/>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37D21921">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outlineLvl w:val="1"/>
        <w:rPr>
          <w:rFonts w:hint="eastAsia" w:ascii="宋体" w:hAnsi="宋体" w:eastAsia="宋体" w:cs="宋体"/>
          <w:b/>
          <w:color w:val="auto"/>
          <w:kern w:val="1"/>
          <w:sz w:val="32"/>
          <w:szCs w:val="32"/>
        </w:rPr>
      </w:pPr>
      <w:r>
        <w:rPr>
          <w:rFonts w:hint="eastAsia" w:ascii="宋体" w:hAnsi="宋体" w:eastAsia="宋体" w:cs="宋体"/>
          <w:b/>
          <w:color w:val="auto"/>
          <w:kern w:val="1"/>
          <w:sz w:val="28"/>
          <w:szCs w:val="28"/>
        </w:rPr>
        <w:br w:type="page"/>
      </w:r>
      <w:bookmarkStart w:id="577" w:name="_Toc24170"/>
      <w:r>
        <w:rPr>
          <w:rFonts w:hint="eastAsia" w:ascii="宋体" w:hAnsi="宋体" w:eastAsia="宋体" w:cs="宋体"/>
          <w:b/>
          <w:color w:val="auto"/>
          <w:kern w:val="1"/>
          <w:sz w:val="32"/>
          <w:szCs w:val="32"/>
        </w:rPr>
        <w:t>二、磋商保证金缴纳证明材料（本项目不需要提供）</w:t>
      </w:r>
      <w:bookmarkEnd w:id="577"/>
    </w:p>
    <w:p w14:paraId="43BA4139">
      <w:pPr>
        <w:pStyle w:val="7"/>
        <w:pageBreakBefore w:val="0"/>
        <w:widowControl w:val="0"/>
        <w:kinsoku/>
        <w:wordWrap/>
        <w:overflowPunct w:val="0"/>
        <w:bidi w:val="0"/>
        <w:spacing w:before="156"/>
        <w:jc w:val="both"/>
        <w:textAlignment w:val="auto"/>
        <w:rPr>
          <w:rFonts w:eastAsia="宋体" w:cs="宋体"/>
          <w:color w:val="auto"/>
        </w:rPr>
      </w:pPr>
    </w:p>
    <w:p w14:paraId="0BB0835A">
      <w:pPr>
        <w:keepNext w:val="0"/>
        <w:keepLines w:val="0"/>
        <w:pageBreakBefore w:val="0"/>
        <w:widowControl w:val="0"/>
        <w:numPr>
          <w:ilvl w:val="0"/>
          <w:numId w:val="0"/>
        </w:numPr>
        <w:kinsoku/>
        <w:wordWrap/>
        <w:overflowPunct w:val="0"/>
        <w:topLinePunct w:val="0"/>
        <w:autoSpaceDE/>
        <w:autoSpaceDN/>
        <w:bidi w:val="0"/>
        <w:adjustRightInd/>
        <w:snapToGrid/>
        <w:ind w:firstLine="480" w:firstLineChars="200"/>
        <w:jc w:val="both"/>
        <w:textAlignment w:val="auto"/>
        <w:outlineLvl w:val="9"/>
        <w:rPr>
          <w:rFonts w:ascii="宋体" w:hAnsi="宋体" w:eastAsia="宋体" w:cs="宋体"/>
          <w:color w:val="auto"/>
          <w:kern w:val="1"/>
          <w:sz w:val="24"/>
          <w:szCs w:val="32"/>
        </w:rPr>
      </w:pPr>
      <w:r>
        <w:rPr>
          <w:rFonts w:ascii="宋体" w:hAnsi="宋体" w:eastAsia="宋体" w:cs="宋体"/>
          <w:color w:val="auto"/>
          <w:kern w:val="1"/>
          <w:sz w:val="24"/>
          <w:szCs w:val="32"/>
          <w:lang w:val="en-US" w:eastAsia="zh-CN" w:bidi="ar-SA"/>
        </w:rPr>
        <w:t>1、</w:t>
      </w:r>
      <w:r>
        <w:rPr>
          <w:rFonts w:ascii="宋体" w:hAnsi="宋体" w:eastAsia="宋体" w:cs="宋体"/>
          <w:color w:val="auto"/>
          <w:kern w:val="1"/>
          <w:sz w:val="24"/>
          <w:szCs w:val="32"/>
        </w:rPr>
        <w:t>提供付款凭证复印件</w:t>
      </w:r>
      <w:r>
        <w:rPr>
          <w:rFonts w:hint="eastAsia" w:ascii="宋体" w:hAnsi="宋体" w:eastAsia="宋体" w:cs="宋体"/>
          <w:color w:val="auto"/>
          <w:kern w:val="1"/>
          <w:sz w:val="24"/>
          <w:szCs w:val="32"/>
        </w:rPr>
        <w:t>及企业基本开户许可证</w:t>
      </w:r>
      <w:r>
        <w:rPr>
          <w:rFonts w:ascii="宋体" w:hAnsi="宋体" w:eastAsia="宋体" w:cs="宋体"/>
          <w:color w:val="auto"/>
          <w:kern w:val="1"/>
          <w:sz w:val="24"/>
          <w:szCs w:val="32"/>
        </w:rPr>
        <w:t>。</w:t>
      </w:r>
    </w:p>
    <w:p w14:paraId="60A74B90">
      <w:pPr>
        <w:keepNext w:val="0"/>
        <w:keepLines w:val="0"/>
        <w:pageBreakBefore w:val="0"/>
        <w:widowControl w:val="0"/>
        <w:kinsoku/>
        <w:wordWrap/>
        <w:overflowPunct w:val="0"/>
        <w:topLinePunct w:val="0"/>
        <w:autoSpaceDE/>
        <w:autoSpaceDN/>
        <w:bidi w:val="0"/>
        <w:jc w:val="both"/>
        <w:textAlignment w:val="auto"/>
        <w:outlineLvl w:val="9"/>
        <w:rPr>
          <w:rFonts w:ascii="宋体" w:hAnsi="宋体" w:eastAsia="宋体" w:cs="宋体"/>
          <w:color w:val="auto"/>
          <w:kern w:val="1"/>
        </w:rPr>
      </w:pPr>
    </w:p>
    <w:p w14:paraId="0FB5B339">
      <w:pPr>
        <w:keepNext w:val="0"/>
        <w:keepLines w:val="0"/>
        <w:pageBreakBefore w:val="0"/>
        <w:widowControl w:val="0"/>
        <w:kinsoku/>
        <w:wordWrap/>
        <w:overflowPunct w:val="0"/>
        <w:topLinePunct w:val="0"/>
        <w:autoSpaceDE/>
        <w:autoSpaceDN/>
        <w:bidi w:val="0"/>
        <w:jc w:val="both"/>
        <w:textAlignment w:val="auto"/>
        <w:outlineLvl w:val="9"/>
        <w:rPr>
          <w:rFonts w:ascii="宋体" w:hAnsi="宋体" w:eastAsia="宋体" w:cs="宋体"/>
          <w:color w:val="auto"/>
          <w:kern w:val="1"/>
        </w:rPr>
      </w:pPr>
    </w:p>
    <w:p w14:paraId="008F56E1">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75EA80D5">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63ABEDA1">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575E3223">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012C9B1A">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12BE33A9">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2460A494">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7ABAA441">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3F753655">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1CEFD723">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4049A030">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09EFA13E">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12F90168">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47849694">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6F97904F">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2F645DA0">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0D640E79">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412ED5D9">
      <w:pPr>
        <w:keepNext w:val="0"/>
        <w:keepLines w:val="0"/>
        <w:pageBreakBefore w:val="0"/>
        <w:widowControl w:val="0"/>
        <w:kinsoku/>
        <w:wordWrap/>
        <w:overflowPunct w:val="0"/>
        <w:topLinePunct w:val="0"/>
        <w:autoSpaceDE/>
        <w:autoSpaceDN/>
        <w:bidi w:val="0"/>
        <w:adjustRightInd w:val="0"/>
        <w:snapToGrid w:val="0"/>
        <w:jc w:val="both"/>
        <w:textAlignment w:val="auto"/>
        <w:outlineLvl w:val="9"/>
        <w:rPr>
          <w:rFonts w:hint="eastAsia" w:ascii="黑体" w:hAnsi="黑体" w:eastAsia="黑体" w:cs="Times New Roman"/>
          <w:b/>
          <w:color w:val="auto"/>
          <w:sz w:val="32"/>
          <w:szCs w:val="32"/>
        </w:rPr>
      </w:pPr>
    </w:p>
    <w:p w14:paraId="4F9DB1ED">
      <w:pPr>
        <w:keepNext w:val="0"/>
        <w:keepLines w:val="0"/>
        <w:pageBreakBefore w:val="0"/>
        <w:widowControl w:val="0"/>
        <w:kinsoku/>
        <w:wordWrap/>
        <w:overflowPunct w:val="0"/>
        <w:topLinePunct w:val="0"/>
        <w:autoSpaceDE/>
        <w:autoSpaceDN/>
        <w:bidi w:val="0"/>
        <w:adjustRightInd w:val="0"/>
        <w:snapToGrid w:val="0"/>
        <w:jc w:val="center"/>
        <w:textAlignment w:val="auto"/>
        <w:outlineLvl w:val="1"/>
        <w:rPr>
          <w:rFonts w:hint="eastAsia" w:ascii="宋体" w:hAnsi="宋体" w:eastAsia="宋体" w:cs="宋体"/>
          <w:b/>
          <w:color w:val="auto"/>
          <w:sz w:val="32"/>
          <w:szCs w:val="32"/>
        </w:rPr>
      </w:pPr>
      <w:bookmarkStart w:id="578" w:name="_Toc25032"/>
      <w:r>
        <w:rPr>
          <w:rFonts w:hint="eastAsia" w:ascii="宋体" w:hAnsi="宋体" w:eastAsia="宋体" w:cs="宋体"/>
          <w:b/>
          <w:color w:val="auto"/>
          <w:sz w:val="32"/>
          <w:szCs w:val="32"/>
        </w:rPr>
        <w:t>三、联合体协议(格式)（不适用）</w:t>
      </w:r>
      <w:bookmarkEnd w:id="578"/>
    </w:p>
    <w:p w14:paraId="596452CC">
      <w:pPr>
        <w:keepNext w:val="0"/>
        <w:keepLines w:val="0"/>
        <w:pageBreakBefore w:val="0"/>
        <w:widowControl w:val="0"/>
        <w:kinsoku/>
        <w:wordWrap/>
        <w:overflowPunct w:val="0"/>
        <w:topLinePunct w:val="0"/>
        <w:autoSpaceDE/>
        <w:autoSpaceDN/>
        <w:bidi w:val="0"/>
        <w:adjustRightInd w:val="0"/>
        <w:snapToGrid w:val="0"/>
        <w:jc w:val="center"/>
        <w:textAlignment w:val="auto"/>
        <w:outlineLvl w:val="1"/>
        <w:rPr>
          <w:rFonts w:ascii="宋体" w:hAnsi="宋体" w:eastAsia="宋体" w:cs="宋体"/>
          <w:b/>
          <w:color w:val="auto"/>
          <w:kern w:val="1"/>
          <w:sz w:val="32"/>
          <w:szCs w:val="32"/>
        </w:rPr>
      </w:pPr>
      <w:r>
        <w:rPr>
          <w:rFonts w:ascii="宋体" w:hAnsi="宋体" w:eastAsia="宋体" w:cs="宋体"/>
          <w:color w:val="auto"/>
          <w:kern w:val="1"/>
          <w:sz w:val="32"/>
          <w:szCs w:val="32"/>
        </w:rPr>
        <w:br w:type="page"/>
      </w:r>
      <w:bookmarkStart w:id="579" w:name="_Toc5388"/>
      <w:r>
        <w:rPr>
          <w:rFonts w:hint="eastAsia" w:ascii="宋体" w:hAnsi="宋体" w:eastAsia="宋体" w:cs="宋体"/>
          <w:b/>
          <w:color w:val="auto"/>
          <w:kern w:val="1"/>
          <w:sz w:val="32"/>
          <w:szCs w:val="32"/>
        </w:rPr>
        <w:t>四、供应商的资格证明资料</w:t>
      </w:r>
      <w:bookmarkEnd w:id="579"/>
    </w:p>
    <w:p w14:paraId="75A737D6">
      <w:pPr>
        <w:pageBreakBefore w:val="0"/>
        <w:widowControl w:val="0"/>
        <w:kinsoku/>
        <w:wordWrap/>
        <w:overflowPunct w:val="0"/>
        <w:bidi w:val="0"/>
        <w:spacing w:line="480" w:lineRule="exact"/>
        <w:jc w:val="center"/>
        <w:textAlignment w:val="auto"/>
        <w:rPr>
          <w:rFonts w:ascii="宋体" w:hAnsi="宋体" w:eastAsia="宋体" w:cs="宋体"/>
          <w:b/>
          <w:bCs/>
          <w:color w:val="auto"/>
          <w:kern w:val="1"/>
          <w:sz w:val="28"/>
          <w:szCs w:val="28"/>
        </w:rPr>
      </w:pPr>
      <w:r>
        <w:rPr>
          <w:rFonts w:ascii="宋体" w:hAnsi="宋体" w:eastAsia="宋体" w:cs="宋体"/>
          <w:b/>
          <w:bCs/>
          <w:color w:val="auto"/>
          <w:kern w:val="1"/>
          <w:sz w:val="28"/>
          <w:szCs w:val="28"/>
        </w:rPr>
        <w:t>附件</w:t>
      </w:r>
      <w:r>
        <w:rPr>
          <w:rFonts w:hint="eastAsia" w:ascii="宋体" w:hAnsi="宋体" w:eastAsia="宋体" w:cs="宋体"/>
          <w:b/>
          <w:bCs/>
          <w:color w:val="auto"/>
          <w:kern w:val="1"/>
          <w:sz w:val="28"/>
          <w:szCs w:val="28"/>
        </w:rPr>
        <w:t>5</w:t>
      </w:r>
      <w:r>
        <w:rPr>
          <w:rFonts w:hint="eastAsia" w:ascii="宋体" w:hAnsi="宋体" w:eastAsia="宋体" w:cs="宋体"/>
          <w:b/>
          <w:bCs/>
          <w:color w:val="auto"/>
          <w:kern w:val="1"/>
          <w:sz w:val="28"/>
          <w:szCs w:val="28"/>
          <w:lang w:val="en-US" w:eastAsia="zh-CN"/>
        </w:rPr>
        <w:t xml:space="preserve">  </w:t>
      </w:r>
      <w:r>
        <w:rPr>
          <w:rFonts w:hint="eastAsia" w:ascii="宋体" w:hAnsi="宋体" w:eastAsia="宋体" w:cs="宋体"/>
          <w:b/>
          <w:bCs/>
          <w:color w:val="auto"/>
          <w:kern w:val="1"/>
          <w:sz w:val="28"/>
          <w:szCs w:val="28"/>
        </w:rPr>
        <w:t>供应商基本情况表</w:t>
      </w:r>
    </w:p>
    <w:p w14:paraId="6A59D472">
      <w:pPr>
        <w:pageBreakBefore w:val="0"/>
        <w:widowControl w:val="0"/>
        <w:kinsoku/>
        <w:wordWrap/>
        <w:overflowPunct w:val="0"/>
        <w:bidi w:val="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盖供应商单位章</w:t>
      </w:r>
    </w:p>
    <w:tbl>
      <w:tblPr>
        <w:tblStyle w:val="1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7172F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27189327">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供应商</w:t>
            </w:r>
            <w:r>
              <w:rPr>
                <w:rFonts w:ascii="宋体" w:hAnsi="宋体" w:eastAsia="宋体" w:cs="Times New Roman"/>
                <w:color w:val="auto"/>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0923BDA">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404F1B87">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ascii="宋体" w:hAnsi="宋体" w:eastAsia="宋体" w:cs="Times New Roman"/>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439688C4">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537C5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017A684">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委托代理</w:t>
            </w:r>
            <w:r>
              <w:rPr>
                <w:rFonts w:ascii="宋体" w:hAnsi="宋体" w:eastAsia="宋体" w:cs="Times New Roman"/>
                <w:color w:val="auto"/>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66D59F75">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41D48216">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ascii="宋体" w:hAnsi="宋体" w:eastAsia="宋体" w:cs="Times New Roman"/>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48874578">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1735F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18DFCBC">
            <w:pPr>
              <w:pageBreakBefore w:val="0"/>
              <w:widowControl w:val="0"/>
              <w:kinsoku/>
              <w:wordWrap/>
              <w:overflowPunct w:val="0"/>
              <w:topLinePunct/>
              <w:bidi w:val="0"/>
              <w:spacing w:line="440" w:lineRule="exact"/>
              <w:jc w:val="both"/>
              <w:textAlignment w:val="auto"/>
              <w:rPr>
                <w:rFonts w:hint="eastAsia" w:ascii="宋体" w:hAnsi="宋体" w:eastAsia="宋体" w:cs="Times New Roman"/>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6B8589E6">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082F6E7E">
            <w:pPr>
              <w:pageBreakBefore w:val="0"/>
              <w:widowControl w:val="0"/>
              <w:kinsoku/>
              <w:wordWrap/>
              <w:overflowPunct w:val="0"/>
              <w:topLinePunct/>
              <w:bidi w:val="0"/>
              <w:spacing w:line="440" w:lineRule="exact"/>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4A87F743">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38209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E978189">
            <w:pPr>
              <w:pageBreakBefore w:val="0"/>
              <w:widowControl w:val="0"/>
              <w:kinsoku/>
              <w:wordWrap/>
              <w:overflowPunct w:val="0"/>
              <w:topLinePunct/>
              <w:bidi w:val="0"/>
              <w:spacing w:line="440" w:lineRule="exact"/>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1CA86224">
            <w:pPr>
              <w:pageBreakBefore w:val="0"/>
              <w:widowControl w:val="0"/>
              <w:kinsoku/>
              <w:wordWrap/>
              <w:overflowPunct w:val="0"/>
              <w:topLinePunct/>
              <w:bidi w:val="0"/>
              <w:spacing w:line="440" w:lineRule="exact"/>
              <w:jc w:val="both"/>
              <w:textAlignment w:val="auto"/>
              <w:rPr>
                <w:rFonts w:hint="eastAsia" w:ascii="宋体" w:hAnsi="宋体" w:eastAsia="宋体" w:cs="Times New Roman"/>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3C142936">
            <w:pPr>
              <w:pageBreakBefore w:val="0"/>
              <w:widowControl w:val="0"/>
              <w:kinsoku/>
              <w:wordWrap/>
              <w:overflowPunct w:val="0"/>
              <w:topLinePunct/>
              <w:bidi w:val="0"/>
              <w:spacing w:line="440" w:lineRule="exact"/>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25DCF565">
            <w:pPr>
              <w:pageBreakBefore w:val="0"/>
              <w:widowControl w:val="0"/>
              <w:kinsoku/>
              <w:wordWrap/>
              <w:overflowPunct w:val="0"/>
              <w:topLinePunct/>
              <w:bidi w:val="0"/>
              <w:spacing w:line="440" w:lineRule="exact"/>
              <w:jc w:val="both"/>
              <w:textAlignment w:val="auto"/>
              <w:rPr>
                <w:rFonts w:hint="eastAsia" w:ascii="宋体" w:hAnsi="宋体" w:eastAsia="宋体" w:cs="Times New Roman"/>
                <w:color w:val="auto"/>
                <w:szCs w:val="21"/>
              </w:rPr>
            </w:pPr>
          </w:p>
        </w:tc>
      </w:tr>
      <w:tr w14:paraId="4D31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4C9AC877">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DB035BB">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6B402217">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6E07BE22">
            <w:pPr>
              <w:pageBreakBefore w:val="0"/>
              <w:widowControl w:val="0"/>
              <w:kinsoku/>
              <w:wordWrap/>
              <w:overflowPunct w:val="0"/>
              <w:topLinePunct/>
              <w:bidi w:val="0"/>
              <w:spacing w:line="440" w:lineRule="exact"/>
              <w:ind w:firstLine="105" w:firstLineChars="50"/>
              <w:jc w:val="both"/>
              <w:textAlignment w:val="auto"/>
              <w:rPr>
                <w:rFonts w:ascii="宋体" w:hAnsi="宋体" w:eastAsia="宋体" w:cs="Times New Roman"/>
                <w:color w:val="auto"/>
                <w:szCs w:val="21"/>
              </w:rPr>
            </w:pPr>
            <w:r>
              <w:rPr>
                <w:rFonts w:hint="eastAsia" w:ascii="宋体" w:hAnsi="宋体" w:eastAsia="宋体" w:cs="Times New Roman"/>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931EA8F">
            <w:pPr>
              <w:pageBreakBefore w:val="0"/>
              <w:widowControl w:val="0"/>
              <w:kinsoku/>
              <w:wordWrap/>
              <w:overflowPunct w:val="0"/>
              <w:topLinePunct/>
              <w:bidi w:val="0"/>
              <w:spacing w:line="440" w:lineRule="exact"/>
              <w:ind w:firstLine="105" w:firstLineChars="50"/>
              <w:jc w:val="both"/>
              <w:textAlignment w:val="auto"/>
              <w:rPr>
                <w:rFonts w:ascii="宋体" w:hAnsi="宋体" w:eastAsia="宋体" w:cs="Times New Roman"/>
                <w:color w:val="auto"/>
                <w:szCs w:val="21"/>
              </w:rPr>
            </w:pPr>
          </w:p>
        </w:tc>
      </w:tr>
      <w:tr w14:paraId="0D427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7C48DC44">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E50D5F9">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068BF251">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CD92548">
            <w:pPr>
              <w:pageBreakBefore w:val="0"/>
              <w:widowControl w:val="0"/>
              <w:kinsoku/>
              <w:wordWrap/>
              <w:overflowPunct w:val="0"/>
              <w:topLinePunct/>
              <w:bidi w:val="0"/>
              <w:spacing w:line="440" w:lineRule="exact"/>
              <w:ind w:firstLine="105" w:firstLineChars="5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F763F87">
            <w:pPr>
              <w:pageBreakBefore w:val="0"/>
              <w:widowControl w:val="0"/>
              <w:kinsoku/>
              <w:wordWrap/>
              <w:overflowPunct w:val="0"/>
              <w:topLinePunct/>
              <w:bidi w:val="0"/>
              <w:spacing w:line="440" w:lineRule="exact"/>
              <w:ind w:firstLine="105" w:firstLineChars="50"/>
              <w:jc w:val="both"/>
              <w:textAlignment w:val="auto"/>
              <w:rPr>
                <w:rFonts w:ascii="宋体" w:hAnsi="宋体" w:eastAsia="宋体" w:cs="Times New Roman"/>
                <w:color w:val="auto"/>
                <w:szCs w:val="21"/>
              </w:rPr>
            </w:pPr>
          </w:p>
        </w:tc>
      </w:tr>
      <w:tr w14:paraId="3E5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618968F6">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2F4EF4D">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1853E2D">
            <w:pPr>
              <w:pageBreakBefore w:val="0"/>
              <w:widowControl w:val="0"/>
              <w:kinsoku/>
              <w:wordWrap/>
              <w:overflowPunct w:val="0"/>
              <w:topLinePunct/>
              <w:bidi w:val="0"/>
              <w:spacing w:line="440" w:lineRule="exact"/>
              <w:ind w:firstLine="105" w:firstLineChars="50"/>
              <w:jc w:val="both"/>
              <w:textAlignment w:val="auto"/>
              <w:rPr>
                <w:rFonts w:ascii="宋体" w:hAnsi="宋体" w:eastAsia="宋体" w:cs="Times New Roman"/>
                <w:color w:val="auto"/>
                <w:szCs w:val="21"/>
              </w:rPr>
            </w:pPr>
          </w:p>
        </w:tc>
      </w:tr>
      <w:tr w14:paraId="43224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28011928">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D0263A8">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2B9EDD4">
            <w:pPr>
              <w:pageBreakBefore w:val="0"/>
              <w:widowControl w:val="0"/>
              <w:kinsoku/>
              <w:wordWrap/>
              <w:overflowPunct w:val="0"/>
              <w:topLinePunct/>
              <w:bidi w:val="0"/>
              <w:spacing w:line="440" w:lineRule="exact"/>
              <w:ind w:firstLine="105" w:firstLineChars="50"/>
              <w:jc w:val="both"/>
              <w:textAlignment w:val="auto"/>
              <w:rPr>
                <w:rFonts w:ascii="宋体" w:hAnsi="宋体" w:eastAsia="宋体" w:cs="Times New Roman"/>
                <w:color w:val="auto"/>
                <w:szCs w:val="21"/>
              </w:rPr>
            </w:pPr>
          </w:p>
        </w:tc>
      </w:tr>
      <w:tr w14:paraId="6CD67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7DE17B0">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23CDC5F">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30953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07FDCFD">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667DBCD5">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425FF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544EC5C6">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ascii="宋体" w:hAnsi="宋体" w:eastAsia="宋体" w:cs="Times New Roman"/>
                <w:color w:val="auto"/>
                <w:szCs w:val="21"/>
              </w:rPr>
              <w:t>资质</w:t>
            </w:r>
            <w:r>
              <w:rPr>
                <w:rFonts w:hint="eastAsia" w:ascii="宋体" w:hAnsi="宋体" w:eastAsia="宋体" w:cs="Times New Roman"/>
                <w:color w:val="auto"/>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34FF723">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ascii="宋体" w:hAnsi="宋体" w:eastAsia="宋体" w:cs="Times New Roman"/>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04F61FE">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06EE784">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hint="eastAsia" w:ascii="宋体" w:hAnsi="宋体" w:eastAsia="宋体" w:cs="Times New Roman"/>
                <w:color w:val="auto"/>
                <w:szCs w:val="21"/>
              </w:rPr>
              <w:t>有效期</w:t>
            </w:r>
          </w:p>
        </w:tc>
      </w:tr>
      <w:tr w14:paraId="11EE9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2FCC4BBE">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35FF85B">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03F7F690">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E178149">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34B78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58B9B14A">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42B4AB">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4094E71">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94E1B8F">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7F3B6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268D2752">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7BE4C5C">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06988E6E">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B28DA0">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3D1C1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3D3BB6D">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FED469">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604F6AA7">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CB57CA3">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p>
        </w:tc>
      </w:tr>
      <w:tr w14:paraId="64FF5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38F129FA">
            <w:pPr>
              <w:pageBreakBefore w:val="0"/>
              <w:widowControl w:val="0"/>
              <w:kinsoku/>
              <w:wordWrap/>
              <w:overflowPunct w:val="0"/>
              <w:topLinePunct/>
              <w:bidi w:val="0"/>
              <w:spacing w:line="440" w:lineRule="exact"/>
              <w:jc w:val="both"/>
              <w:textAlignment w:val="auto"/>
              <w:rPr>
                <w:rFonts w:ascii="宋体" w:hAnsi="宋体" w:eastAsia="宋体" w:cs="Times New Roman"/>
                <w:color w:val="auto"/>
                <w:szCs w:val="21"/>
              </w:rPr>
            </w:pPr>
            <w:r>
              <w:rPr>
                <w:rFonts w:ascii="宋体" w:hAnsi="宋体" w:eastAsia="宋体" w:cs="Times New Roman"/>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32A4CF2E">
            <w:pPr>
              <w:pageBreakBefore w:val="0"/>
              <w:widowControl w:val="0"/>
              <w:kinsoku/>
              <w:wordWrap/>
              <w:overflowPunct w:val="0"/>
              <w:topLinePunct/>
              <w:bidi w:val="0"/>
              <w:spacing w:line="440" w:lineRule="exact"/>
              <w:jc w:val="both"/>
              <w:textAlignment w:val="auto"/>
              <w:rPr>
                <w:rFonts w:hint="eastAsia" w:ascii="黑体" w:hAnsi="宋体" w:eastAsia="黑体" w:cs="Times New Roman"/>
                <w:color w:val="auto"/>
                <w:szCs w:val="21"/>
              </w:rPr>
            </w:pPr>
            <w:r>
              <w:rPr>
                <w:rFonts w:hint="eastAsia" w:ascii="黑体" w:hAnsi="宋体" w:eastAsia="黑体" w:cs="Times New Roman"/>
                <w:color w:val="auto"/>
                <w:szCs w:val="21"/>
              </w:rPr>
              <w:t>附《营业执照》（副本）复印件</w:t>
            </w:r>
          </w:p>
        </w:tc>
      </w:tr>
    </w:tbl>
    <w:p w14:paraId="65999A9E">
      <w:pPr>
        <w:pageBreakBefore w:val="0"/>
        <w:widowControl w:val="0"/>
        <w:kinsoku/>
        <w:wordWrap/>
        <w:overflowPunct w:val="0"/>
        <w:bidi w:val="0"/>
        <w:spacing w:line="480" w:lineRule="exact"/>
        <w:jc w:val="both"/>
        <w:textAlignment w:val="auto"/>
        <w:rPr>
          <w:rFonts w:ascii="宋体" w:hAnsi="宋体" w:eastAsia="宋体" w:cs="宋体"/>
          <w:color w:val="auto"/>
          <w:kern w:val="1"/>
          <w:sz w:val="30"/>
          <w:szCs w:val="30"/>
        </w:rPr>
      </w:pPr>
    </w:p>
    <w:p w14:paraId="05B9AC0D">
      <w:pPr>
        <w:pageBreakBefore w:val="0"/>
        <w:widowControl w:val="0"/>
        <w:kinsoku/>
        <w:wordWrap/>
        <w:overflowPunct w:val="0"/>
        <w:bidi w:val="0"/>
        <w:spacing w:line="480" w:lineRule="exact"/>
        <w:jc w:val="center"/>
        <w:textAlignment w:val="auto"/>
        <w:rPr>
          <w:rFonts w:ascii="宋体" w:hAnsi="宋体" w:eastAsia="宋体" w:cs="宋体"/>
          <w:b/>
          <w:bCs/>
          <w:color w:val="auto"/>
          <w:kern w:val="1"/>
          <w:sz w:val="28"/>
          <w:szCs w:val="28"/>
        </w:rPr>
      </w:pPr>
      <w:r>
        <w:rPr>
          <w:rFonts w:ascii="宋体" w:hAnsi="宋体" w:eastAsia="宋体" w:cs="宋体"/>
          <w:b/>
          <w:bCs/>
          <w:color w:val="auto"/>
          <w:kern w:val="1"/>
          <w:sz w:val="28"/>
          <w:szCs w:val="28"/>
        </w:rPr>
        <w:t>附件</w:t>
      </w:r>
      <w:r>
        <w:rPr>
          <w:rFonts w:hint="eastAsia" w:ascii="宋体" w:hAnsi="宋体" w:eastAsia="宋体" w:cs="宋体"/>
          <w:b/>
          <w:bCs/>
          <w:color w:val="auto"/>
          <w:kern w:val="1"/>
          <w:sz w:val="28"/>
          <w:szCs w:val="28"/>
        </w:rPr>
        <w:t>6</w:t>
      </w:r>
      <w:r>
        <w:rPr>
          <w:rFonts w:ascii="宋体" w:hAnsi="宋体" w:eastAsia="宋体" w:cs="宋体"/>
          <w:b/>
          <w:bCs/>
          <w:color w:val="auto"/>
          <w:kern w:val="1"/>
          <w:sz w:val="28"/>
          <w:szCs w:val="28"/>
        </w:rPr>
        <w:t xml:space="preserve">  </w:t>
      </w:r>
      <w:r>
        <w:rPr>
          <w:rFonts w:hint="eastAsia" w:ascii="宋体" w:hAnsi="宋体" w:eastAsia="宋体" w:cs="宋体"/>
          <w:b/>
          <w:bCs/>
          <w:color w:val="auto"/>
          <w:kern w:val="1"/>
          <w:sz w:val="28"/>
          <w:szCs w:val="28"/>
        </w:rPr>
        <w:t>磋商文件规定的基本资格条件证明资料</w:t>
      </w:r>
    </w:p>
    <w:p w14:paraId="08AAF0EF">
      <w:pPr>
        <w:pageBreakBefore w:val="0"/>
        <w:widowControl w:val="0"/>
        <w:kinsoku/>
        <w:wordWrap/>
        <w:overflowPunct w:val="0"/>
        <w:bidi w:val="0"/>
        <w:spacing w:line="480" w:lineRule="exact"/>
        <w:jc w:val="both"/>
        <w:textAlignment w:val="auto"/>
        <w:rPr>
          <w:rFonts w:ascii="宋体" w:hAnsi="宋体" w:eastAsia="宋体" w:cs="宋体"/>
          <w:color w:val="auto"/>
          <w:kern w:val="1"/>
          <w:szCs w:val="21"/>
        </w:rPr>
      </w:pPr>
    </w:p>
    <w:p w14:paraId="32A9479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备注：</w:t>
      </w:r>
    </w:p>
    <w:p w14:paraId="7045DDE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1、提供</w:t>
      </w:r>
      <w:r>
        <w:rPr>
          <w:rFonts w:hint="eastAsia" w:ascii="宋体" w:hAnsi="宋体" w:eastAsia="宋体" w:cs="宋体"/>
          <w:color w:val="auto"/>
          <w:kern w:val="1"/>
          <w:sz w:val="24"/>
          <w:szCs w:val="24"/>
        </w:rPr>
        <w:t>法人或其他组织的营业执照（或法人登记证书）</w:t>
      </w:r>
      <w:r>
        <w:rPr>
          <w:rFonts w:ascii="宋体" w:hAnsi="宋体" w:eastAsia="宋体" w:cs="宋体"/>
          <w:color w:val="auto"/>
          <w:kern w:val="1"/>
          <w:sz w:val="24"/>
          <w:szCs w:val="24"/>
        </w:rPr>
        <w:t>副本</w:t>
      </w:r>
      <w:r>
        <w:rPr>
          <w:rFonts w:hint="eastAsia" w:ascii="宋体" w:hAnsi="宋体" w:eastAsia="宋体" w:cs="宋体"/>
          <w:color w:val="auto"/>
          <w:kern w:val="1"/>
          <w:sz w:val="24"/>
          <w:szCs w:val="24"/>
        </w:rPr>
        <w:t>及组织机构代码证副本</w:t>
      </w:r>
      <w:r>
        <w:rPr>
          <w:rFonts w:ascii="宋体" w:hAnsi="宋体" w:eastAsia="宋体" w:cs="宋体"/>
          <w:color w:val="auto"/>
          <w:kern w:val="1"/>
          <w:sz w:val="24"/>
          <w:szCs w:val="24"/>
        </w:rPr>
        <w:t>复印件；</w:t>
      </w:r>
    </w:p>
    <w:p w14:paraId="6C07EEBE">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jc w:val="both"/>
        <w:textAlignment w:val="auto"/>
        <w:rPr>
          <w:rFonts w:hint="eastAsia" w:ascii="Times New Roman" w:hAnsi="Times New Roman" w:eastAsia="宋体" w:cs="Times New Roman"/>
          <w:b/>
          <w:bCs/>
          <w:color w:val="auto"/>
          <w:sz w:val="24"/>
          <w:szCs w:val="24"/>
        </w:rPr>
      </w:pPr>
      <w:r>
        <w:rPr>
          <w:rFonts w:hint="eastAsia" w:ascii="宋体" w:hAnsi="宋体" w:eastAsia="宋体" w:cs="宋体"/>
          <w:color w:val="auto"/>
          <w:kern w:val="1"/>
          <w:sz w:val="24"/>
          <w:szCs w:val="24"/>
        </w:rPr>
        <w:t>2、</w:t>
      </w:r>
      <w:r>
        <w:rPr>
          <w:rFonts w:hint="eastAsia" w:ascii="宋体" w:hAnsi="宋体" w:eastAsia="宋体" w:cs="Times New Roman"/>
          <w:color w:val="auto"/>
          <w:sz w:val="24"/>
          <w:szCs w:val="24"/>
        </w:rPr>
        <w:t>法人提交法定代表人身份证明书复印件（格式见附件1）或者法定代表人授权委托书原件（格式见附件2）并附法定代表人身份证明复印件；自然人提交身份证明复印件；</w:t>
      </w:r>
      <w:r>
        <w:rPr>
          <w:rFonts w:hint="eastAsia" w:ascii="宋体" w:hAnsi="宋体" w:eastAsia="宋体" w:cs="Times New Roman"/>
          <w:b/>
          <w:bCs/>
          <w:color w:val="auto"/>
          <w:sz w:val="24"/>
          <w:szCs w:val="24"/>
        </w:rPr>
        <w:t>（响应文件响应声明中已提供的，此处不重复提供）</w:t>
      </w:r>
    </w:p>
    <w:p w14:paraId="4F1F0D95">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3、供应商</w:t>
      </w:r>
      <w:r>
        <w:rPr>
          <w:rFonts w:ascii="宋体" w:hAnsi="宋体" w:eastAsia="宋体" w:cs="宋体"/>
          <w:color w:val="auto"/>
          <w:kern w:val="1"/>
          <w:sz w:val="24"/>
          <w:szCs w:val="24"/>
        </w:rPr>
        <w:t>参加本次政府采购活动前3年内没有重大违法记录的书面声明</w:t>
      </w:r>
      <w:r>
        <w:rPr>
          <w:rFonts w:hint="eastAsia" w:ascii="宋体" w:hAnsi="宋体" w:eastAsia="宋体" w:cs="宋体"/>
          <w:color w:val="auto"/>
          <w:kern w:val="1"/>
          <w:sz w:val="24"/>
          <w:szCs w:val="24"/>
        </w:rPr>
        <w:t>。</w:t>
      </w:r>
    </w:p>
    <w:p w14:paraId="2165BBD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ascii="宋体" w:hAnsi="宋体" w:eastAsia="宋体" w:cs="宋体"/>
          <w:color w:val="auto"/>
          <w:kern w:val="1"/>
          <w:sz w:val="24"/>
          <w:szCs w:val="24"/>
        </w:rPr>
        <w:t>、提供第二章磋商须知第3.1款供应商基本资格条件：法律、行政法规规定的其他条件(如果有的话)证明资料的复印件。</w:t>
      </w:r>
    </w:p>
    <w:p w14:paraId="07E70425">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kern w:val="1"/>
          <w:sz w:val="24"/>
          <w:szCs w:val="24"/>
        </w:rPr>
      </w:pPr>
    </w:p>
    <w:p w14:paraId="3624A475">
      <w:pPr>
        <w:keepNext w:val="0"/>
        <w:keepLines w:val="0"/>
        <w:pageBreakBefore w:val="0"/>
        <w:widowControl w:val="0"/>
        <w:kinsoku/>
        <w:wordWrap/>
        <w:overflowPunct w:val="0"/>
        <w:topLinePunct w:val="0"/>
        <w:autoSpaceDE/>
        <w:autoSpaceDN/>
        <w:bidi w:val="0"/>
        <w:adjustRightInd/>
        <w:snapToGrid/>
        <w:spacing w:line="600" w:lineRule="exact"/>
        <w:ind w:firstLine="482" w:firstLineChars="200"/>
        <w:jc w:val="both"/>
        <w:textAlignment w:val="auto"/>
        <w:rPr>
          <w:rFonts w:ascii="宋体" w:hAnsi="宋体" w:eastAsia="宋体" w:cs="宋体"/>
          <w:color w:val="auto"/>
          <w:kern w:val="1"/>
          <w:sz w:val="24"/>
          <w:szCs w:val="24"/>
        </w:rPr>
      </w:pPr>
      <w:r>
        <w:rPr>
          <w:rFonts w:hint="eastAsia" w:ascii="宋体" w:hAnsi="宋体" w:eastAsia="宋体" w:cs="宋体"/>
          <w:b/>
          <w:bCs/>
          <w:color w:val="auto"/>
          <w:kern w:val="1"/>
          <w:sz w:val="24"/>
          <w:szCs w:val="24"/>
        </w:rPr>
        <w:t>注：根据湖南省财政厅关于积极推行“承诺+信用管理”的供应商资格审查办法，各供应商的相关财务状况、缴纳税收和社保等证明材料，提供书面承诺。</w:t>
      </w:r>
    </w:p>
    <w:p w14:paraId="65B6E9DA">
      <w:pPr>
        <w:pageBreakBefore w:val="0"/>
        <w:widowControl w:val="0"/>
        <w:kinsoku/>
        <w:wordWrap/>
        <w:overflowPunct w:val="0"/>
        <w:bidi w:val="0"/>
        <w:spacing w:line="480" w:lineRule="exact"/>
        <w:ind w:firstLine="525"/>
        <w:jc w:val="both"/>
        <w:textAlignment w:val="auto"/>
        <w:rPr>
          <w:rFonts w:ascii="宋体" w:hAnsi="宋体" w:eastAsia="宋体" w:cs="宋体"/>
          <w:color w:val="auto"/>
          <w:kern w:val="1"/>
          <w:szCs w:val="21"/>
        </w:rPr>
      </w:pPr>
    </w:p>
    <w:p w14:paraId="7C3AD38A">
      <w:pPr>
        <w:pageBreakBefore w:val="0"/>
        <w:widowControl w:val="0"/>
        <w:kinsoku/>
        <w:wordWrap/>
        <w:overflowPunct w:val="0"/>
        <w:bidi w:val="0"/>
        <w:spacing w:line="480" w:lineRule="exact"/>
        <w:jc w:val="both"/>
        <w:textAlignment w:val="auto"/>
        <w:rPr>
          <w:rFonts w:ascii="宋体" w:hAnsi="宋体" w:eastAsia="宋体" w:cs="宋体"/>
          <w:color w:val="auto"/>
          <w:kern w:val="1"/>
          <w:sz w:val="30"/>
          <w:szCs w:val="30"/>
        </w:rPr>
      </w:pPr>
    </w:p>
    <w:p w14:paraId="0F8CCAFC">
      <w:pPr>
        <w:pStyle w:val="14"/>
        <w:pageBreakBefore w:val="0"/>
        <w:widowControl w:val="0"/>
        <w:kinsoku/>
        <w:wordWrap/>
        <w:overflowPunct w:val="0"/>
        <w:bidi w:val="0"/>
        <w:ind w:firstLine="600"/>
        <w:jc w:val="both"/>
        <w:textAlignment w:val="auto"/>
        <w:rPr>
          <w:rFonts w:ascii="宋体" w:hAnsi="宋体" w:eastAsia="宋体" w:cs="宋体"/>
          <w:color w:val="auto"/>
          <w:kern w:val="1"/>
          <w:sz w:val="30"/>
          <w:szCs w:val="30"/>
        </w:rPr>
      </w:pPr>
    </w:p>
    <w:p w14:paraId="03769A85">
      <w:pPr>
        <w:pStyle w:val="14"/>
        <w:pageBreakBefore w:val="0"/>
        <w:widowControl w:val="0"/>
        <w:kinsoku/>
        <w:wordWrap/>
        <w:overflowPunct w:val="0"/>
        <w:bidi w:val="0"/>
        <w:ind w:firstLine="600"/>
        <w:jc w:val="both"/>
        <w:textAlignment w:val="auto"/>
        <w:rPr>
          <w:rFonts w:ascii="宋体" w:hAnsi="宋体" w:eastAsia="宋体" w:cs="宋体"/>
          <w:color w:val="auto"/>
          <w:kern w:val="1"/>
          <w:sz w:val="30"/>
          <w:szCs w:val="30"/>
        </w:rPr>
      </w:pPr>
    </w:p>
    <w:p w14:paraId="64BC5810">
      <w:pPr>
        <w:pageBreakBefore w:val="0"/>
        <w:widowControl w:val="0"/>
        <w:kinsoku/>
        <w:wordWrap/>
        <w:overflowPunct w:val="0"/>
        <w:bidi w:val="0"/>
        <w:spacing w:line="480" w:lineRule="exact"/>
        <w:jc w:val="both"/>
        <w:textAlignment w:val="auto"/>
        <w:rPr>
          <w:rFonts w:ascii="宋体" w:hAnsi="宋体" w:eastAsia="宋体" w:cs="宋体"/>
          <w:color w:val="auto"/>
          <w:kern w:val="1"/>
          <w:sz w:val="30"/>
          <w:szCs w:val="30"/>
        </w:rPr>
      </w:pPr>
    </w:p>
    <w:p w14:paraId="3DA72130">
      <w:pPr>
        <w:pStyle w:val="15"/>
        <w:pageBreakBefore w:val="0"/>
        <w:widowControl w:val="0"/>
        <w:kinsoku/>
        <w:wordWrap/>
        <w:overflowPunct w:val="0"/>
        <w:bidi w:val="0"/>
        <w:ind w:firstLine="600"/>
        <w:jc w:val="both"/>
        <w:textAlignment w:val="auto"/>
        <w:rPr>
          <w:rFonts w:ascii="宋体" w:hAnsi="宋体" w:eastAsia="宋体" w:cs="宋体"/>
          <w:color w:val="auto"/>
          <w:kern w:val="1"/>
          <w:sz w:val="30"/>
          <w:szCs w:val="30"/>
        </w:rPr>
      </w:pPr>
    </w:p>
    <w:p w14:paraId="559E4E52">
      <w:pPr>
        <w:pStyle w:val="3"/>
        <w:pageBreakBefore w:val="0"/>
        <w:widowControl w:val="0"/>
        <w:kinsoku/>
        <w:wordWrap/>
        <w:overflowPunct w:val="0"/>
        <w:bidi w:val="0"/>
        <w:jc w:val="both"/>
        <w:textAlignment w:val="auto"/>
        <w:rPr>
          <w:rFonts w:ascii="宋体" w:hAnsi="宋体" w:eastAsia="宋体" w:cs="宋体"/>
          <w:color w:val="auto"/>
          <w:kern w:val="1"/>
          <w:sz w:val="30"/>
          <w:szCs w:val="30"/>
        </w:rPr>
      </w:pPr>
    </w:p>
    <w:p w14:paraId="4E29AA46">
      <w:pPr>
        <w:pStyle w:val="3"/>
        <w:pageBreakBefore w:val="0"/>
        <w:widowControl w:val="0"/>
        <w:kinsoku/>
        <w:wordWrap/>
        <w:overflowPunct w:val="0"/>
        <w:bidi w:val="0"/>
        <w:jc w:val="both"/>
        <w:textAlignment w:val="auto"/>
        <w:rPr>
          <w:rFonts w:ascii="宋体" w:hAnsi="宋体" w:eastAsia="宋体" w:cs="宋体"/>
          <w:color w:val="auto"/>
          <w:kern w:val="1"/>
          <w:sz w:val="30"/>
          <w:szCs w:val="30"/>
        </w:rPr>
      </w:pPr>
    </w:p>
    <w:p w14:paraId="6878A7C5">
      <w:pPr>
        <w:pStyle w:val="22"/>
        <w:pageBreakBefore w:val="0"/>
        <w:widowControl w:val="0"/>
        <w:kinsoku/>
        <w:wordWrap/>
        <w:overflowPunct w:val="0"/>
        <w:bidi w:val="0"/>
        <w:jc w:val="both"/>
        <w:textAlignment w:val="auto"/>
        <w:rPr>
          <w:rFonts w:ascii="宋体" w:hAnsi="宋体" w:cs="宋体"/>
          <w:color w:val="auto"/>
          <w:kern w:val="1"/>
          <w:sz w:val="30"/>
          <w:szCs w:val="30"/>
        </w:rPr>
      </w:pPr>
    </w:p>
    <w:p w14:paraId="69CBA430">
      <w:pPr>
        <w:pStyle w:val="22"/>
        <w:pageBreakBefore w:val="0"/>
        <w:widowControl w:val="0"/>
        <w:kinsoku/>
        <w:wordWrap/>
        <w:overflowPunct w:val="0"/>
        <w:bidi w:val="0"/>
        <w:jc w:val="both"/>
        <w:textAlignment w:val="auto"/>
        <w:rPr>
          <w:rFonts w:ascii="宋体" w:hAnsi="宋体" w:cs="宋体"/>
          <w:color w:val="auto"/>
          <w:kern w:val="1"/>
          <w:sz w:val="30"/>
          <w:szCs w:val="30"/>
        </w:rPr>
      </w:pPr>
    </w:p>
    <w:p w14:paraId="150690FF">
      <w:pPr>
        <w:pageBreakBefore w:val="0"/>
        <w:widowControl w:val="0"/>
        <w:kinsoku/>
        <w:wordWrap/>
        <w:overflowPunct w:val="0"/>
        <w:bidi w:val="0"/>
        <w:spacing w:line="480" w:lineRule="exact"/>
        <w:jc w:val="center"/>
        <w:textAlignment w:val="auto"/>
        <w:rPr>
          <w:rFonts w:hint="eastAsia" w:ascii="宋体" w:hAnsi="宋体" w:eastAsia="宋体" w:cs="宋体"/>
          <w:b/>
          <w:color w:val="auto"/>
          <w:kern w:val="1"/>
          <w:sz w:val="28"/>
          <w:szCs w:val="28"/>
        </w:rPr>
      </w:pPr>
      <w:r>
        <w:rPr>
          <w:rFonts w:ascii="宋体" w:hAnsi="宋体" w:eastAsia="宋体" w:cs="宋体"/>
          <w:b/>
          <w:color w:val="auto"/>
          <w:kern w:val="1"/>
          <w:sz w:val="28"/>
          <w:szCs w:val="28"/>
        </w:rPr>
        <w:t>参加政府采购活动前三年内在经营活动中没有重大违法记录的书面声明</w:t>
      </w:r>
      <w:r>
        <w:rPr>
          <w:rFonts w:hint="eastAsia" w:ascii="宋体" w:hAnsi="宋体" w:eastAsia="宋体" w:cs="宋体"/>
          <w:b/>
          <w:color w:val="auto"/>
          <w:kern w:val="1"/>
          <w:sz w:val="28"/>
          <w:szCs w:val="28"/>
        </w:rPr>
        <w:t>（格式）</w:t>
      </w:r>
    </w:p>
    <w:p w14:paraId="66945230">
      <w:pPr>
        <w:keepNext w:val="0"/>
        <w:keepLines w:val="0"/>
        <w:pageBreakBefore w:val="0"/>
        <w:widowControl w:val="0"/>
        <w:kinsoku/>
        <w:wordWrap/>
        <w:overflowPunct w:val="0"/>
        <w:topLinePunct w:val="0"/>
        <w:autoSpaceDE/>
        <w:autoSpaceDN/>
        <w:bidi w:val="0"/>
        <w:adjustRightInd/>
        <w:snapToGrid/>
        <w:spacing w:before="156"/>
        <w:jc w:val="both"/>
        <w:textAlignment w:val="auto"/>
        <w:outlineLvl w:val="9"/>
        <w:rPr>
          <w:rFonts w:ascii="宋体" w:hAnsi="宋体" w:eastAsia="宋体" w:cs="宋体"/>
          <w:color w:val="auto"/>
          <w:kern w:val="1"/>
          <w:sz w:val="24"/>
        </w:rPr>
      </w:pPr>
    </w:p>
    <w:p w14:paraId="12367E25">
      <w:pPr>
        <w:keepNext w:val="0"/>
        <w:keepLines w:val="0"/>
        <w:pageBreakBefore w:val="0"/>
        <w:widowControl w:val="0"/>
        <w:kinsoku/>
        <w:wordWrap/>
        <w:overflowPunct w:val="0"/>
        <w:topLinePunct w:val="0"/>
        <w:autoSpaceDE/>
        <w:autoSpaceDN/>
        <w:bidi w:val="0"/>
        <w:adjustRightInd/>
        <w:snapToGrid/>
        <w:spacing w:line="480" w:lineRule="exact"/>
        <w:jc w:val="both"/>
        <w:textAlignment w:val="auto"/>
        <w:outlineLvl w:val="9"/>
        <w:rPr>
          <w:rFonts w:ascii="宋体" w:hAnsi="宋体" w:eastAsia="宋体" w:cs="宋体"/>
          <w:color w:val="auto"/>
          <w:kern w:val="1"/>
          <w:sz w:val="24"/>
          <w:szCs w:val="24"/>
        </w:rPr>
      </w:pPr>
      <w:r>
        <w:rPr>
          <w:rFonts w:ascii="宋体" w:hAnsi="宋体" w:eastAsia="宋体" w:cs="宋体"/>
          <w:color w:val="auto"/>
          <w:kern w:val="1"/>
          <w:sz w:val="24"/>
          <w:szCs w:val="24"/>
        </w:rPr>
        <w:t>致(采购代理机构)：</w:t>
      </w:r>
    </w:p>
    <w:p w14:paraId="1717DDE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我单位郑重声明，参加本政府采购项目前 3 年内在经营活动中没有重大违法记录（重大违法记录是指供应商因违法经营受到刑事处罚或责令停产停业、吊销许可证或者执照、较大数额等行政处罚）。</w:t>
      </w:r>
    </w:p>
    <w:p w14:paraId="29FC0F6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我单位对上述声明的真实性负责。如有虚假，将依法承担相应责任。</w:t>
      </w:r>
    </w:p>
    <w:p w14:paraId="767F10A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特此声明。</w:t>
      </w:r>
    </w:p>
    <w:p w14:paraId="315698A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214831C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5A1B9C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06E223A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481E0202">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6EA611F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1AE4A7D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A01141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7CAF6407">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1AB63C6C">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C69CF8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4EF5FE2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36F6600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3972A2F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7740FD4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 xml:space="preserve">供应商名称（单位章）： </w:t>
      </w:r>
    </w:p>
    <w:p w14:paraId="4209B5C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法定代表人或其委托代理人（签字）：</w:t>
      </w:r>
    </w:p>
    <w:p w14:paraId="009D096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日期： 年月日</w:t>
      </w:r>
    </w:p>
    <w:p w14:paraId="23E0B140">
      <w:pPr>
        <w:pStyle w:val="3"/>
        <w:pageBreakBefore w:val="0"/>
        <w:widowControl w:val="0"/>
        <w:kinsoku/>
        <w:wordWrap/>
        <w:overflowPunct w:val="0"/>
        <w:bidi w:val="0"/>
        <w:jc w:val="both"/>
        <w:textAlignment w:val="auto"/>
        <w:rPr>
          <w:rFonts w:ascii="宋体" w:hAnsi="宋体" w:eastAsia="宋体" w:cs="宋体"/>
          <w:color w:val="auto"/>
          <w:kern w:val="1"/>
          <w:sz w:val="30"/>
          <w:szCs w:val="30"/>
        </w:rPr>
      </w:pPr>
    </w:p>
    <w:p w14:paraId="0AD134EA">
      <w:pPr>
        <w:pageBreakBefore w:val="0"/>
        <w:widowControl w:val="0"/>
        <w:kinsoku/>
        <w:wordWrap/>
        <w:overflowPunct w:val="0"/>
        <w:bidi w:val="0"/>
        <w:jc w:val="both"/>
        <w:textAlignment w:val="auto"/>
        <w:rPr>
          <w:rFonts w:ascii="Times New Roman" w:hAnsi="Times New Roman" w:eastAsia="宋体" w:cs="Times New Roman"/>
          <w:color w:val="auto"/>
        </w:rPr>
      </w:pPr>
    </w:p>
    <w:p w14:paraId="79FCFFE2">
      <w:pPr>
        <w:pageBreakBefore w:val="0"/>
        <w:widowControl w:val="0"/>
        <w:kinsoku/>
        <w:wordWrap/>
        <w:overflowPunct w:val="0"/>
        <w:bidi w:val="0"/>
        <w:spacing w:line="480" w:lineRule="exact"/>
        <w:jc w:val="center"/>
        <w:textAlignment w:val="auto"/>
        <w:rPr>
          <w:rFonts w:ascii="宋体" w:hAnsi="宋体" w:eastAsia="宋体" w:cs="宋体"/>
          <w:b/>
          <w:color w:val="auto"/>
          <w:kern w:val="1"/>
          <w:sz w:val="32"/>
          <w:szCs w:val="32"/>
        </w:rPr>
      </w:pPr>
      <w:r>
        <w:rPr>
          <w:rFonts w:ascii="宋体" w:hAnsi="宋体" w:eastAsia="宋体" w:cs="宋体"/>
          <w:b/>
          <w:color w:val="auto"/>
          <w:kern w:val="1"/>
          <w:sz w:val="32"/>
          <w:szCs w:val="32"/>
        </w:rPr>
        <w:t>附件</w:t>
      </w:r>
      <w:r>
        <w:rPr>
          <w:rFonts w:hint="eastAsia" w:ascii="宋体" w:hAnsi="宋体" w:eastAsia="宋体" w:cs="宋体"/>
          <w:b/>
          <w:color w:val="auto"/>
          <w:kern w:val="1"/>
          <w:sz w:val="32"/>
          <w:szCs w:val="32"/>
        </w:rPr>
        <w:t>7</w:t>
      </w:r>
      <w:r>
        <w:rPr>
          <w:rFonts w:hint="eastAsia" w:ascii="宋体" w:hAnsi="宋体" w:eastAsia="宋体" w:cs="宋体"/>
          <w:b/>
          <w:color w:val="auto"/>
          <w:kern w:val="1"/>
          <w:sz w:val="32"/>
          <w:szCs w:val="32"/>
          <w:lang w:val="en-US" w:eastAsia="zh-CN"/>
        </w:rPr>
        <w:t xml:space="preserve">  </w:t>
      </w:r>
      <w:r>
        <w:rPr>
          <w:rFonts w:hint="eastAsia" w:ascii="宋体" w:hAnsi="宋体" w:eastAsia="宋体" w:cs="宋体"/>
          <w:b/>
          <w:color w:val="auto"/>
          <w:kern w:val="1"/>
          <w:sz w:val="32"/>
          <w:szCs w:val="32"/>
        </w:rPr>
        <w:t>磋商文件规定的特定资格条件证明资料</w:t>
      </w:r>
    </w:p>
    <w:p w14:paraId="2874FEEE">
      <w:pPr>
        <w:pageBreakBefore w:val="0"/>
        <w:widowControl w:val="0"/>
        <w:kinsoku/>
        <w:wordWrap/>
        <w:overflowPunct w:val="0"/>
        <w:bidi w:val="0"/>
        <w:spacing w:line="480" w:lineRule="exact"/>
        <w:jc w:val="both"/>
        <w:textAlignment w:val="auto"/>
        <w:rPr>
          <w:rFonts w:ascii="宋体" w:hAnsi="宋体" w:eastAsia="宋体" w:cs="宋体"/>
          <w:color w:val="auto"/>
          <w:kern w:val="1"/>
          <w:szCs w:val="21"/>
        </w:rPr>
      </w:pPr>
    </w:p>
    <w:p w14:paraId="16E66B4C">
      <w:pPr>
        <w:pageBreakBefore w:val="0"/>
        <w:widowControl w:val="0"/>
        <w:kinsoku/>
        <w:wordWrap/>
        <w:overflowPunct w:val="0"/>
        <w:bidi w:val="0"/>
        <w:spacing w:line="480" w:lineRule="exact"/>
        <w:ind w:firstLine="42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备注：提供第二章 磋商须知第3.1款供应商特定资格条件证明资料的复印件。</w:t>
      </w:r>
    </w:p>
    <w:p w14:paraId="6B69E7D3">
      <w:pPr>
        <w:pageBreakBefore w:val="0"/>
        <w:widowControl w:val="0"/>
        <w:kinsoku/>
        <w:wordWrap/>
        <w:overflowPunct w:val="0"/>
        <w:bidi w:val="0"/>
        <w:spacing w:line="480" w:lineRule="exact"/>
        <w:jc w:val="both"/>
        <w:textAlignment w:val="auto"/>
        <w:rPr>
          <w:rFonts w:ascii="宋体" w:hAnsi="宋体" w:eastAsia="宋体" w:cs="宋体"/>
          <w:color w:val="auto"/>
          <w:kern w:val="1"/>
          <w:szCs w:val="21"/>
        </w:rPr>
      </w:pPr>
    </w:p>
    <w:p w14:paraId="331FE57B">
      <w:pPr>
        <w:pageBreakBefore w:val="0"/>
        <w:widowControl w:val="0"/>
        <w:kinsoku/>
        <w:wordWrap/>
        <w:overflowPunct w:val="0"/>
        <w:bidi w:val="0"/>
        <w:spacing w:line="480" w:lineRule="exact"/>
        <w:jc w:val="both"/>
        <w:textAlignment w:val="auto"/>
        <w:rPr>
          <w:rFonts w:ascii="宋体" w:hAnsi="宋体" w:eastAsia="宋体" w:cs="宋体"/>
          <w:color w:val="auto"/>
          <w:kern w:val="1"/>
          <w:sz w:val="30"/>
          <w:szCs w:val="30"/>
        </w:rPr>
      </w:pPr>
    </w:p>
    <w:p w14:paraId="4F762830">
      <w:pPr>
        <w:pageBreakBefore w:val="0"/>
        <w:widowControl w:val="0"/>
        <w:kinsoku/>
        <w:wordWrap/>
        <w:overflowPunct w:val="0"/>
        <w:bidi w:val="0"/>
        <w:spacing w:line="480" w:lineRule="exact"/>
        <w:jc w:val="both"/>
        <w:textAlignment w:val="auto"/>
        <w:rPr>
          <w:rFonts w:ascii="宋体" w:hAnsi="宋体" w:eastAsia="宋体" w:cs="宋体"/>
          <w:color w:val="auto"/>
          <w:kern w:val="1"/>
          <w:sz w:val="30"/>
          <w:szCs w:val="30"/>
        </w:rPr>
      </w:pPr>
    </w:p>
    <w:p w14:paraId="1E9CBC47">
      <w:pPr>
        <w:pageBreakBefore w:val="0"/>
        <w:widowControl w:val="0"/>
        <w:kinsoku/>
        <w:wordWrap/>
        <w:overflowPunct w:val="0"/>
        <w:bidi w:val="0"/>
        <w:spacing w:line="480" w:lineRule="exact"/>
        <w:jc w:val="center"/>
        <w:textAlignment w:val="auto"/>
        <w:rPr>
          <w:rFonts w:ascii="宋体" w:hAnsi="宋体" w:eastAsia="宋体" w:cs="宋体"/>
          <w:b/>
          <w:color w:val="auto"/>
          <w:kern w:val="1"/>
          <w:sz w:val="32"/>
          <w:szCs w:val="32"/>
        </w:rPr>
      </w:pPr>
      <w:r>
        <w:rPr>
          <w:rFonts w:ascii="宋体" w:hAnsi="宋体" w:eastAsia="宋体" w:cs="宋体"/>
          <w:b/>
          <w:color w:val="auto"/>
          <w:kern w:val="1"/>
          <w:sz w:val="28"/>
          <w:szCs w:val="28"/>
        </w:rPr>
        <w:br w:type="page"/>
      </w:r>
      <w:r>
        <w:rPr>
          <w:rFonts w:ascii="宋体" w:hAnsi="宋体" w:eastAsia="宋体" w:cs="宋体"/>
          <w:b/>
          <w:color w:val="auto"/>
          <w:kern w:val="1"/>
          <w:sz w:val="32"/>
          <w:szCs w:val="32"/>
        </w:rPr>
        <w:t>附件</w:t>
      </w:r>
      <w:r>
        <w:rPr>
          <w:rFonts w:hint="eastAsia" w:ascii="宋体" w:hAnsi="宋体" w:eastAsia="宋体" w:cs="宋体"/>
          <w:b/>
          <w:color w:val="auto"/>
          <w:kern w:val="1"/>
          <w:sz w:val="32"/>
          <w:szCs w:val="32"/>
        </w:rPr>
        <w:t>8</w:t>
      </w:r>
      <w:r>
        <w:rPr>
          <w:rFonts w:hint="eastAsia" w:ascii="宋体" w:hAnsi="宋体" w:eastAsia="宋体" w:cs="宋体"/>
          <w:b/>
          <w:color w:val="auto"/>
          <w:kern w:val="1"/>
          <w:sz w:val="32"/>
          <w:szCs w:val="32"/>
          <w:lang w:val="en-US" w:eastAsia="zh-CN"/>
        </w:rPr>
        <w:t xml:space="preserve">  </w:t>
      </w:r>
      <w:r>
        <w:rPr>
          <w:rFonts w:hint="eastAsia" w:ascii="宋体" w:hAnsi="宋体" w:eastAsia="宋体" w:cs="宋体"/>
          <w:b/>
          <w:color w:val="auto"/>
          <w:kern w:val="1"/>
          <w:sz w:val="32"/>
          <w:szCs w:val="32"/>
        </w:rPr>
        <w:t>其他证明资料或说明</w:t>
      </w:r>
    </w:p>
    <w:p w14:paraId="4B142A78">
      <w:pPr>
        <w:pageBreakBefore w:val="0"/>
        <w:widowControl w:val="0"/>
        <w:kinsoku/>
        <w:wordWrap/>
        <w:overflowPunct w:val="0"/>
        <w:bidi w:val="0"/>
        <w:jc w:val="both"/>
        <w:textAlignment w:val="auto"/>
        <w:rPr>
          <w:rFonts w:ascii="宋体" w:hAnsi="宋体" w:eastAsia="宋体" w:cs="宋体"/>
          <w:color w:val="auto"/>
          <w:kern w:val="1"/>
          <w:szCs w:val="21"/>
        </w:rPr>
      </w:pPr>
    </w:p>
    <w:p w14:paraId="28E08322">
      <w:pPr>
        <w:pageBreakBefore w:val="0"/>
        <w:widowControl w:val="0"/>
        <w:kinsoku/>
        <w:wordWrap/>
        <w:overflowPunct w:val="0"/>
        <w:bidi w:val="0"/>
        <w:ind w:firstLine="480" w:firstLineChars="200"/>
        <w:jc w:val="both"/>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提供磋商文件或评分标准需要提供的相关证明文件复印件。</w:t>
      </w:r>
    </w:p>
    <w:p w14:paraId="22712A4A">
      <w:pPr>
        <w:pageBreakBefore w:val="0"/>
        <w:widowControl w:val="0"/>
        <w:kinsoku/>
        <w:wordWrap/>
        <w:overflowPunct w:val="0"/>
        <w:bidi w:val="0"/>
        <w:ind w:firstLine="420" w:firstLineChars="200"/>
        <w:jc w:val="both"/>
        <w:textAlignment w:val="auto"/>
        <w:rPr>
          <w:rFonts w:hint="eastAsia" w:ascii="宋体" w:hAnsi="宋体" w:eastAsia="宋体" w:cs="Times New Roman"/>
          <w:color w:val="auto"/>
          <w:szCs w:val="21"/>
        </w:rPr>
      </w:pPr>
    </w:p>
    <w:p w14:paraId="552326CD">
      <w:pPr>
        <w:pageBreakBefore w:val="0"/>
        <w:widowControl w:val="0"/>
        <w:kinsoku/>
        <w:wordWrap/>
        <w:overflowPunct w:val="0"/>
        <w:bidi w:val="0"/>
        <w:ind w:firstLine="420" w:firstLineChars="200"/>
        <w:jc w:val="both"/>
        <w:textAlignment w:val="auto"/>
        <w:rPr>
          <w:rFonts w:hint="eastAsia" w:ascii="宋体" w:hAnsi="宋体" w:eastAsia="宋体" w:cs="Times New Roman"/>
          <w:color w:val="auto"/>
          <w:szCs w:val="21"/>
        </w:rPr>
      </w:pPr>
    </w:p>
    <w:p w14:paraId="7C84E045">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19D8C4AC">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2B02AC32">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780E9004">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56277653">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15EF6931">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4643AF86">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61EF393A">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66C2F523">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768B402F">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12F0B070">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1E7A289D">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06AC73E8">
      <w:pPr>
        <w:pStyle w:val="15"/>
        <w:pageBreakBefore w:val="0"/>
        <w:widowControl w:val="0"/>
        <w:kinsoku/>
        <w:wordWrap/>
        <w:overflowPunct w:val="0"/>
        <w:bidi w:val="0"/>
        <w:ind w:firstLine="562"/>
        <w:jc w:val="both"/>
        <w:textAlignment w:val="auto"/>
        <w:rPr>
          <w:rFonts w:hint="eastAsia" w:ascii="宋体" w:hAnsi="宋体" w:eastAsia="宋体" w:cs="宋体"/>
          <w:b/>
          <w:color w:val="auto"/>
          <w:kern w:val="1"/>
          <w:sz w:val="28"/>
          <w:szCs w:val="28"/>
        </w:rPr>
      </w:pPr>
    </w:p>
    <w:p w14:paraId="4CFB502F">
      <w:pPr>
        <w:pStyle w:val="3"/>
        <w:pageBreakBefore w:val="0"/>
        <w:widowControl w:val="0"/>
        <w:kinsoku/>
        <w:wordWrap/>
        <w:overflowPunct w:val="0"/>
        <w:bidi w:val="0"/>
        <w:jc w:val="both"/>
        <w:textAlignment w:val="auto"/>
        <w:rPr>
          <w:rFonts w:hint="eastAsia" w:ascii="Times New Roman" w:hAnsi="Times New Roman" w:eastAsia="宋体" w:cs="Times New Roman"/>
          <w:color w:val="auto"/>
        </w:rPr>
      </w:pPr>
    </w:p>
    <w:p w14:paraId="67CCF950">
      <w:pPr>
        <w:pStyle w:val="14"/>
        <w:pageBreakBefore w:val="0"/>
        <w:widowControl w:val="0"/>
        <w:kinsoku/>
        <w:wordWrap/>
        <w:overflowPunct w:val="0"/>
        <w:bidi w:val="0"/>
        <w:ind w:firstLine="480"/>
        <w:jc w:val="both"/>
        <w:textAlignment w:val="auto"/>
        <w:rPr>
          <w:rFonts w:hint="eastAsia" w:ascii="Times New Roman" w:hAnsi="Times New Roman" w:eastAsia="宋体" w:cs="Times New Roman"/>
          <w:color w:val="auto"/>
        </w:rPr>
      </w:pPr>
    </w:p>
    <w:p w14:paraId="4AB35B41">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6E7783A1">
      <w:pPr>
        <w:pageBreakBefore w:val="0"/>
        <w:widowControl w:val="0"/>
        <w:kinsoku/>
        <w:wordWrap/>
        <w:overflowPunct w:val="0"/>
        <w:bidi w:val="0"/>
        <w:ind w:firstLine="562" w:firstLineChars="200"/>
        <w:jc w:val="both"/>
        <w:textAlignment w:val="auto"/>
        <w:rPr>
          <w:rFonts w:hint="eastAsia" w:ascii="宋体" w:hAnsi="宋体" w:eastAsia="宋体" w:cs="宋体"/>
          <w:b/>
          <w:color w:val="auto"/>
          <w:kern w:val="1"/>
          <w:sz w:val="28"/>
          <w:szCs w:val="28"/>
        </w:rPr>
      </w:pPr>
    </w:p>
    <w:p w14:paraId="570AD519">
      <w:pPr>
        <w:keepNext w:val="0"/>
        <w:keepLines w:val="0"/>
        <w:pageBreakBefore w:val="0"/>
        <w:widowControl w:val="0"/>
        <w:kinsoku/>
        <w:wordWrap/>
        <w:overflowPunct w:val="0"/>
        <w:topLinePunct w:val="0"/>
        <w:autoSpaceDE/>
        <w:autoSpaceDN/>
        <w:bidi w:val="0"/>
        <w:adjustRightInd/>
        <w:snapToGrid/>
        <w:jc w:val="center"/>
        <w:textAlignment w:val="auto"/>
        <w:outlineLvl w:val="1"/>
        <w:rPr>
          <w:rFonts w:hint="eastAsia" w:ascii="宋体" w:hAnsi="宋体" w:eastAsia="宋体" w:cs="宋体"/>
          <w:b/>
          <w:color w:val="auto"/>
          <w:kern w:val="1"/>
          <w:sz w:val="32"/>
          <w:szCs w:val="32"/>
        </w:rPr>
      </w:pPr>
      <w:r>
        <w:rPr>
          <w:rFonts w:hint="eastAsia" w:ascii="宋体" w:hAnsi="宋体" w:eastAsia="宋体" w:cs="宋体"/>
          <w:b/>
          <w:color w:val="auto"/>
          <w:kern w:val="1"/>
          <w:sz w:val="28"/>
          <w:szCs w:val="28"/>
        </w:rPr>
        <w:br w:type="page"/>
      </w:r>
      <w:bookmarkStart w:id="580" w:name="_Toc9111"/>
      <w:r>
        <w:rPr>
          <w:rFonts w:hint="eastAsia" w:ascii="宋体" w:hAnsi="宋体" w:eastAsia="宋体" w:cs="宋体"/>
          <w:b/>
          <w:color w:val="auto"/>
          <w:kern w:val="1"/>
          <w:sz w:val="32"/>
          <w:szCs w:val="32"/>
        </w:rPr>
        <w:t>五、施工组织设计</w:t>
      </w:r>
      <w:bookmarkEnd w:id="580"/>
    </w:p>
    <w:p w14:paraId="4DF0EC60">
      <w:pPr>
        <w:pageBreakBefore w:val="0"/>
        <w:widowControl w:val="0"/>
        <w:kinsoku/>
        <w:wordWrap/>
        <w:overflowPunct w:val="0"/>
        <w:bidi w:val="0"/>
        <w:spacing w:line="480" w:lineRule="exact"/>
        <w:jc w:val="both"/>
        <w:textAlignment w:val="auto"/>
        <w:rPr>
          <w:rFonts w:hint="eastAsia" w:ascii="宋体" w:hAnsi="宋体" w:eastAsia="宋体" w:cs="宋体"/>
          <w:b/>
          <w:color w:val="auto"/>
          <w:kern w:val="1"/>
          <w:sz w:val="28"/>
          <w:szCs w:val="28"/>
        </w:rPr>
      </w:pPr>
    </w:p>
    <w:p w14:paraId="68441CB6">
      <w:pPr>
        <w:pageBreakBefore w:val="0"/>
        <w:widowControl w:val="0"/>
        <w:kinsoku/>
        <w:wordWrap/>
        <w:overflowPunct w:val="0"/>
        <w:bidi w:val="0"/>
        <w:spacing w:line="4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
          <w:color w:val="auto"/>
          <w:kern w:val="1"/>
          <w:sz w:val="28"/>
          <w:szCs w:val="28"/>
        </w:rPr>
        <w:t>附件9</w:t>
      </w:r>
      <w:r>
        <w:rPr>
          <w:rFonts w:hint="eastAsia" w:ascii="宋体" w:hAnsi="宋体" w:eastAsia="宋体" w:cs="宋体"/>
          <w:b/>
          <w:color w:val="auto"/>
          <w:kern w:val="1"/>
          <w:sz w:val="28"/>
          <w:szCs w:val="28"/>
          <w:lang w:val="en-US" w:eastAsia="zh-CN"/>
        </w:rPr>
        <w:t xml:space="preserve">  施工组织设计</w:t>
      </w:r>
    </w:p>
    <w:p w14:paraId="4480DF98">
      <w:pPr>
        <w:pStyle w:val="8"/>
        <w:keepNext w:val="0"/>
        <w:keepLines w:val="0"/>
        <w:pageBreakBefore w:val="0"/>
        <w:widowControl w:val="0"/>
        <w:kinsoku/>
        <w:wordWrap/>
        <w:overflowPunct w:val="0"/>
        <w:topLinePunct w:val="0"/>
        <w:autoSpaceDE/>
        <w:autoSpaceDN/>
        <w:bidi w:val="0"/>
        <w:adjustRightInd/>
        <w:snapToGrid/>
        <w:ind w:firstLine="420"/>
        <w:jc w:val="both"/>
        <w:textAlignment w:val="auto"/>
        <w:outlineLvl w:val="9"/>
        <w:rPr>
          <w:rFonts w:hint="eastAsia" w:ascii="宋体" w:hAnsi="宋体" w:eastAsia="宋体" w:cs="宋体"/>
          <w:color w:val="auto"/>
          <w:sz w:val="21"/>
          <w:szCs w:val="21"/>
          <w:lang w:eastAsia="zh-CN"/>
        </w:rPr>
      </w:pPr>
      <w:r>
        <w:rPr>
          <w:rFonts w:ascii="宋体" w:hAnsi="宋体" w:eastAsia="宋体" w:cs="宋体"/>
          <w:bCs/>
          <w:color w:val="auto"/>
          <w:sz w:val="21"/>
          <w:szCs w:val="21"/>
        </w:rPr>
        <w:t>说明：</w:t>
      </w:r>
      <w:r>
        <w:rPr>
          <w:rFonts w:hint="eastAsia" w:ascii="宋体" w:hAnsi="宋体" w:eastAsia="宋体" w:cs="宋体"/>
          <w:bCs/>
          <w:color w:val="auto"/>
          <w:sz w:val="21"/>
          <w:szCs w:val="21"/>
        </w:rPr>
        <w:t>磋商</w:t>
      </w:r>
      <w:r>
        <w:rPr>
          <w:rFonts w:ascii="宋体" w:hAnsi="宋体" w:eastAsia="宋体" w:cs="宋体"/>
          <w:bCs/>
          <w:color w:val="auto"/>
          <w:sz w:val="21"/>
          <w:szCs w:val="21"/>
        </w:rPr>
        <w:t>供应商须根据项目特点编写技术标</w:t>
      </w:r>
      <w:r>
        <w:rPr>
          <w:rFonts w:hint="eastAsia" w:ascii="宋体" w:hAnsi="宋体" w:eastAsia="宋体" w:cs="宋体"/>
          <w:bCs/>
          <w:color w:val="auto"/>
          <w:sz w:val="21"/>
          <w:szCs w:val="21"/>
          <w:lang w:eastAsia="zh-CN"/>
        </w:rPr>
        <w:t>格式自拟。</w:t>
      </w:r>
    </w:p>
    <w:p w14:paraId="6E8FDDF4">
      <w:pPr>
        <w:pageBreakBefore w:val="0"/>
        <w:widowControl w:val="0"/>
        <w:kinsoku/>
        <w:wordWrap/>
        <w:overflowPunct w:val="0"/>
        <w:bidi w:val="0"/>
        <w:jc w:val="both"/>
        <w:textAlignment w:val="auto"/>
        <w:rPr>
          <w:rFonts w:ascii="宋体" w:hAnsi="宋体" w:eastAsia="宋体" w:cs="宋体"/>
          <w:color w:val="auto"/>
          <w:kern w:val="1"/>
          <w:szCs w:val="21"/>
        </w:rPr>
      </w:pPr>
    </w:p>
    <w:p w14:paraId="0A632E7C">
      <w:pPr>
        <w:pageBreakBefore w:val="0"/>
        <w:widowControl w:val="0"/>
        <w:kinsoku/>
        <w:wordWrap/>
        <w:overflowPunct w:val="0"/>
        <w:bidi w:val="0"/>
        <w:jc w:val="both"/>
        <w:textAlignment w:val="auto"/>
        <w:rPr>
          <w:rFonts w:ascii="宋体" w:hAnsi="宋体" w:eastAsia="宋体" w:cs="宋体"/>
          <w:color w:val="auto"/>
          <w:kern w:val="1"/>
          <w:szCs w:val="21"/>
        </w:rPr>
      </w:pPr>
    </w:p>
    <w:p w14:paraId="77F7425C">
      <w:pPr>
        <w:pStyle w:val="15"/>
        <w:pageBreakBefore w:val="0"/>
        <w:widowControl w:val="0"/>
        <w:kinsoku/>
        <w:wordWrap/>
        <w:overflowPunct w:val="0"/>
        <w:bidi w:val="0"/>
        <w:ind w:firstLine="400"/>
        <w:jc w:val="both"/>
        <w:textAlignment w:val="auto"/>
        <w:rPr>
          <w:rFonts w:ascii="宋体" w:hAnsi="宋体" w:eastAsia="宋体" w:cs="宋体"/>
          <w:color w:val="auto"/>
          <w:kern w:val="1"/>
          <w:szCs w:val="21"/>
        </w:rPr>
      </w:pPr>
    </w:p>
    <w:p w14:paraId="49AF697C">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79091806">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1B82AAFD">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76E9D430">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69D31300">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1681DA4F">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0B23397E">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2ED30CAC">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743E83CD">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7C6F1660">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065C5678">
      <w:pPr>
        <w:pStyle w:val="3"/>
        <w:pageBreakBefore w:val="0"/>
        <w:widowControl w:val="0"/>
        <w:kinsoku/>
        <w:wordWrap/>
        <w:overflowPunct w:val="0"/>
        <w:bidi w:val="0"/>
        <w:ind w:firstLine="0"/>
        <w:jc w:val="both"/>
        <w:textAlignment w:val="auto"/>
        <w:rPr>
          <w:rFonts w:ascii="宋体" w:hAnsi="宋体" w:eastAsia="宋体" w:cs="宋体"/>
          <w:color w:val="auto"/>
          <w:kern w:val="1"/>
          <w:szCs w:val="21"/>
        </w:rPr>
      </w:pPr>
    </w:p>
    <w:p w14:paraId="384D2B6F">
      <w:pPr>
        <w:pageBreakBefore w:val="0"/>
        <w:widowControl w:val="0"/>
        <w:kinsoku/>
        <w:wordWrap/>
        <w:overflowPunct w:val="0"/>
        <w:bidi w:val="0"/>
        <w:spacing w:line="480" w:lineRule="exact"/>
        <w:jc w:val="center"/>
        <w:textAlignment w:val="auto"/>
        <w:rPr>
          <w:rFonts w:ascii="宋体" w:hAnsi="宋体" w:eastAsia="宋体" w:cs="宋体"/>
          <w:b/>
          <w:color w:val="auto"/>
          <w:kern w:val="1"/>
          <w:sz w:val="28"/>
          <w:szCs w:val="28"/>
        </w:rPr>
      </w:pPr>
      <w:r>
        <w:rPr>
          <w:rFonts w:ascii="宋体" w:hAnsi="宋体" w:eastAsia="宋体" w:cs="宋体"/>
          <w:b/>
          <w:color w:val="auto"/>
          <w:kern w:val="1"/>
          <w:sz w:val="28"/>
          <w:szCs w:val="28"/>
        </w:rPr>
        <w:br w:type="page"/>
      </w:r>
      <w:r>
        <w:rPr>
          <w:rFonts w:ascii="宋体" w:hAnsi="宋体" w:eastAsia="宋体" w:cs="宋体"/>
          <w:b/>
          <w:color w:val="auto"/>
          <w:kern w:val="1"/>
          <w:sz w:val="28"/>
          <w:szCs w:val="28"/>
        </w:rPr>
        <w:t>附件</w:t>
      </w:r>
      <w:r>
        <w:rPr>
          <w:rFonts w:hint="eastAsia" w:ascii="宋体" w:hAnsi="宋体" w:eastAsia="宋体" w:cs="宋体"/>
          <w:b/>
          <w:color w:val="auto"/>
          <w:kern w:val="1"/>
          <w:sz w:val="28"/>
          <w:szCs w:val="28"/>
        </w:rPr>
        <w:t>10</w:t>
      </w:r>
      <w:r>
        <w:rPr>
          <w:rFonts w:ascii="宋体" w:hAnsi="宋体" w:eastAsia="宋体" w:cs="宋体"/>
          <w:b/>
          <w:color w:val="auto"/>
          <w:kern w:val="1"/>
          <w:sz w:val="28"/>
          <w:szCs w:val="28"/>
        </w:rPr>
        <w:t>：</w:t>
      </w:r>
      <w:r>
        <w:rPr>
          <w:rFonts w:hint="eastAsia" w:ascii="宋体" w:hAnsi="宋体" w:eastAsia="宋体" w:cs="宋体"/>
          <w:b/>
          <w:color w:val="auto"/>
          <w:kern w:val="1"/>
          <w:sz w:val="28"/>
          <w:szCs w:val="28"/>
          <w:lang w:val="en-US" w:eastAsia="zh-CN"/>
        </w:rPr>
        <w:t xml:space="preserve">  </w:t>
      </w:r>
      <w:r>
        <w:rPr>
          <w:rFonts w:ascii="宋体" w:hAnsi="宋体" w:eastAsia="宋体" w:cs="宋体"/>
          <w:b/>
          <w:color w:val="auto"/>
          <w:kern w:val="1"/>
          <w:sz w:val="28"/>
          <w:szCs w:val="28"/>
        </w:rPr>
        <w:t>项目负责人简历表</w:t>
      </w:r>
    </w:p>
    <w:p w14:paraId="6883BACC">
      <w:pPr>
        <w:pageBreakBefore w:val="0"/>
        <w:widowControl w:val="0"/>
        <w:kinsoku/>
        <w:wordWrap/>
        <w:overflowPunct w:val="0"/>
        <w:bidi w:val="0"/>
        <w:spacing w:line="360" w:lineRule="atLeast"/>
        <w:jc w:val="both"/>
        <w:textAlignment w:val="auto"/>
        <w:rPr>
          <w:rFonts w:ascii="宋体" w:hAnsi="宋体" w:eastAsia="宋体" w:cs="宋体"/>
          <w:color w:val="auto"/>
          <w:kern w:val="1"/>
          <w:szCs w:val="21"/>
        </w:rPr>
      </w:pPr>
    </w:p>
    <w:tbl>
      <w:tblPr>
        <w:tblStyle w:val="16"/>
        <w:tblW w:w="0" w:type="auto"/>
        <w:tblInd w:w="0" w:type="dxa"/>
        <w:tblLayout w:type="fixed"/>
        <w:tblCellMar>
          <w:top w:w="0" w:type="dxa"/>
          <w:left w:w="108" w:type="dxa"/>
          <w:bottom w:w="0" w:type="dxa"/>
          <w:right w:w="108" w:type="dxa"/>
        </w:tblCellMar>
      </w:tblPr>
      <w:tblGrid>
        <w:gridCol w:w="2193"/>
        <w:gridCol w:w="2664"/>
        <w:gridCol w:w="2526"/>
        <w:gridCol w:w="1795"/>
      </w:tblGrid>
      <w:tr w14:paraId="136F98D8">
        <w:tblPrEx>
          <w:tblCellMar>
            <w:top w:w="0" w:type="dxa"/>
            <w:left w:w="108" w:type="dxa"/>
            <w:bottom w:w="0" w:type="dxa"/>
            <w:right w:w="108" w:type="dxa"/>
          </w:tblCellMar>
        </w:tblPrEx>
        <w:trPr>
          <w:cantSplit/>
          <w:trHeight w:val="694" w:hRule="exact"/>
        </w:trPr>
        <w:tc>
          <w:tcPr>
            <w:tcW w:w="2193" w:type="dxa"/>
            <w:tcBorders>
              <w:top w:val="double" w:color="000000" w:sz="4" w:space="0"/>
              <w:left w:val="double" w:color="000000" w:sz="4" w:space="0"/>
              <w:bottom w:val="single" w:color="000000" w:sz="6" w:space="0"/>
              <w:right w:val="single" w:color="000000" w:sz="6" w:space="0"/>
            </w:tcBorders>
            <w:shd w:val="clear" w:color="FFFFFF" w:fill="FFFFFF"/>
            <w:noWrap w:val="0"/>
            <w:vAlign w:val="center"/>
          </w:tcPr>
          <w:p w14:paraId="642549A3">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姓   名</w:t>
            </w:r>
          </w:p>
        </w:tc>
        <w:tc>
          <w:tcPr>
            <w:tcW w:w="2664" w:type="dxa"/>
            <w:tcBorders>
              <w:top w:val="double" w:color="000000" w:sz="4" w:space="0"/>
              <w:left w:val="single" w:color="000000" w:sz="6" w:space="0"/>
              <w:bottom w:val="single" w:color="000000" w:sz="6" w:space="0"/>
              <w:right w:val="single" w:color="000000" w:sz="6" w:space="0"/>
            </w:tcBorders>
            <w:shd w:val="clear" w:color="FFFFFF" w:fill="FFFFFF"/>
            <w:noWrap w:val="0"/>
            <w:vAlign w:val="center"/>
          </w:tcPr>
          <w:p w14:paraId="1D9DB4C6">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c>
          <w:tcPr>
            <w:tcW w:w="2526" w:type="dxa"/>
            <w:tcBorders>
              <w:top w:val="double" w:color="000000" w:sz="4" w:space="0"/>
              <w:left w:val="single" w:color="000000" w:sz="6" w:space="0"/>
              <w:bottom w:val="single" w:color="000000" w:sz="6" w:space="0"/>
              <w:right w:val="single" w:color="000000" w:sz="6" w:space="0"/>
            </w:tcBorders>
            <w:shd w:val="clear" w:color="FFFFFF" w:fill="FFFFFF"/>
            <w:noWrap w:val="0"/>
            <w:vAlign w:val="center"/>
          </w:tcPr>
          <w:p w14:paraId="121967FE">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性  别</w:t>
            </w:r>
          </w:p>
        </w:tc>
        <w:tc>
          <w:tcPr>
            <w:tcW w:w="1795" w:type="dxa"/>
            <w:tcBorders>
              <w:top w:val="double" w:color="000000" w:sz="4" w:space="0"/>
              <w:left w:val="single" w:color="000000" w:sz="6" w:space="0"/>
              <w:bottom w:val="single" w:color="000000" w:sz="6" w:space="0"/>
              <w:right w:val="double" w:color="000000" w:sz="4" w:space="0"/>
            </w:tcBorders>
            <w:shd w:val="clear" w:color="FFFFFF" w:fill="FFFFFF"/>
            <w:noWrap w:val="0"/>
            <w:vAlign w:val="center"/>
          </w:tcPr>
          <w:p w14:paraId="010E8D27">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r>
      <w:tr w14:paraId="4FBE81C1">
        <w:tblPrEx>
          <w:tblCellMar>
            <w:top w:w="0" w:type="dxa"/>
            <w:left w:w="108" w:type="dxa"/>
            <w:bottom w:w="0" w:type="dxa"/>
            <w:right w:w="108" w:type="dxa"/>
          </w:tblCellMar>
        </w:tblPrEx>
        <w:trPr>
          <w:cantSplit/>
          <w:trHeight w:val="616" w:hRule="exact"/>
        </w:trPr>
        <w:tc>
          <w:tcPr>
            <w:tcW w:w="2193" w:type="dxa"/>
            <w:tcBorders>
              <w:top w:val="single" w:color="000000" w:sz="6" w:space="0"/>
              <w:left w:val="double" w:color="000000" w:sz="4" w:space="0"/>
              <w:bottom w:val="single" w:color="000000" w:sz="6" w:space="0"/>
              <w:right w:val="single" w:color="000000" w:sz="6" w:space="0"/>
            </w:tcBorders>
            <w:shd w:val="clear" w:color="FFFFFF" w:fill="FFFFFF"/>
            <w:noWrap w:val="0"/>
            <w:vAlign w:val="center"/>
          </w:tcPr>
          <w:p w14:paraId="5D3D787C">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职   务</w:t>
            </w:r>
          </w:p>
        </w:tc>
        <w:tc>
          <w:tcPr>
            <w:tcW w:w="2664" w:type="dxa"/>
            <w:tcBorders>
              <w:top w:val="single" w:color="000000" w:sz="6" w:space="0"/>
              <w:left w:val="single" w:color="000000" w:sz="6" w:space="0"/>
              <w:bottom w:val="single" w:color="000000" w:sz="6" w:space="0"/>
              <w:right w:val="single" w:color="000000" w:sz="6" w:space="0"/>
            </w:tcBorders>
            <w:shd w:val="clear" w:color="FFFFFF" w:fill="FFFFFF"/>
            <w:noWrap w:val="0"/>
            <w:vAlign w:val="center"/>
          </w:tcPr>
          <w:p w14:paraId="16640D5C">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c>
          <w:tcPr>
            <w:tcW w:w="2526" w:type="dxa"/>
            <w:tcBorders>
              <w:top w:val="single" w:color="000000" w:sz="6" w:space="0"/>
              <w:left w:val="single" w:color="000000" w:sz="6" w:space="0"/>
              <w:bottom w:val="single" w:color="000000" w:sz="6" w:space="0"/>
              <w:right w:val="single" w:color="000000" w:sz="6" w:space="0"/>
            </w:tcBorders>
            <w:shd w:val="clear" w:color="FFFFFF" w:fill="FFFFFF"/>
            <w:noWrap w:val="0"/>
            <w:vAlign w:val="center"/>
          </w:tcPr>
          <w:p w14:paraId="2435A23C">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职  称</w:t>
            </w:r>
          </w:p>
        </w:tc>
        <w:tc>
          <w:tcPr>
            <w:tcW w:w="1795" w:type="dxa"/>
            <w:tcBorders>
              <w:top w:val="single" w:color="000000" w:sz="6" w:space="0"/>
              <w:left w:val="single" w:color="000000" w:sz="6" w:space="0"/>
              <w:bottom w:val="single" w:color="000000" w:sz="6" w:space="0"/>
              <w:right w:val="double" w:color="000000" w:sz="4" w:space="0"/>
            </w:tcBorders>
            <w:shd w:val="clear" w:color="FFFFFF" w:fill="FFFFFF"/>
            <w:noWrap w:val="0"/>
            <w:vAlign w:val="center"/>
          </w:tcPr>
          <w:p w14:paraId="6CB11ADC">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r>
      <w:tr w14:paraId="635F77A3">
        <w:tblPrEx>
          <w:tblCellMar>
            <w:top w:w="0" w:type="dxa"/>
            <w:left w:w="108" w:type="dxa"/>
            <w:bottom w:w="0" w:type="dxa"/>
            <w:right w:w="108" w:type="dxa"/>
          </w:tblCellMar>
        </w:tblPrEx>
        <w:trPr>
          <w:cantSplit/>
          <w:trHeight w:val="624" w:hRule="exact"/>
        </w:trPr>
        <w:tc>
          <w:tcPr>
            <w:tcW w:w="2193" w:type="dxa"/>
            <w:tcBorders>
              <w:top w:val="single" w:color="000000" w:sz="6" w:space="0"/>
              <w:left w:val="double" w:color="000000" w:sz="4" w:space="0"/>
              <w:bottom w:val="single" w:color="000000" w:sz="6" w:space="0"/>
              <w:right w:val="single" w:color="000000" w:sz="6" w:space="0"/>
            </w:tcBorders>
            <w:shd w:val="clear" w:color="FFFFFF" w:fill="FFFFFF"/>
            <w:noWrap w:val="0"/>
            <w:vAlign w:val="center"/>
          </w:tcPr>
          <w:p w14:paraId="3BED78D4">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毕业学校、专业</w:t>
            </w:r>
          </w:p>
        </w:tc>
        <w:tc>
          <w:tcPr>
            <w:tcW w:w="6985" w:type="dxa"/>
            <w:gridSpan w:val="3"/>
            <w:tcBorders>
              <w:top w:val="single" w:color="000000" w:sz="6" w:space="0"/>
              <w:left w:val="single" w:color="000000" w:sz="6" w:space="0"/>
              <w:bottom w:val="single" w:color="000000" w:sz="6" w:space="0"/>
              <w:right w:val="double" w:color="000000" w:sz="4" w:space="0"/>
            </w:tcBorders>
            <w:shd w:val="clear" w:color="FFFFFF" w:fill="FFFFFF"/>
            <w:noWrap w:val="0"/>
            <w:vAlign w:val="center"/>
          </w:tcPr>
          <w:p w14:paraId="0F71B6A6">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r>
      <w:tr w14:paraId="303C55E6">
        <w:tblPrEx>
          <w:tblCellMar>
            <w:top w:w="0" w:type="dxa"/>
            <w:left w:w="108" w:type="dxa"/>
            <w:bottom w:w="0" w:type="dxa"/>
            <w:right w:w="108" w:type="dxa"/>
          </w:tblCellMar>
        </w:tblPrEx>
        <w:trPr>
          <w:cantSplit/>
          <w:trHeight w:val="775" w:hRule="exact"/>
        </w:trPr>
        <w:tc>
          <w:tcPr>
            <w:tcW w:w="2193" w:type="dxa"/>
            <w:tcBorders>
              <w:top w:val="single" w:color="000000" w:sz="6" w:space="0"/>
              <w:left w:val="double" w:color="000000" w:sz="4" w:space="0"/>
              <w:bottom w:val="single" w:color="000000" w:sz="6" w:space="0"/>
              <w:right w:val="single" w:color="000000" w:sz="6" w:space="0"/>
            </w:tcBorders>
            <w:shd w:val="clear" w:color="FFFFFF" w:fill="FFFFFF"/>
            <w:noWrap w:val="0"/>
            <w:vAlign w:val="center"/>
          </w:tcPr>
          <w:p w14:paraId="16229624">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身份证号</w:t>
            </w:r>
          </w:p>
        </w:tc>
        <w:tc>
          <w:tcPr>
            <w:tcW w:w="2664" w:type="dxa"/>
            <w:tcBorders>
              <w:top w:val="single" w:color="000000" w:sz="6" w:space="0"/>
              <w:left w:val="single" w:color="000000" w:sz="6" w:space="0"/>
              <w:bottom w:val="single" w:color="000000" w:sz="6" w:space="0"/>
              <w:right w:val="single" w:color="000000" w:sz="6" w:space="0"/>
            </w:tcBorders>
            <w:shd w:val="clear" w:color="FFFFFF" w:fill="FFFFFF"/>
            <w:noWrap w:val="0"/>
            <w:vAlign w:val="center"/>
          </w:tcPr>
          <w:p w14:paraId="0BBD4027">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c>
          <w:tcPr>
            <w:tcW w:w="2526" w:type="dxa"/>
            <w:tcBorders>
              <w:top w:val="single" w:color="000000" w:sz="6" w:space="0"/>
              <w:left w:val="single" w:color="000000" w:sz="6" w:space="0"/>
              <w:bottom w:val="single" w:color="000000" w:sz="6" w:space="0"/>
              <w:right w:val="single" w:color="000000" w:sz="6" w:space="0"/>
            </w:tcBorders>
            <w:shd w:val="clear" w:color="FFFFFF" w:fill="FFFFFF"/>
            <w:noWrap w:val="0"/>
            <w:vAlign w:val="center"/>
          </w:tcPr>
          <w:p w14:paraId="65007BEA">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拟在本合同任职</w:t>
            </w:r>
          </w:p>
        </w:tc>
        <w:tc>
          <w:tcPr>
            <w:tcW w:w="1795" w:type="dxa"/>
            <w:tcBorders>
              <w:top w:val="single" w:color="000000" w:sz="6" w:space="0"/>
              <w:left w:val="single" w:color="000000" w:sz="6" w:space="0"/>
              <w:bottom w:val="single" w:color="000000" w:sz="6" w:space="0"/>
              <w:right w:val="double" w:color="000000" w:sz="4" w:space="0"/>
            </w:tcBorders>
            <w:shd w:val="clear" w:color="FFFFFF" w:fill="FFFFFF"/>
            <w:noWrap w:val="0"/>
            <w:vAlign w:val="center"/>
          </w:tcPr>
          <w:p w14:paraId="291F6F31">
            <w:pPr>
              <w:pageBreakBefore w:val="0"/>
              <w:widowControl w:val="0"/>
              <w:kinsoku/>
              <w:wordWrap/>
              <w:overflowPunct w:val="0"/>
              <w:bidi w:val="0"/>
              <w:spacing w:line="360" w:lineRule="atLeast"/>
              <w:ind w:right="-105"/>
              <w:jc w:val="both"/>
              <w:textAlignment w:val="auto"/>
              <w:rPr>
                <w:rFonts w:ascii="宋体" w:hAnsi="宋体" w:eastAsia="宋体" w:cs="宋体"/>
                <w:color w:val="auto"/>
                <w:kern w:val="1"/>
              </w:rPr>
            </w:pPr>
          </w:p>
        </w:tc>
      </w:tr>
      <w:tr w14:paraId="7F198610">
        <w:tblPrEx>
          <w:tblCellMar>
            <w:top w:w="0" w:type="dxa"/>
            <w:left w:w="108" w:type="dxa"/>
            <w:bottom w:w="0" w:type="dxa"/>
            <w:right w:w="108" w:type="dxa"/>
          </w:tblCellMar>
        </w:tblPrEx>
        <w:trPr>
          <w:cantSplit/>
          <w:trHeight w:val="775" w:hRule="exact"/>
        </w:trPr>
        <w:tc>
          <w:tcPr>
            <w:tcW w:w="2193" w:type="dxa"/>
            <w:tcBorders>
              <w:top w:val="single" w:color="000000" w:sz="6" w:space="0"/>
              <w:left w:val="double" w:color="000000" w:sz="4" w:space="0"/>
              <w:bottom w:val="single" w:color="000000" w:sz="6" w:space="0"/>
              <w:right w:val="single" w:color="000000" w:sz="6" w:space="0"/>
            </w:tcBorders>
            <w:shd w:val="clear" w:color="FFFFFF" w:fill="FFFFFF"/>
            <w:noWrap w:val="0"/>
            <w:vAlign w:val="center"/>
          </w:tcPr>
          <w:p w14:paraId="70F56361">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执业资格证</w:t>
            </w:r>
          </w:p>
        </w:tc>
        <w:tc>
          <w:tcPr>
            <w:tcW w:w="2664" w:type="dxa"/>
            <w:tcBorders>
              <w:top w:val="single" w:color="000000" w:sz="6" w:space="0"/>
              <w:left w:val="single" w:color="000000" w:sz="6" w:space="0"/>
              <w:bottom w:val="single" w:color="000000" w:sz="6" w:space="0"/>
              <w:right w:val="single" w:color="000000" w:sz="6" w:space="0"/>
            </w:tcBorders>
            <w:shd w:val="clear" w:color="FFFFFF" w:fill="FFFFFF"/>
            <w:noWrap w:val="0"/>
            <w:vAlign w:val="center"/>
          </w:tcPr>
          <w:p w14:paraId="2647E17E">
            <w:pPr>
              <w:pageBreakBefore w:val="0"/>
              <w:widowControl w:val="0"/>
              <w:kinsoku/>
              <w:wordWrap/>
              <w:overflowPunct w:val="0"/>
              <w:bidi w:val="0"/>
              <w:spacing w:line="360" w:lineRule="atLeast"/>
              <w:jc w:val="both"/>
              <w:textAlignment w:val="auto"/>
              <w:rPr>
                <w:rFonts w:ascii="宋体" w:hAnsi="宋体" w:eastAsia="宋体" w:cs="宋体"/>
                <w:color w:val="auto"/>
                <w:kern w:val="1"/>
              </w:rPr>
            </w:pPr>
          </w:p>
        </w:tc>
        <w:tc>
          <w:tcPr>
            <w:tcW w:w="2526" w:type="dxa"/>
            <w:tcBorders>
              <w:top w:val="single" w:color="000000" w:sz="6" w:space="0"/>
              <w:left w:val="single" w:color="000000" w:sz="6" w:space="0"/>
              <w:bottom w:val="single" w:color="000000" w:sz="6" w:space="0"/>
              <w:right w:val="single" w:color="000000" w:sz="6" w:space="0"/>
            </w:tcBorders>
            <w:shd w:val="clear" w:color="FFFFFF" w:fill="FFFFFF"/>
            <w:noWrap w:val="0"/>
            <w:vAlign w:val="center"/>
          </w:tcPr>
          <w:p w14:paraId="45769881">
            <w:pPr>
              <w:pageBreakBefore w:val="0"/>
              <w:widowControl w:val="0"/>
              <w:kinsoku/>
              <w:wordWrap/>
              <w:overflowPunct w:val="0"/>
              <w:bidi w:val="0"/>
              <w:spacing w:line="360" w:lineRule="atLeast"/>
              <w:jc w:val="both"/>
              <w:textAlignment w:val="auto"/>
              <w:rPr>
                <w:rFonts w:ascii="宋体" w:hAnsi="宋体" w:eastAsia="宋体" w:cs="宋体"/>
                <w:color w:val="auto"/>
                <w:kern w:val="1"/>
              </w:rPr>
            </w:pPr>
            <w:r>
              <w:rPr>
                <w:rFonts w:ascii="宋体" w:hAnsi="宋体" w:eastAsia="宋体" w:cs="宋体"/>
                <w:color w:val="auto"/>
                <w:kern w:val="1"/>
              </w:rPr>
              <w:t>执业资格证书号</w:t>
            </w:r>
          </w:p>
        </w:tc>
        <w:tc>
          <w:tcPr>
            <w:tcW w:w="1795" w:type="dxa"/>
            <w:tcBorders>
              <w:top w:val="single" w:color="000000" w:sz="6" w:space="0"/>
              <w:left w:val="single" w:color="000000" w:sz="6" w:space="0"/>
              <w:bottom w:val="single" w:color="000000" w:sz="6" w:space="0"/>
              <w:right w:val="double" w:color="000000" w:sz="4" w:space="0"/>
            </w:tcBorders>
            <w:shd w:val="clear" w:color="FFFFFF" w:fill="FFFFFF"/>
            <w:noWrap w:val="0"/>
            <w:vAlign w:val="center"/>
          </w:tcPr>
          <w:p w14:paraId="4F0E3905">
            <w:pPr>
              <w:pageBreakBefore w:val="0"/>
              <w:widowControl w:val="0"/>
              <w:kinsoku/>
              <w:wordWrap/>
              <w:overflowPunct w:val="0"/>
              <w:bidi w:val="0"/>
              <w:spacing w:line="360" w:lineRule="atLeast"/>
              <w:ind w:right="-105"/>
              <w:jc w:val="both"/>
              <w:textAlignment w:val="auto"/>
              <w:rPr>
                <w:rFonts w:ascii="宋体" w:hAnsi="宋体" w:eastAsia="宋体" w:cs="宋体"/>
                <w:color w:val="auto"/>
                <w:kern w:val="1"/>
              </w:rPr>
            </w:pPr>
          </w:p>
        </w:tc>
      </w:tr>
    </w:tbl>
    <w:p w14:paraId="1F3F91D6">
      <w:pPr>
        <w:pageBreakBefore w:val="0"/>
        <w:widowControl w:val="0"/>
        <w:kinsoku/>
        <w:wordWrap/>
        <w:overflowPunct w:val="0"/>
        <w:bidi w:val="0"/>
        <w:spacing w:line="360" w:lineRule="atLeast"/>
        <w:ind w:right="23" w:rightChars="11"/>
        <w:jc w:val="both"/>
        <w:textAlignment w:val="auto"/>
        <w:rPr>
          <w:rFonts w:hint="eastAsia" w:ascii="仿宋_GB2312" w:hAnsi="Times New Roman" w:eastAsia="仿宋_GB2312" w:cs="Times New Roman"/>
          <w:color w:val="auto"/>
        </w:rPr>
      </w:pPr>
      <w:r>
        <w:rPr>
          <w:rFonts w:ascii="宋体" w:hAnsi="宋体" w:eastAsia="宋体" w:cs="宋体"/>
          <w:color w:val="auto"/>
          <w:kern w:val="1"/>
          <w:szCs w:val="21"/>
        </w:rPr>
        <w:t>说明</w:t>
      </w:r>
      <w:r>
        <w:rPr>
          <w:rFonts w:ascii="宋体" w:hAnsi="宋体" w:eastAsia="宋体" w:cs="宋体"/>
          <w:color w:val="auto"/>
          <w:kern w:val="1"/>
        </w:rPr>
        <w:t>：</w:t>
      </w:r>
      <w:r>
        <w:rPr>
          <w:rFonts w:hint="eastAsia" w:ascii="宋体" w:hAnsi="宋体" w:eastAsia="宋体" w:cs="宋体"/>
          <w:color w:val="auto"/>
          <w:kern w:val="1"/>
        </w:rPr>
        <w:t>1.</w:t>
      </w:r>
      <w:r>
        <w:rPr>
          <w:rFonts w:ascii="宋体" w:hAnsi="宋体" w:eastAsia="宋体" w:cs="宋体"/>
          <w:color w:val="auto"/>
          <w:kern w:val="1"/>
          <w:szCs w:val="21"/>
        </w:rPr>
        <w:t>项目负责人证书</w:t>
      </w:r>
      <w:r>
        <w:rPr>
          <w:rFonts w:hint="eastAsia" w:ascii="宋体" w:hAnsi="宋体" w:eastAsia="宋体" w:cs="宋体"/>
          <w:color w:val="auto"/>
          <w:kern w:val="1"/>
          <w:szCs w:val="21"/>
        </w:rPr>
        <w:t>、身份证、无在建证明</w:t>
      </w:r>
      <w:r>
        <w:rPr>
          <w:rFonts w:ascii="宋体" w:hAnsi="宋体" w:eastAsia="宋体" w:cs="宋体"/>
          <w:color w:val="auto"/>
          <w:kern w:val="1"/>
        </w:rPr>
        <w:t>等按磋商文件要求提供。</w:t>
      </w:r>
    </w:p>
    <w:p w14:paraId="44DB7C27">
      <w:pPr>
        <w:pageBreakBefore w:val="0"/>
        <w:widowControl w:val="0"/>
        <w:kinsoku/>
        <w:wordWrap/>
        <w:overflowPunct w:val="0"/>
        <w:bidi w:val="0"/>
        <w:spacing w:line="360" w:lineRule="atLeast"/>
        <w:ind w:firstLine="630" w:firstLineChars="300"/>
        <w:jc w:val="both"/>
        <w:textAlignment w:val="auto"/>
        <w:rPr>
          <w:rFonts w:ascii="宋体" w:hAnsi="宋体" w:eastAsia="宋体" w:cs="宋体"/>
          <w:color w:val="auto"/>
          <w:kern w:val="1"/>
        </w:rPr>
      </w:pPr>
      <w:r>
        <w:rPr>
          <w:rFonts w:hint="eastAsia" w:ascii="宋体" w:hAnsi="宋体" w:eastAsia="宋体" w:cs="宋体"/>
          <w:color w:val="auto"/>
          <w:kern w:val="1"/>
        </w:rPr>
        <w:t>2.</w:t>
      </w:r>
      <w:r>
        <w:rPr>
          <w:rFonts w:hint="eastAsia" w:ascii="宋体" w:hAnsi="宋体" w:eastAsia="宋体" w:cs="宋体"/>
          <w:color w:val="auto"/>
          <w:kern w:val="1"/>
          <w:szCs w:val="21"/>
        </w:rPr>
        <w:t>无在建证明提供承诺书或</w:t>
      </w:r>
      <w:r>
        <w:rPr>
          <w:rFonts w:ascii="宋体" w:hAnsi="宋体" w:eastAsia="宋体" w:cs="宋体"/>
          <w:color w:val="auto"/>
          <w:kern w:val="1"/>
          <w:szCs w:val="21"/>
        </w:rPr>
        <w:t>官方网站查询</w:t>
      </w:r>
      <w:r>
        <w:rPr>
          <w:rFonts w:hint="eastAsia" w:ascii="宋体" w:hAnsi="宋体" w:eastAsia="宋体" w:cs="宋体"/>
          <w:color w:val="auto"/>
          <w:kern w:val="1"/>
          <w:szCs w:val="21"/>
        </w:rPr>
        <w:t>的相关信息的网页</w:t>
      </w:r>
      <w:r>
        <w:rPr>
          <w:rFonts w:ascii="宋体" w:hAnsi="宋体" w:eastAsia="宋体" w:cs="宋体"/>
          <w:color w:val="auto"/>
          <w:kern w:val="1"/>
          <w:szCs w:val="21"/>
        </w:rPr>
        <w:t>截图</w:t>
      </w:r>
      <w:r>
        <w:rPr>
          <w:rFonts w:hint="eastAsia" w:ascii="宋体" w:hAnsi="宋体" w:eastAsia="宋体" w:cs="宋体"/>
          <w:color w:val="auto"/>
          <w:kern w:val="1"/>
          <w:szCs w:val="21"/>
        </w:rPr>
        <w:t>，</w:t>
      </w:r>
      <w:r>
        <w:rPr>
          <w:rFonts w:hint="eastAsia" w:ascii="宋体" w:hAnsi="宋体" w:eastAsia="宋体" w:cs="宋体"/>
          <w:color w:val="auto"/>
          <w:kern w:val="1"/>
        </w:rPr>
        <w:t>如项目负责人目前仍在其他项目上任职</w:t>
      </w:r>
      <w:r>
        <w:rPr>
          <w:rFonts w:hint="eastAsia" w:ascii="宋体" w:hAnsi="宋体" w:eastAsia="宋体" w:cs="宋体"/>
          <w:color w:val="auto"/>
          <w:kern w:val="1"/>
          <w:szCs w:val="21"/>
        </w:rPr>
        <w:t>但本项目中标后能够从该项目撤离的</w:t>
      </w:r>
      <w:r>
        <w:rPr>
          <w:rFonts w:hint="eastAsia" w:ascii="宋体" w:hAnsi="宋体" w:eastAsia="宋体" w:cs="宋体"/>
          <w:color w:val="auto"/>
          <w:kern w:val="1"/>
        </w:rPr>
        <w:t>，则供应商应提供由该项目发包人出具的、承诺上述人员能够从该项目撤离的书面证明材料原件。</w:t>
      </w:r>
    </w:p>
    <w:p w14:paraId="439CEC6E">
      <w:pPr>
        <w:pageBreakBefore w:val="0"/>
        <w:widowControl w:val="0"/>
        <w:kinsoku/>
        <w:wordWrap/>
        <w:overflowPunct w:val="0"/>
        <w:bidi w:val="0"/>
        <w:jc w:val="both"/>
        <w:textAlignment w:val="auto"/>
        <w:rPr>
          <w:rFonts w:ascii="宋体" w:hAnsi="宋体" w:eastAsia="宋体" w:cs="宋体"/>
          <w:color w:val="auto"/>
          <w:kern w:val="1"/>
          <w:szCs w:val="21"/>
        </w:rPr>
      </w:pPr>
    </w:p>
    <w:p w14:paraId="34D70B0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3F272C2D">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6788373E">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4B94041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268DB00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7D2690C">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0484336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3E5A367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894C0C4">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1D05494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9DACAC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0FEFCEEB">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 xml:space="preserve">供应商名称（单位章）： </w:t>
      </w:r>
    </w:p>
    <w:p w14:paraId="0867990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法定代表人或其委托代理人（签字）：</w:t>
      </w:r>
    </w:p>
    <w:p w14:paraId="58D34CB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日期： 年月日</w:t>
      </w:r>
    </w:p>
    <w:p w14:paraId="3AD0004C">
      <w:pPr>
        <w:keepNext w:val="0"/>
        <w:keepLines w:val="0"/>
        <w:pageBreakBefore w:val="0"/>
        <w:widowControl w:val="0"/>
        <w:kinsoku/>
        <w:wordWrap/>
        <w:overflowPunct w:val="0"/>
        <w:topLinePunct w:val="0"/>
        <w:autoSpaceDE/>
        <w:autoSpaceDN/>
        <w:bidi w:val="0"/>
        <w:jc w:val="center"/>
        <w:textAlignment w:val="auto"/>
        <w:outlineLvl w:val="1"/>
        <w:rPr>
          <w:rFonts w:ascii="宋体" w:hAnsi="宋体" w:eastAsia="宋体" w:cs="宋体"/>
          <w:b/>
          <w:color w:val="auto"/>
          <w:kern w:val="1"/>
          <w:sz w:val="32"/>
          <w:szCs w:val="32"/>
        </w:rPr>
      </w:pPr>
      <w:r>
        <w:rPr>
          <w:rFonts w:ascii="宋体" w:hAnsi="宋体" w:eastAsia="宋体" w:cs="宋体"/>
          <w:color w:val="auto"/>
          <w:kern w:val="1"/>
        </w:rPr>
        <w:br w:type="page"/>
      </w:r>
      <w:bookmarkStart w:id="581" w:name="_Toc7584"/>
      <w:r>
        <w:rPr>
          <w:rFonts w:hint="eastAsia" w:ascii="宋体" w:hAnsi="宋体" w:eastAsia="宋体" w:cs="宋体"/>
          <w:b/>
          <w:color w:val="auto"/>
          <w:kern w:val="1"/>
          <w:sz w:val="32"/>
          <w:szCs w:val="32"/>
        </w:rPr>
        <w:t>六、技术/商务响应与偏离表</w:t>
      </w:r>
      <w:bookmarkEnd w:id="581"/>
    </w:p>
    <w:p w14:paraId="29DE0FBD">
      <w:pPr>
        <w:pageBreakBefore w:val="0"/>
        <w:widowControl w:val="0"/>
        <w:kinsoku/>
        <w:wordWrap/>
        <w:overflowPunct w:val="0"/>
        <w:bidi w:val="0"/>
        <w:ind w:left="-88" w:firstLine="315"/>
        <w:jc w:val="both"/>
        <w:textAlignment w:val="auto"/>
        <w:rPr>
          <w:rFonts w:ascii="宋体" w:hAnsi="宋体" w:eastAsia="宋体" w:cs="宋体"/>
          <w:color w:val="auto"/>
          <w:kern w:val="1"/>
          <w:szCs w:val="21"/>
          <w:u w:val="single"/>
        </w:rPr>
      </w:pPr>
    </w:p>
    <w:tbl>
      <w:tblPr>
        <w:tblStyle w:val="16"/>
        <w:tblW w:w="0" w:type="auto"/>
        <w:tblInd w:w="28" w:type="dxa"/>
        <w:tblLayout w:type="fixed"/>
        <w:tblCellMar>
          <w:top w:w="0" w:type="dxa"/>
          <w:left w:w="28" w:type="dxa"/>
          <w:bottom w:w="0" w:type="dxa"/>
          <w:right w:w="28" w:type="dxa"/>
        </w:tblCellMar>
      </w:tblPr>
      <w:tblGrid>
        <w:gridCol w:w="679"/>
        <w:gridCol w:w="1803"/>
        <w:gridCol w:w="2085"/>
        <w:gridCol w:w="2783"/>
        <w:gridCol w:w="1299"/>
        <w:gridCol w:w="708"/>
      </w:tblGrid>
      <w:tr w14:paraId="555E729B">
        <w:tblPrEx>
          <w:tblCellMar>
            <w:top w:w="0" w:type="dxa"/>
            <w:left w:w="28" w:type="dxa"/>
            <w:bottom w:w="0" w:type="dxa"/>
            <w:right w:w="28" w:type="dxa"/>
          </w:tblCellMar>
        </w:tblPrEx>
        <w:trPr>
          <w:trHeight w:val="532" w:hRule="atLeast"/>
        </w:trPr>
        <w:tc>
          <w:tcPr>
            <w:tcW w:w="679" w:type="dxa"/>
            <w:tcBorders>
              <w:top w:val="double" w:color="000000" w:sz="4" w:space="0"/>
              <w:left w:val="double" w:color="000000" w:sz="4" w:space="0"/>
              <w:bottom w:val="single" w:color="000000" w:sz="6" w:space="0"/>
              <w:right w:val="single" w:color="000000" w:sz="6" w:space="0"/>
            </w:tcBorders>
            <w:noWrap w:val="0"/>
            <w:vAlign w:val="center"/>
          </w:tcPr>
          <w:p w14:paraId="088B8992">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r>
              <w:rPr>
                <w:rFonts w:hint="eastAsia" w:ascii="宋体" w:hAnsi="宋体" w:eastAsia="宋体" w:cs="宋体"/>
                <w:color w:val="auto"/>
                <w:kern w:val="1"/>
                <w:szCs w:val="21"/>
              </w:rPr>
              <w:t>序号</w:t>
            </w:r>
          </w:p>
        </w:tc>
        <w:tc>
          <w:tcPr>
            <w:tcW w:w="1803" w:type="dxa"/>
            <w:tcBorders>
              <w:top w:val="double" w:color="000000" w:sz="4" w:space="0"/>
              <w:left w:val="single" w:color="000000" w:sz="6" w:space="0"/>
              <w:bottom w:val="single" w:color="000000" w:sz="6" w:space="0"/>
              <w:right w:val="single" w:color="000000" w:sz="6" w:space="0"/>
            </w:tcBorders>
            <w:noWrap w:val="0"/>
            <w:vAlign w:val="center"/>
          </w:tcPr>
          <w:p w14:paraId="36E7D50D">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r>
              <w:rPr>
                <w:rFonts w:hint="eastAsia" w:ascii="宋体" w:hAnsi="宋体" w:eastAsia="宋体" w:cs="宋体"/>
                <w:color w:val="auto"/>
                <w:kern w:val="1"/>
                <w:szCs w:val="21"/>
              </w:rPr>
              <w:t>磋商文件条目号</w:t>
            </w:r>
          </w:p>
        </w:tc>
        <w:tc>
          <w:tcPr>
            <w:tcW w:w="2085" w:type="dxa"/>
            <w:tcBorders>
              <w:top w:val="double" w:color="000000" w:sz="4" w:space="0"/>
              <w:left w:val="single" w:color="000000" w:sz="6" w:space="0"/>
              <w:bottom w:val="single" w:color="000000" w:sz="6" w:space="0"/>
              <w:right w:val="single" w:color="000000" w:sz="6" w:space="0"/>
            </w:tcBorders>
            <w:noWrap w:val="0"/>
            <w:vAlign w:val="center"/>
          </w:tcPr>
          <w:p w14:paraId="211058A3">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r>
              <w:rPr>
                <w:rFonts w:hint="eastAsia" w:ascii="宋体" w:hAnsi="宋体" w:eastAsia="宋体" w:cs="宋体"/>
                <w:color w:val="auto"/>
                <w:kern w:val="1"/>
                <w:szCs w:val="21"/>
              </w:rPr>
              <w:t>采购规格/商务条款</w:t>
            </w:r>
          </w:p>
        </w:tc>
        <w:tc>
          <w:tcPr>
            <w:tcW w:w="2783" w:type="dxa"/>
            <w:tcBorders>
              <w:top w:val="double" w:color="000000" w:sz="4" w:space="0"/>
              <w:left w:val="single" w:color="000000" w:sz="6" w:space="0"/>
              <w:bottom w:val="single" w:color="000000" w:sz="6" w:space="0"/>
              <w:right w:val="single" w:color="000000" w:sz="6" w:space="0"/>
            </w:tcBorders>
            <w:noWrap w:val="0"/>
            <w:vAlign w:val="center"/>
          </w:tcPr>
          <w:p w14:paraId="7B899ADD">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r>
              <w:rPr>
                <w:rFonts w:hint="eastAsia" w:ascii="宋体" w:hAnsi="宋体" w:eastAsia="宋体" w:cs="宋体"/>
                <w:color w:val="auto"/>
                <w:kern w:val="1"/>
                <w:szCs w:val="21"/>
              </w:rPr>
              <w:t>响应文件的规格/商务条款</w:t>
            </w:r>
          </w:p>
        </w:tc>
        <w:tc>
          <w:tcPr>
            <w:tcW w:w="1299" w:type="dxa"/>
            <w:tcBorders>
              <w:top w:val="double" w:color="000000" w:sz="4" w:space="0"/>
              <w:left w:val="single" w:color="000000" w:sz="6" w:space="0"/>
              <w:bottom w:val="single" w:color="000000" w:sz="6" w:space="0"/>
              <w:right w:val="single" w:color="000000" w:sz="6" w:space="0"/>
            </w:tcBorders>
            <w:noWrap w:val="0"/>
            <w:vAlign w:val="center"/>
          </w:tcPr>
          <w:p w14:paraId="4CD35FDB">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r>
              <w:rPr>
                <w:rFonts w:hint="eastAsia" w:ascii="宋体" w:hAnsi="宋体" w:eastAsia="宋体" w:cs="宋体"/>
                <w:color w:val="auto"/>
                <w:kern w:val="1"/>
                <w:szCs w:val="21"/>
              </w:rPr>
              <w:t>响应与偏离</w:t>
            </w:r>
          </w:p>
        </w:tc>
        <w:tc>
          <w:tcPr>
            <w:tcW w:w="708" w:type="dxa"/>
            <w:tcBorders>
              <w:top w:val="double" w:color="000000" w:sz="4" w:space="0"/>
              <w:left w:val="single" w:color="000000" w:sz="6" w:space="0"/>
              <w:bottom w:val="single" w:color="000000" w:sz="6" w:space="0"/>
              <w:right w:val="double" w:color="000000" w:sz="4" w:space="0"/>
            </w:tcBorders>
            <w:noWrap w:val="0"/>
            <w:vAlign w:val="center"/>
          </w:tcPr>
          <w:p w14:paraId="7A41B3FB">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r>
              <w:rPr>
                <w:rFonts w:hint="eastAsia" w:ascii="宋体" w:hAnsi="宋体" w:eastAsia="宋体" w:cs="宋体"/>
                <w:color w:val="auto"/>
                <w:kern w:val="1"/>
                <w:szCs w:val="21"/>
              </w:rPr>
              <w:t>说明</w:t>
            </w:r>
          </w:p>
        </w:tc>
      </w:tr>
      <w:tr w14:paraId="3137B649">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noWrap w:val="0"/>
            <w:vAlign w:val="center"/>
          </w:tcPr>
          <w:p w14:paraId="49D60703">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803" w:type="dxa"/>
            <w:tcBorders>
              <w:top w:val="single" w:color="000000" w:sz="6" w:space="0"/>
              <w:left w:val="single" w:color="000000" w:sz="6" w:space="0"/>
              <w:bottom w:val="single" w:color="000000" w:sz="6" w:space="0"/>
              <w:right w:val="single" w:color="000000" w:sz="6" w:space="0"/>
            </w:tcBorders>
            <w:noWrap w:val="0"/>
            <w:vAlign w:val="center"/>
          </w:tcPr>
          <w:p w14:paraId="4CB464C7">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085" w:type="dxa"/>
            <w:tcBorders>
              <w:top w:val="single" w:color="000000" w:sz="6" w:space="0"/>
              <w:left w:val="single" w:color="000000" w:sz="6" w:space="0"/>
              <w:bottom w:val="single" w:color="000000" w:sz="6" w:space="0"/>
              <w:right w:val="single" w:color="000000" w:sz="6" w:space="0"/>
            </w:tcBorders>
            <w:noWrap w:val="0"/>
            <w:vAlign w:val="center"/>
          </w:tcPr>
          <w:p w14:paraId="6C1E2E9E">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783" w:type="dxa"/>
            <w:tcBorders>
              <w:top w:val="single" w:color="000000" w:sz="6" w:space="0"/>
              <w:left w:val="single" w:color="000000" w:sz="6" w:space="0"/>
              <w:bottom w:val="single" w:color="000000" w:sz="6" w:space="0"/>
              <w:right w:val="single" w:color="000000" w:sz="6" w:space="0"/>
            </w:tcBorders>
            <w:noWrap w:val="0"/>
            <w:vAlign w:val="center"/>
          </w:tcPr>
          <w:p w14:paraId="1A727F54">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299" w:type="dxa"/>
            <w:tcBorders>
              <w:top w:val="single" w:color="000000" w:sz="6" w:space="0"/>
              <w:left w:val="single" w:color="000000" w:sz="6" w:space="0"/>
              <w:bottom w:val="single" w:color="000000" w:sz="6" w:space="0"/>
              <w:right w:val="single" w:color="000000" w:sz="6" w:space="0"/>
            </w:tcBorders>
            <w:noWrap w:val="0"/>
            <w:vAlign w:val="center"/>
          </w:tcPr>
          <w:p w14:paraId="6A4BE5A4">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708" w:type="dxa"/>
            <w:tcBorders>
              <w:top w:val="single" w:color="000000" w:sz="6" w:space="0"/>
              <w:left w:val="single" w:color="000000" w:sz="6" w:space="0"/>
              <w:bottom w:val="single" w:color="000000" w:sz="6" w:space="0"/>
              <w:right w:val="double" w:color="000000" w:sz="4" w:space="0"/>
            </w:tcBorders>
            <w:noWrap w:val="0"/>
            <w:vAlign w:val="center"/>
          </w:tcPr>
          <w:p w14:paraId="688CEBD2">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r>
      <w:tr w14:paraId="67D4BD42">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noWrap w:val="0"/>
            <w:vAlign w:val="center"/>
          </w:tcPr>
          <w:p w14:paraId="6A9FFE54">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803" w:type="dxa"/>
            <w:tcBorders>
              <w:top w:val="single" w:color="000000" w:sz="6" w:space="0"/>
              <w:left w:val="single" w:color="000000" w:sz="6" w:space="0"/>
              <w:bottom w:val="single" w:color="000000" w:sz="6" w:space="0"/>
              <w:right w:val="single" w:color="000000" w:sz="6" w:space="0"/>
            </w:tcBorders>
            <w:noWrap w:val="0"/>
            <w:vAlign w:val="center"/>
          </w:tcPr>
          <w:p w14:paraId="5E60C5CB">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085" w:type="dxa"/>
            <w:tcBorders>
              <w:top w:val="single" w:color="000000" w:sz="6" w:space="0"/>
              <w:left w:val="single" w:color="000000" w:sz="6" w:space="0"/>
              <w:bottom w:val="single" w:color="000000" w:sz="6" w:space="0"/>
              <w:right w:val="single" w:color="000000" w:sz="6" w:space="0"/>
            </w:tcBorders>
            <w:noWrap w:val="0"/>
            <w:vAlign w:val="center"/>
          </w:tcPr>
          <w:p w14:paraId="4569425C">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783" w:type="dxa"/>
            <w:tcBorders>
              <w:top w:val="single" w:color="000000" w:sz="6" w:space="0"/>
              <w:left w:val="single" w:color="000000" w:sz="6" w:space="0"/>
              <w:bottom w:val="single" w:color="000000" w:sz="6" w:space="0"/>
              <w:right w:val="single" w:color="000000" w:sz="6" w:space="0"/>
            </w:tcBorders>
            <w:noWrap w:val="0"/>
            <w:vAlign w:val="center"/>
          </w:tcPr>
          <w:p w14:paraId="33008E42">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299" w:type="dxa"/>
            <w:tcBorders>
              <w:top w:val="single" w:color="000000" w:sz="6" w:space="0"/>
              <w:left w:val="single" w:color="000000" w:sz="6" w:space="0"/>
              <w:bottom w:val="single" w:color="000000" w:sz="6" w:space="0"/>
              <w:right w:val="single" w:color="000000" w:sz="6" w:space="0"/>
            </w:tcBorders>
            <w:noWrap w:val="0"/>
            <w:vAlign w:val="center"/>
          </w:tcPr>
          <w:p w14:paraId="32043273">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708" w:type="dxa"/>
            <w:tcBorders>
              <w:top w:val="single" w:color="000000" w:sz="6" w:space="0"/>
              <w:left w:val="single" w:color="000000" w:sz="6" w:space="0"/>
              <w:bottom w:val="single" w:color="000000" w:sz="6" w:space="0"/>
              <w:right w:val="double" w:color="000000" w:sz="4" w:space="0"/>
            </w:tcBorders>
            <w:noWrap w:val="0"/>
            <w:vAlign w:val="center"/>
          </w:tcPr>
          <w:p w14:paraId="7D35D294">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r>
      <w:tr w14:paraId="45076CC4">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noWrap w:val="0"/>
            <w:vAlign w:val="center"/>
          </w:tcPr>
          <w:p w14:paraId="7EBE2E90">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803" w:type="dxa"/>
            <w:tcBorders>
              <w:top w:val="single" w:color="000000" w:sz="6" w:space="0"/>
              <w:left w:val="single" w:color="000000" w:sz="6" w:space="0"/>
              <w:bottom w:val="single" w:color="000000" w:sz="6" w:space="0"/>
              <w:right w:val="single" w:color="000000" w:sz="6" w:space="0"/>
            </w:tcBorders>
            <w:noWrap w:val="0"/>
            <w:vAlign w:val="center"/>
          </w:tcPr>
          <w:p w14:paraId="545BF976">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085" w:type="dxa"/>
            <w:tcBorders>
              <w:top w:val="single" w:color="000000" w:sz="6" w:space="0"/>
              <w:left w:val="single" w:color="000000" w:sz="6" w:space="0"/>
              <w:bottom w:val="single" w:color="000000" w:sz="6" w:space="0"/>
              <w:right w:val="single" w:color="000000" w:sz="6" w:space="0"/>
            </w:tcBorders>
            <w:noWrap w:val="0"/>
            <w:vAlign w:val="center"/>
          </w:tcPr>
          <w:p w14:paraId="42D251A1">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783" w:type="dxa"/>
            <w:tcBorders>
              <w:top w:val="single" w:color="000000" w:sz="6" w:space="0"/>
              <w:left w:val="single" w:color="000000" w:sz="6" w:space="0"/>
              <w:bottom w:val="single" w:color="000000" w:sz="6" w:space="0"/>
              <w:right w:val="single" w:color="000000" w:sz="6" w:space="0"/>
            </w:tcBorders>
            <w:noWrap w:val="0"/>
            <w:vAlign w:val="center"/>
          </w:tcPr>
          <w:p w14:paraId="30C5449D">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299" w:type="dxa"/>
            <w:tcBorders>
              <w:top w:val="single" w:color="000000" w:sz="6" w:space="0"/>
              <w:left w:val="single" w:color="000000" w:sz="6" w:space="0"/>
              <w:bottom w:val="single" w:color="000000" w:sz="6" w:space="0"/>
              <w:right w:val="single" w:color="000000" w:sz="6" w:space="0"/>
            </w:tcBorders>
            <w:noWrap w:val="0"/>
            <w:vAlign w:val="center"/>
          </w:tcPr>
          <w:p w14:paraId="2C7E1258">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708" w:type="dxa"/>
            <w:tcBorders>
              <w:top w:val="single" w:color="000000" w:sz="6" w:space="0"/>
              <w:left w:val="single" w:color="000000" w:sz="6" w:space="0"/>
              <w:bottom w:val="single" w:color="000000" w:sz="6" w:space="0"/>
              <w:right w:val="double" w:color="000000" w:sz="4" w:space="0"/>
            </w:tcBorders>
            <w:noWrap w:val="0"/>
            <w:vAlign w:val="center"/>
          </w:tcPr>
          <w:p w14:paraId="75D6A182">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r>
      <w:tr w14:paraId="30C13CD6">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noWrap w:val="0"/>
            <w:vAlign w:val="center"/>
          </w:tcPr>
          <w:p w14:paraId="39FD095A">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803" w:type="dxa"/>
            <w:tcBorders>
              <w:top w:val="single" w:color="000000" w:sz="6" w:space="0"/>
              <w:left w:val="single" w:color="000000" w:sz="6" w:space="0"/>
              <w:bottom w:val="single" w:color="000000" w:sz="6" w:space="0"/>
              <w:right w:val="single" w:color="000000" w:sz="6" w:space="0"/>
            </w:tcBorders>
            <w:noWrap w:val="0"/>
            <w:vAlign w:val="center"/>
          </w:tcPr>
          <w:p w14:paraId="2C5353C7">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085" w:type="dxa"/>
            <w:tcBorders>
              <w:top w:val="single" w:color="000000" w:sz="6" w:space="0"/>
              <w:left w:val="single" w:color="000000" w:sz="6" w:space="0"/>
              <w:bottom w:val="single" w:color="000000" w:sz="6" w:space="0"/>
              <w:right w:val="single" w:color="000000" w:sz="6" w:space="0"/>
            </w:tcBorders>
            <w:noWrap w:val="0"/>
            <w:vAlign w:val="center"/>
          </w:tcPr>
          <w:p w14:paraId="35DF32E2">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783" w:type="dxa"/>
            <w:tcBorders>
              <w:top w:val="single" w:color="000000" w:sz="6" w:space="0"/>
              <w:left w:val="single" w:color="000000" w:sz="6" w:space="0"/>
              <w:bottom w:val="single" w:color="000000" w:sz="6" w:space="0"/>
              <w:right w:val="single" w:color="000000" w:sz="6" w:space="0"/>
            </w:tcBorders>
            <w:noWrap w:val="0"/>
            <w:vAlign w:val="center"/>
          </w:tcPr>
          <w:p w14:paraId="6B3D6C46">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299" w:type="dxa"/>
            <w:tcBorders>
              <w:top w:val="single" w:color="000000" w:sz="6" w:space="0"/>
              <w:left w:val="single" w:color="000000" w:sz="6" w:space="0"/>
              <w:bottom w:val="single" w:color="000000" w:sz="6" w:space="0"/>
              <w:right w:val="single" w:color="000000" w:sz="6" w:space="0"/>
            </w:tcBorders>
            <w:noWrap w:val="0"/>
            <w:vAlign w:val="center"/>
          </w:tcPr>
          <w:p w14:paraId="0A1E8698">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708" w:type="dxa"/>
            <w:tcBorders>
              <w:top w:val="single" w:color="000000" w:sz="6" w:space="0"/>
              <w:left w:val="single" w:color="000000" w:sz="6" w:space="0"/>
              <w:bottom w:val="single" w:color="000000" w:sz="6" w:space="0"/>
              <w:right w:val="double" w:color="000000" w:sz="4" w:space="0"/>
            </w:tcBorders>
            <w:noWrap w:val="0"/>
            <w:vAlign w:val="center"/>
          </w:tcPr>
          <w:p w14:paraId="73633CAC">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r>
      <w:tr w14:paraId="7DD29598">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double" w:color="000000" w:sz="4" w:space="0"/>
              <w:right w:val="single" w:color="000000" w:sz="6" w:space="0"/>
            </w:tcBorders>
            <w:noWrap w:val="0"/>
            <w:vAlign w:val="center"/>
          </w:tcPr>
          <w:p w14:paraId="4992E584">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803" w:type="dxa"/>
            <w:tcBorders>
              <w:top w:val="single" w:color="000000" w:sz="6" w:space="0"/>
              <w:left w:val="single" w:color="000000" w:sz="6" w:space="0"/>
              <w:bottom w:val="double" w:color="000000" w:sz="4" w:space="0"/>
              <w:right w:val="single" w:color="000000" w:sz="6" w:space="0"/>
            </w:tcBorders>
            <w:noWrap w:val="0"/>
            <w:vAlign w:val="center"/>
          </w:tcPr>
          <w:p w14:paraId="3641C331">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085" w:type="dxa"/>
            <w:tcBorders>
              <w:top w:val="single" w:color="000000" w:sz="6" w:space="0"/>
              <w:left w:val="single" w:color="000000" w:sz="6" w:space="0"/>
              <w:bottom w:val="double" w:color="000000" w:sz="4" w:space="0"/>
              <w:right w:val="single" w:color="000000" w:sz="6" w:space="0"/>
            </w:tcBorders>
            <w:noWrap w:val="0"/>
            <w:vAlign w:val="center"/>
          </w:tcPr>
          <w:p w14:paraId="14C2E9F7">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2783" w:type="dxa"/>
            <w:tcBorders>
              <w:top w:val="single" w:color="000000" w:sz="6" w:space="0"/>
              <w:left w:val="single" w:color="000000" w:sz="6" w:space="0"/>
              <w:bottom w:val="double" w:color="000000" w:sz="4" w:space="0"/>
              <w:right w:val="single" w:color="000000" w:sz="6" w:space="0"/>
            </w:tcBorders>
            <w:noWrap w:val="0"/>
            <w:vAlign w:val="center"/>
          </w:tcPr>
          <w:p w14:paraId="0B35D032">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1299" w:type="dxa"/>
            <w:tcBorders>
              <w:top w:val="single" w:color="000000" w:sz="6" w:space="0"/>
              <w:left w:val="single" w:color="000000" w:sz="6" w:space="0"/>
              <w:bottom w:val="double" w:color="000000" w:sz="4" w:space="0"/>
              <w:right w:val="single" w:color="000000" w:sz="6" w:space="0"/>
            </w:tcBorders>
            <w:noWrap w:val="0"/>
            <w:vAlign w:val="center"/>
          </w:tcPr>
          <w:p w14:paraId="4777503C">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c>
          <w:tcPr>
            <w:tcW w:w="708" w:type="dxa"/>
            <w:tcBorders>
              <w:top w:val="single" w:color="000000" w:sz="6" w:space="0"/>
              <w:left w:val="single" w:color="000000" w:sz="6" w:space="0"/>
              <w:bottom w:val="double" w:color="000000" w:sz="4" w:space="0"/>
              <w:right w:val="double" w:color="000000" w:sz="4" w:space="0"/>
            </w:tcBorders>
            <w:noWrap w:val="0"/>
            <w:vAlign w:val="center"/>
          </w:tcPr>
          <w:p w14:paraId="760AEA35">
            <w:pPr>
              <w:keepNext w:val="0"/>
              <w:keepLines w:val="0"/>
              <w:pageBreakBefore w:val="0"/>
              <w:widowControl w:val="0"/>
              <w:kinsoku/>
              <w:wordWrap/>
              <w:overflowPunct w:val="0"/>
              <w:topLinePunct w:val="0"/>
              <w:autoSpaceDE/>
              <w:autoSpaceDN/>
              <w:bidi w:val="0"/>
              <w:adjustRightInd/>
              <w:snapToGrid/>
              <w:ind w:left="0"/>
              <w:jc w:val="center"/>
              <w:textAlignment w:val="auto"/>
              <w:rPr>
                <w:rFonts w:ascii="宋体" w:hAnsi="宋体" w:eastAsia="宋体" w:cs="宋体"/>
                <w:color w:val="auto"/>
                <w:kern w:val="1"/>
                <w:szCs w:val="21"/>
              </w:rPr>
            </w:pPr>
          </w:p>
        </w:tc>
      </w:tr>
    </w:tbl>
    <w:p w14:paraId="27A21870">
      <w:pPr>
        <w:pageBreakBefore w:val="0"/>
        <w:widowControl w:val="0"/>
        <w:kinsoku/>
        <w:wordWrap/>
        <w:overflowPunct w:val="0"/>
        <w:bidi w:val="0"/>
        <w:jc w:val="both"/>
        <w:textAlignment w:val="auto"/>
        <w:rPr>
          <w:rFonts w:ascii="宋体" w:hAnsi="宋体" w:eastAsia="宋体" w:cs="宋体"/>
          <w:color w:val="auto"/>
          <w:kern w:val="1"/>
          <w:szCs w:val="21"/>
        </w:rPr>
      </w:pPr>
      <w:r>
        <w:rPr>
          <w:rFonts w:ascii="宋体" w:hAnsi="宋体" w:eastAsia="宋体" w:cs="宋体"/>
          <w:color w:val="auto"/>
          <w:kern w:val="1"/>
          <w:szCs w:val="21"/>
        </w:rPr>
        <w:t>说明：</w:t>
      </w:r>
    </w:p>
    <w:p w14:paraId="3537BE35">
      <w:pPr>
        <w:pageBreakBefore w:val="0"/>
        <w:widowControl w:val="0"/>
        <w:kinsoku/>
        <w:wordWrap/>
        <w:overflowPunct w:val="0"/>
        <w:bidi w:val="0"/>
        <w:ind w:firstLine="420" w:firstLineChars="20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1、“响应与偏离”应注明“响应”或“偏离”。</w:t>
      </w:r>
    </w:p>
    <w:p w14:paraId="0FD03F21">
      <w:pPr>
        <w:pageBreakBefore w:val="0"/>
        <w:widowControl w:val="0"/>
        <w:kinsoku/>
        <w:wordWrap/>
        <w:overflowPunct w:val="0"/>
        <w:bidi w:val="0"/>
        <w:ind w:firstLine="420" w:firstLineChars="20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2、属磋商文件规定可能变动的内容在“说明”栏中注明。</w:t>
      </w:r>
    </w:p>
    <w:p w14:paraId="29974D77">
      <w:pPr>
        <w:pageBreakBefore w:val="0"/>
        <w:widowControl w:val="0"/>
        <w:kinsoku/>
        <w:wordWrap/>
        <w:overflowPunct w:val="0"/>
        <w:bidi w:val="0"/>
        <w:jc w:val="both"/>
        <w:textAlignment w:val="auto"/>
        <w:rPr>
          <w:rFonts w:ascii="宋体" w:hAnsi="宋体" w:eastAsia="宋体" w:cs="宋体"/>
          <w:color w:val="auto"/>
          <w:kern w:val="1"/>
          <w:szCs w:val="21"/>
        </w:rPr>
      </w:pPr>
    </w:p>
    <w:p w14:paraId="33E0B076">
      <w:pPr>
        <w:pStyle w:val="15"/>
        <w:pageBreakBefore w:val="0"/>
        <w:widowControl w:val="0"/>
        <w:kinsoku/>
        <w:wordWrap/>
        <w:overflowPunct w:val="0"/>
        <w:bidi w:val="0"/>
        <w:ind w:firstLine="400"/>
        <w:jc w:val="both"/>
        <w:textAlignment w:val="auto"/>
        <w:rPr>
          <w:rFonts w:ascii="宋体" w:hAnsi="宋体" w:eastAsia="宋体" w:cs="宋体"/>
          <w:color w:val="auto"/>
          <w:kern w:val="1"/>
          <w:szCs w:val="21"/>
        </w:rPr>
      </w:pPr>
    </w:p>
    <w:p w14:paraId="7F3D8D88">
      <w:pPr>
        <w:pStyle w:val="3"/>
        <w:pageBreakBefore w:val="0"/>
        <w:widowControl w:val="0"/>
        <w:kinsoku/>
        <w:wordWrap/>
        <w:overflowPunct w:val="0"/>
        <w:bidi w:val="0"/>
        <w:jc w:val="both"/>
        <w:textAlignment w:val="auto"/>
        <w:rPr>
          <w:rFonts w:ascii="Times New Roman" w:hAnsi="Times New Roman" w:eastAsia="宋体" w:cs="Times New Roman"/>
          <w:color w:val="auto"/>
        </w:rPr>
      </w:pPr>
    </w:p>
    <w:p w14:paraId="57494835">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001A4A7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3DCA058C">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1BAF6E4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D818231">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5D17F01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0613DCB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17C36F0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4376D8F3">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p>
    <w:p w14:paraId="7EE119A8">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 xml:space="preserve">供应商名称（单位章）： </w:t>
      </w:r>
    </w:p>
    <w:p w14:paraId="6F0335E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法定代表人或其委托代理人（签字）：</w:t>
      </w:r>
    </w:p>
    <w:p w14:paraId="00936546">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日期： 年月日</w:t>
      </w:r>
    </w:p>
    <w:p w14:paraId="325E8F26">
      <w:pPr>
        <w:pageBreakBefore w:val="0"/>
        <w:widowControl w:val="0"/>
        <w:kinsoku/>
        <w:wordWrap/>
        <w:overflowPunct w:val="0"/>
        <w:bidi w:val="0"/>
        <w:jc w:val="both"/>
        <w:textAlignment w:val="auto"/>
        <w:rPr>
          <w:rFonts w:ascii="宋体" w:hAnsi="宋体" w:eastAsia="宋体" w:cs="宋体"/>
          <w:color w:val="auto"/>
          <w:kern w:val="1"/>
          <w:szCs w:val="21"/>
        </w:rPr>
      </w:pPr>
    </w:p>
    <w:p w14:paraId="098AF686">
      <w:pPr>
        <w:keepNext w:val="0"/>
        <w:keepLines w:val="0"/>
        <w:pageBreakBefore w:val="0"/>
        <w:widowControl w:val="0"/>
        <w:kinsoku/>
        <w:wordWrap/>
        <w:overflowPunct w:val="0"/>
        <w:topLinePunct w:val="0"/>
        <w:autoSpaceDE/>
        <w:autoSpaceDN/>
        <w:bidi w:val="0"/>
        <w:ind w:left="-88"/>
        <w:jc w:val="center"/>
        <w:textAlignment w:val="auto"/>
        <w:outlineLvl w:val="1"/>
        <w:rPr>
          <w:rFonts w:ascii="宋体" w:hAnsi="宋体" w:eastAsia="宋体" w:cs="宋体"/>
          <w:b/>
          <w:color w:val="auto"/>
          <w:kern w:val="1"/>
          <w:sz w:val="32"/>
          <w:szCs w:val="32"/>
        </w:rPr>
      </w:pPr>
      <w:r>
        <w:rPr>
          <w:rFonts w:ascii="宋体" w:hAnsi="宋体" w:eastAsia="宋体" w:cs="宋体"/>
          <w:color w:val="auto"/>
          <w:kern w:val="1"/>
          <w:szCs w:val="21"/>
        </w:rPr>
        <w:br w:type="page"/>
      </w:r>
      <w:bookmarkStart w:id="582" w:name="_Toc8828"/>
      <w:r>
        <w:rPr>
          <w:rFonts w:ascii="宋体" w:hAnsi="宋体" w:eastAsia="宋体" w:cs="宋体"/>
          <w:b/>
          <w:color w:val="auto"/>
          <w:kern w:val="1"/>
          <w:sz w:val="32"/>
          <w:szCs w:val="32"/>
        </w:rPr>
        <w:t>七、提供享受政府采购政策优惠的证明资料和清单表</w:t>
      </w:r>
      <w:bookmarkEnd w:id="582"/>
    </w:p>
    <w:p w14:paraId="1B90B333">
      <w:pPr>
        <w:pageBreakBefore w:val="0"/>
        <w:widowControl w:val="0"/>
        <w:kinsoku/>
        <w:wordWrap/>
        <w:overflowPunct w:val="0"/>
        <w:bidi w:val="0"/>
        <w:adjustRightInd w:val="0"/>
        <w:snapToGrid w:val="0"/>
        <w:ind w:firstLine="444" w:firstLineChars="200"/>
        <w:jc w:val="both"/>
        <w:textAlignment w:val="auto"/>
        <w:rPr>
          <w:rFonts w:hint="eastAsia" w:ascii="宋体" w:hAnsi="宋体" w:eastAsia="宋体" w:cs="宋体"/>
          <w:bCs/>
          <w:color w:val="auto"/>
          <w:spacing w:val="6"/>
          <w:szCs w:val="21"/>
        </w:rPr>
      </w:pPr>
    </w:p>
    <w:p w14:paraId="091FADB3">
      <w:pPr>
        <w:pageBreakBefore w:val="0"/>
        <w:widowControl w:val="0"/>
        <w:kinsoku/>
        <w:wordWrap/>
        <w:overflowPunct w:val="0"/>
        <w:bidi w:val="0"/>
        <w:adjustRightInd w:val="0"/>
        <w:snapToGrid w:val="0"/>
        <w:ind w:firstLine="444" w:firstLineChars="200"/>
        <w:jc w:val="both"/>
        <w:textAlignment w:val="auto"/>
        <w:rPr>
          <w:rFonts w:ascii="宋体" w:hAnsi="宋体" w:eastAsia="宋体" w:cs="宋体"/>
          <w:bCs/>
          <w:color w:val="auto"/>
          <w:spacing w:val="6"/>
          <w:szCs w:val="21"/>
        </w:rPr>
      </w:pPr>
      <w:r>
        <w:rPr>
          <w:rFonts w:hint="eastAsia" w:ascii="宋体" w:hAnsi="宋体" w:eastAsia="宋体" w:cs="宋体"/>
          <w:bCs/>
          <w:color w:val="auto"/>
          <w:spacing w:val="6"/>
          <w:szCs w:val="21"/>
        </w:rPr>
        <w:t>供应商符合第二章第9条款要求的，应提供下列证明资料，并填写相关数据。否则，评审时不予以考虑。</w:t>
      </w:r>
    </w:p>
    <w:p w14:paraId="248AD509">
      <w:pPr>
        <w:pStyle w:val="14"/>
        <w:pageBreakBefore w:val="0"/>
        <w:widowControl w:val="0"/>
        <w:kinsoku/>
        <w:wordWrap/>
        <w:overflowPunct w:val="0"/>
        <w:bidi w:val="0"/>
        <w:ind w:firstLine="0" w:firstLineChars="0"/>
        <w:jc w:val="both"/>
        <w:textAlignment w:val="auto"/>
        <w:rPr>
          <w:rFonts w:ascii="Times New Roman" w:hAnsi="Times New Roman" w:eastAsia="宋体" w:cs="Times New Roman"/>
          <w:color w:val="auto"/>
        </w:rPr>
      </w:pPr>
    </w:p>
    <w:p w14:paraId="7A00CD5B">
      <w:pPr>
        <w:pStyle w:val="14"/>
        <w:pageBreakBefore w:val="0"/>
        <w:widowControl w:val="0"/>
        <w:kinsoku/>
        <w:wordWrap/>
        <w:overflowPunct w:val="0"/>
        <w:bidi w:val="0"/>
        <w:ind w:firstLine="0" w:firstLineChars="0"/>
        <w:jc w:val="both"/>
        <w:textAlignment w:val="auto"/>
        <w:rPr>
          <w:rFonts w:ascii="Times New Roman" w:hAnsi="Times New Roman" w:eastAsia="宋体" w:cs="Times New Roman"/>
          <w:color w:val="auto"/>
        </w:rPr>
      </w:pPr>
    </w:p>
    <w:p w14:paraId="09D6D317">
      <w:pPr>
        <w:keepNext w:val="0"/>
        <w:keepLines w:val="0"/>
        <w:pageBreakBefore w:val="0"/>
        <w:widowControl w:val="0"/>
        <w:kinsoku/>
        <w:wordWrap/>
        <w:overflowPunct w:val="0"/>
        <w:topLinePunct w:val="0"/>
        <w:autoSpaceDE/>
        <w:autoSpaceDN/>
        <w:bidi w:val="0"/>
        <w:adjustRightInd/>
        <w:snapToGrid/>
        <w:spacing w:line="600" w:lineRule="exact"/>
        <w:ind w:left="0"/>
        <w:jc w:val="center"/>
        <w:textAlignment w:val="auto"/>
        <w:rPr>
          <w:rFonts w:hint="eastAsia" w:ascii="宋体" w:hAnsi="宋体" w:eastAsia="宋体" w:cs="宋体"/>
          <w:b/>
          <w:bCs w:val="0"/>
          <w:color w:val="auto"/>
          <w:sz w:val="28"/>
          <w:szCs w:val="28"/>
          <w:lang w:bidi="ar"/>
        </w:rPr>
      </w:pPr>
      <w:r>
        <w:rPr>
          <w:rFonts w:hint="eastAsia" w:ascii="宋体" w:hAnsi="宋体" w:eastAsia="宋体" w:cs="宋体"/>
          <w:b/>
          <w:color w:val="auto"/>
          <w:kern w:val="1"/>
          <w:sz w:val="28"/>
          <w:szCs w:val="28"/>
        </w:rPr>
        <w:br w:type="page"/>
      </w:r>
      <w:r>
        <w:rPr>
          <w:rFonts w:hint="eastAsia" w:ascii="宋体" w:hAnsi="宋体" w:eastAsia="宋体" w:cs="宋体"/>
          <w:b/>
          <w:bCs w:val="0"/>
          <w:color w:val="auto"/>
          <w:kern w:val="1"/>
          <w:sz w:val="28"/>
          <w:szCs w:val="28"/>
        </w:rPr>
        <w:t xml:space="preserve">附件11-1 </w:t>
      </w:r>
      <w:r>
        <w:rPr>
          <w:rFonts w:hint="eastAsia" w:ascii="宋体" w:hAnsi="宋体" w:eastAsia="宋体" w:cs="宋体"/>
          <w:b/>
          <w:bCs w:val="0"/>
          <w:color w:val="auto"/>
          <w:kern w:val="1"/>
          <w:sz w:val="28"/>
          <w:szCs w:val="28"/>
          <w:lang w:val="en-US" w:eastAsia="zh-CN"/>
        </w:rPr>
        <w:t xml:space="preserve">  </w:t>
      </w:r>
      <w:r>
        <w:rPr>
          <w:rFonts w:hint="eastAsia" w:ascii="宋体" w:hAnsi="宋体" w:eastAsia="宋体" w:cs="宋体"/>
          <w:b/>
          <w:bCs w:val="0"/>
          <w:color w:val="auto"/>
          <w:sz w:val="28"/>
          <w:szCs w:val="28"/>
          <w:lang w:bidi="ar"/>
        </w:rPr>
        <w:t>中小企业声明函(工程、服务)</w:t>
      </w:r>
    </w:p>
    <w:p w14:paraId="4838DEA9">
      <w:pPr>
        <w:pStyle w:val="15"/>
        <w:pageBreakBefore w:val="0"/>
        <w:widowControl w:val="0"/>
        <w:kinsoku/>
        <w:wordWrap/>
        <w:overflowPunct w:val="0"/>
        <w:bidi w:val="0"/>
        <w:ind w:firstLine="400"/>
        <w:jc w:val="both"/>
        <w:textAlignment w:val="auto"/>
        <w:rPr>
          <w:rFonts w:hint="eastAsia" w:ascii="Times New Roman" w:hAnsi="Times New Roman" w:eastAsia="宋体" w:cs="Times New Roman"/>
          <w:color w:val="auto"/>
        </w:rPr>
      </w:pPr>
    </w:p>
    <w:p w14:paraId="6061C29F">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本公司(联合体)郑重声明，根据《政府采购促进中小企业发展管理办法》(财库(2020)46号)的规定，本公司(联合体)参加</w:t>
      </w:r>
      <w:r>
        <w:rPr>
          <w:rFonts w:hint="eastAsia" w:ascii="宋体" w:hAnsi="宋体" w:eastAsia="宋体" w:cs="宋体"/>
          <w:bCs/>
          <w:color w:val="auto"/>
          <w:spacing w:val="6"/>
          <w:sz w:val="24"/>
          <w:szCs w:val="24"/>
          <w:u w:val="single"/>
          <w:lang w:val="en-US" w:eastAsia="zh-CN"/>
        </w:rPr>
        <w:t xml:space="preserve">      </w:t>
      </w:r>
      <w:r>
        <w:rPr>
          <w:rFonts w:hint="eastAsia" w:ascii="宋体" w:hAnsi="宋体" w:eastAsia="宋体" w:cs="宋体"/>
          <w:bCs/>
          <w:color w:val="auto"/>
          <w:spacing w:val="6"/>
          <w:sz w:val="24"/>
          <w:szCs w:val="24"/>
          <w:u w:val="single"/>
        </w:rPr>
        <w:t>(单位名称)</w:t>
      </w:r>
      <w:r>
        <w:rPr>
          <w:rFonts w:hint="eastAsia" w:ascii="宋体" w:hAnsi="宋体" w:eastAsia="宋体" w:cs="宋体"/>
          <w:bCs/>
          <w:color w:val="auto"/>
          <w:spacing w:val="6"/>
          <w:sz w:val="24"/>
          <w:szCs w:val="24"/>
        </w:rPr>
        <w:t>的</w:t>
      </w:r>
      <w:r>
        <w:rPr>
          <w:rFonts w:hint="eastAsia" w:ascii="宋体" w:hAnsi="宋体" w:eastAsia="宋体" w:cs="宋体"/>
          <w:bCs/>
          <w:color w:val="auto"/>
          <w:spacing w:val="6"/>
          <w:sz w:val="24"/>
          <w:szCs w:val="24"/>
          <w:u w:val="single"/>
          <w:lang w:val="en-US" w:eastAsia="zh-CN"/>
        </w:rPr>
        <w:t xml:space="preserve">     </w:t>
      </w:r>
      <w:r>
        <w:rPr>
          <w:rFonts w:hint="eastAsia" w:ascii="宋体" w:hAnsi="宋体" w:eastAsia="宋体" w:cs="宋体"/>
          <w:bCs/>
          <w:color w:val="auto"/>
          <w:spacing w:val="6"/>
          <w:sz w:val="24"/>
          <w:szCs w:val="24"/>
          <w:u w:val="single"/>
        </w:rPr>
        <w:t>(项目名称)</w:t>
      </w:r>
      <w:r>
        <w:rPr>
          <w:rFonts w:hint="eastAsia" w:ascii="宋体" w:hAnsi="宋体" w:eastAsia="宋体" w:cs="宋体"/>
          <w:bCs/>
          <w:color w:val="auto"/>
          <w:spacing w:val="6"/>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5E84D89">
      <w:pPr>
        <w:keepNext w:val="0"/>
        <w:keepLines w:val="0"/>
        <w:pageBreakBefore w:val="0"/>
        <w:widowControl w:val="0"/>
        <w:numPr>
          <w:ilvl w:val="0"/>
          <w:numId w:val="4"/>
        </w:numPr>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u w:val="single"/>
        </w:rPr>
        <w:t xml:space="preserve"> (标的名称) </w:t>
      </w:r>
      <w:r>
        <w:rPr>
          <w:rFonts w:hint="eastAsia" w:ascii="宋体" w:hAnsi="宋体" w:eastAsia="宋体" w:cs="宋体"/>
          <w:bCs/>
          <w:color w:val="auto"/>
          <w:spacing w:val="6"/>
          <w:sz w:val="24"/>
          <w:szCs w:val="24"/>
        </w:rPr>
        <w:t>，属于</w:t>
      </w:r>
      <w:r>
        <w:rPr>
          <w:rFonts w:hint="eastAsia" w:ascii="宋体" w:hAnsi="宋体" w:eastAsia="宋体" w:cs="宋体"/>
          <w:bCs/>
          <w:color w:val="auto"/>
          <w:spacing w:val="6"/>
          <w:sz w:val="24"/>
          <w:szCs w:val="24"/>
          <w:u w:val="single"/>
        </w:rPr>
        <w:t>(采购文件中明确的所属行业</w:t>
      </w:r>
      <w:r>
        <w:rPr>
          <w:rFonts w:hint="eastAsia" w:ascii="宋体" w:hAnsi="宋体" w:eastAsia="宋体" w:cs="宋体"/>
          <w:bCs/>
          <w:color w:val="auto"/>
          <w:spacing w:val="6"/>
          <w:sz w:val="24"/>
          <w:szCs w:val="24"/>
        </w:rPr>
        <w:t>；承建(承接)企业为</w:t>
      </w:r>
      <w:r>
        <w:rPr>
          <w:rFonts w:hint="eastAsia" w:ascii="宋体" w:hAnsi="宋体" w:eastAsia="宋体" w:cs="宋体"/>
          <w:bCs/>
          <w:color w:val="auto"/>
          <w:spacing w:val="6"/>
          <w:sz w:val="24"/>
          <w:szCs w:val="24"/>
          <w:u w:val="single"/>
        </w:rPr>
        <w:t>(企业名称)</w:t>
      </w:r>
      <w:r>
        <w:rPr>
          <w:rFonts w:hint="eastAsia" w:ascii="宋体" w:hAnsi="宋体" w:eastAsia="宋体" w:cs="宋体"/>
          <w:bCs/>
          <w:color w:val="auto"/>
          <w:spacing w:val="6"/>
          <w:sz w:val="24"/>
          <w:szCs w:val="24"/>
        </w:rPr>
        <w:t>从业人员</w:t>
      </w:r>
      <w:r>
        <w:rPr>
          <w:rFonts w:hint="eastAsia" w:ascii="宋体" w:hAnsi="宋体" w:eastAsia="宋体" w:cs="宋体"/>
          <w:bCs/>
          <w:color w:val="auto"/>
          <w:spacing w:val="6"/>
          <w:sz w:val="24"/>
          <w:szCs w:val="24"/>
          <w:u w:val="single"/>
        </w:rPr>
        <w:t xml:space="preserve">    </w:t>
      </w:r>
      <w:r>
        <w:rPr>
          <w:rFonts w:hint="eastAsia" w:ascii="宋体" w:hAnsi="宋体" w:eastAsia="宋体" w:cs="宋体"/>
          <w:bCs/>
          <w:color w:val="auto"/>
          <w:spacing w:val="6"/>
          <w:sz w:val="24"/>
          <w:szCs w:val="24"/>
        </w:rPr>
        <w:t>人，营业收入为</w:t>
      </w:r>
      <w:r>
        <w:rPr>
          <w:rFonts w:hint="eastAsia" w:ascii="宋体" w:hAnsi="宋体" w:eastAsia="宋体" w:cs="宋体"/>
          <w:bCs/>
          <w:color w:val="auto"/>
          <w:spacing w:val="6"/>
          <w:sz w:val="24"/>
          <w:szCs w:val="24"/>
          <w:u w:val="single"/>
        </w:rPr>
        <w:t xml:space="preserve">     </w:t>
      </w:r>
      <w:r>
        <w:rPr>
          <w:rFonts w:hint="eastAsia" w:ascii="宋体" w:hAnsi="宋体" w:eastAsia="宋体" w:cs="宋体"/>
          <w:bCs/>
          <w:color w:val="auto"/>
          <w:spacing w:val="6"/>
          <w:sz w:val="24"/>
          <w:szCs w:val="24"/>
        </w:rPr>
        <w:t>万元，资产总额为</w:t>
      </w:r>
      <w:r>
        <w:rPr>
          <w:rFonts w:hint="eastAsia" w:ascii="宋体" w:hAnsi="宋体" w:eastAsia="宋体" w:cs="宋体"/>
          <w:bCs/>
          <w:color w:val="auto"/>
          <w:spacing w:val="6"/>
          <w:sz w:val="24"/>
          <w:szCs w:val="24"/>
          <w:u w:val="single"/>
        </w:rPr>
        <w:t xml:space="preserve">   </w:t>
      </w:r>
      <w:r>
        <w:rPr>
          <w:rFonts w:hint="eastAsia" w:ascii="宋体" w:hAnsi="宋体" w:eastAsia="宋体" w:cs="宋体"/>
          <w:bCs/>
          <w:color w:val="auto"/>
          <w:spacing w:val="6"/>
          <w:sz w:val="24"/>
          <w:szCs w:val="24"/>
        </w:rPr>
        <w:t>万元</w:t>
      </w:r>
      <w:r>
        <w:rPr>
          <w:rFonts w:hint="eastAsia" w:ascii="宋体" w:hAnsi="宋体" w:eastAsia="宋体" w:cs="宋体"/>
          <w:color w:val="auto"/>
          <w:sz w:val="24"/>
          <w:szCs w:val="24"/>
        </w:rPr>
        <w:footnoteReference w:id="0"/>
      </w:r>
      <w:r>
        <w:rPr>
          <w:rFonts w:hint="eastAsia" w:ascii="宋体" w:hAnsi="宋体" w:eastAsia="宋体" w:cs="宋体"/>
          <w:bCs/>
          <w:color w:val="auto"/>
          <w:spacing w:val="6"/>
          <w:sz w:val="24"/>
          <w:szCs w:val="24"/>
        </w:rPr>
        <w:t>，属于</w:t>
      </w:r>
      <w:r>
        <w:rPr>
          <w:rFonts w:hint="eastAsia" w:ascii="宋体" w:hAnsi="宋体" w:eastAsia="宋体" w:cs="宋体"/>
          <w:bCs/>
          <w:color w:val="auto"/>
          <w:spacing w:val="6"/>
          <w:sz w:val="24"/>
          <w:szCs w:val="24"/>
          <w:u w:val="single"/>
        </w:rPr>
        <w:t>(中型企业、小型企业、微型企业）</w:t>
      </w:r>
      <w:r>
        <w:rPr>
          <w:rFonts w:hint="eastAsia" w:ascii="宋体" w:hAnsi="宋体" w:eastAsia="宋体" w:cs="宋体"/>
          <w:bCs/>
          <w:color w:val="auto"/>
          <w:spacing w:val="6"/>
          <w:sz w:val="24"/>
          <w:szCs w:val="24"/>
        </w:rPr>
        <w:t xml:space="preserve">； </w:t>
      </w:r>
    </w:p>
    <w:p w14:paraId="003104C1">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2.</w:t>
      </w:r>
      <w:r>
        <w:rPr>
          <w:rFonts w:hint="eastAsia" w:ascii="宋体" w:hAnsi="宋体" w:eastAsia="宋体" w:cs="宋体"/>
          <w:bCs/>
          <w:color w:val="auto"/>
          <w:spacing w:val="6"/>
          <w:sz w:val="24"/>
          <w:szCs w:val="24"/>
          <w:u w:val="single"/>
        </w:rPr>
        <w:t xml:space="preserve"> (标的名称) </w:t>
      </w:r>
      <w:r>
        <w:rPr>
          <w:rFonts w:hint="eastAsia" w:ascii="宋体" w:hAnsi="宋体" w:eastAsia="宋体" w:cs="宋体"/>
          <w:bCs/>
          <w:color w:val="auto"/>
          <w:spacing w:val="6"/>
          <w:sz w:val="24"/>
          <w:szCs w:val="24"/>
        </w:rPr>
        <w:t>，属于</w:t>
      </w:r>
      <w:r>
        <w:rPr>
          <w:rFonts w:hint="eastAsia" w:ascii="宋体" w:hAnsi="宋体" w:eastAsia="宋体" w:cs="宋体"/>
          <w:bCs/>
          <w:color w:val="auto"/>
          <w:spacing w:val="6"/>
          <w:sz w:val="24"/>
          <w:szCs w:val="24"/>
          <w:u w:val="single"/>
        </w:rPr>
        <w:t>(采购文件中明确的所属行业</w:t>
      </w:r>
      <w:r>
        <w:rPr>
          <w:rFonts w:hint="eastAsia" w:ascii="宋体" w:hAnsi="宋体" w:eastAsia="宋体" w:cs="宋体"/>
          <w:bCs/>
          <w:color w:val="auto"/>
          <w:spacing w:val="6"/>
          <w:sz w:val="24"/>
          <w:szCs w:val="24"/>
        </w:rPr>
        <w:t>；承建(承接)企业为</w:t>
      </w:r>
      <w:r>
        <w:rPr>
          <w:rFonts w:hint="eastAsia" w:ascii="宋体" w:hAnsi="宋体" w:eastAsia="宋体" w:cs="宋体"/>
          <w:bCs/>
          <w:color w:val="auto"/>
          <w:spacing w:val="6"/>
          <w:sz w:val="24"/>
          <w:szCs w:val="24"/>
          <w:u w:val="single"/>
        </w:rPr>
        <w:t>(企业名称)</w:t>
      </w:r>
      <w:r>
        <w:rPr>
          <w:rFonts w:hint="eastAsia" w:ascii="宋体" w:hAnsi="宋体" w:eastAsia="宋体" w:cs="宋体"/>
          <w:bCs/>
          <w:color w:val="auto"/>
          <w:spacing w:val="6"/>
          <w:sz w:val="24"/>
          <w:szCs w:val="24"/>
        </w:rPr>
        <w:t>从业人员</w:t>
      </w:r>
      <w:r>
        <w:rPr>
          <w:rFonts w:hint="eastAsia" w:ascii="宋体" w:hAnsi="宋体" w:eastAsia="宋体" w:cs="宋体"/>
          <w:bCs/>
          <w:color w:val="auto"/>
          <w:spacing w:val="6"/>
          <w:sz w:val="24"/>
          <w:szCs w:val="24"/>
          <w:u w:val="single"/>
        </w:rPr>
        <w:t xml:space="preserve">    </w:t>
      </w:r>
      <w:r>
        <w:rPr>
          <w:rFonts w:hint="eastAsia" w:ascii="宋体" w:hAnsi="宋体" w:eastAsia="宋体" w:cs="宋体"/>
          <w:bCs/>
          <w:color w:val="auto"/>
          <w:spacing w:val="6"/>
          <w:sz w:val="24"/>
          <w:szCs w:val="24"/>
        </w:rPr>
        <w:t>人，营业收入为</w:t>
      </w:r>
      <w:r>
        <w:rPr>
          <w:rFonts w:hint="eastAsia" w:ascii="宋体" w:hAnsi="宋体" w:eastAsia="宋体" w:cs="宋体"/>
          <w:bCs/>
          <w:color w:val="auto"/>
          <w:spacing w:val="6"/>
          <w:sz w:val="24"/>
          <w:szCs w:val="24"/>
          <w:u w:val="single"/>
        </w:rPr>
        <w:t xml:space="preserve">     </w:t>
      </w:r>
      <w:r>
        <w:rPr>
          <w:rFonts w:hint="eastAsia" w:ascii="宋体" w:hAnsi="宋体" w:eastAsia="宋体" w:cs="宋体"/>
          <w:bCs/>
          <w:color w:val="auto"/>
          <w:spacing w:val="6"/>
          <w:sz w:val="24"/>
          <w:szCs w:val="24"/>
        </w:rPr>
        <w:t>万元，资产总额为</w:t>
      </w:r>
      <w:r>
        <w:rPr>
          <w:rFonts w:hint="eastAsia" w:ascii="宋体" w:hAnsi="宋体" w:eastAsia="宋体" w:cs="宋体"/>
          <w:bCs/>
          <w:color w:val="auto"/>
          <w:spacing w:val="6"/>
          <w:sz w:val="24"/>
          <w:szCs w:val="24"/>
          <w:u w:val="single"/>
        </w:rPr>
        <w:t xml:space="preserve">   </w:t>
      </w:r>
      <w:r>
        <w:rPr>
          <w:rFonts w:hint="eastAsia" w:ascii="宋体" w:hAnsi="宋体" w:eastAsia="宋体" w:cs="宋体"/>
          <w:bCs/>
          <w:color w:val="auto"/>
          <w:spacing w:val="6"/>
          <w:sz w:val="24"/>
          <w:szCs w:val="24"/>
        </w:rPr>
        <w:t>万元，属于</w:t>
      </w:r>
      <w:r>
        <w:rPr>
          <w:rFonts w:hint="eastAsia" w:ascii="宋体" w:hAnsi="宋体" w:eastAsia="宋体" w:cs="宋体"/>
          <w:bCs/>
          <w:color w:val="auto"/>
          <w:spacing w:val="6"/>
          <w:sz w:val="24"/>
          <w:szCs w:val="24"/>
          <w:u w:val="single"/>
        </w:rPr>
        <w:t>(中型企业、小型企业、微型企业）</w:t>
      </w:r>
      <w:r>
        <w:rPr>
          <w:rFonts w:hint="eastAsia" w:ascii="宋体" w:hAnsi="宋体" w:eastAsia="宋体" w:cs="宋体"/>
          <w:bCs/>
          <w:color w:val="auto"/>
          <w:spacing w:val="6"/>
          <w:sz w:val="24"/>
          <w:szCs w:val="24"/>
        </w:rPr>
        <w:t>；</w:t>
      </w:r>
    </w:p>
    <w:p w14:paraId="329BC65B">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w:t>
      </w:r>
    </w:p>
    <w:p w14:paraId="1FBAB681">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以上企业，不属于大企业的分支机构，不存在控股股东为大企业的情形，也不存在与大企业的负责人为同一人的情形。</w:t>
      </w:r>
    </w:p>
    <w:p w14:paraId="21144B43">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r>
        <w:rPr>
          <w:rFonts w:hint="eastAsia" w:ascii="宋体" w:hAnsi="宋体" w:eastAsia="宋体" w:cs="宋体"/>
          <w:bCs/>
          <w:color w:val="auto"/>
          <w:spacing w:val="6"/>
          <w:sz w:val="24"/>
          <w:szCs w:val="24"/>
        </w:rPr>
        <w:t xml:space="preserve">本企业对上述声明内容的真实性负责。如有虚假，将依法承担相应责任。 </w:t>
      </w:r>
    </w:p>
    <w:p w14:paraId="156175AB">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p>
    <w:p w14:paraId="0A667EFF">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p>
    <w:p w14:paraId="3EB0C3B2">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rPr>
      </w:pPr>
    </w:p>
    <w:p w14:paraId="16FF2FD8">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bCs/>
          <w:color w:val="auto"/>
          <w:spacing w:val="6"/>
          <w:sz w:val="24"/>
          <w:szCs w:val="24"/>
          <w:u w:val="single"/>
        </w:rPr>
      </w:pPr>
      <w:r>
        <w:rPr>
          <w:rFonts w:hint="eastAsia" w:ascii="宋体" w:hAnsi="宋体" w:eastAsia="宋体" w:cs="宋体"/>
          <w:bCs/>
          <w:color w:val="auto"/>
          <w:spacing w:val="6"/>
          <w:sz w:val="24"/>
          <w:szCs w:val="24"/>
        </w:rPr>
        <w:t>企业名称（盖章）：</w:t>
      </w:r>
      <w:r>
        <w:rPr>
          <w:rFonts w:hint="eastAsia" w:ascii="宋体" w:hAnsi="宋体" w:eastAsia="宋体" w:cs="宋体"/>
          <w:bCs/>
          <w:color w:val="auto"/>
          <w:spacing w:val="6"/>
          <w:sz w:val="24"/>
          <w:szCs w:val="24"/>
          <w:u w:val="single"/>
        </w:rPr>
        <w:t xml:space="preserve">         </w:t>
      </w:r>
    </w:p>
    <w:p w14:paraId="470FD398">
      <w:pPr>
        <w:keepNext w:val="0"/>
        <w:keepLines w:val="0"/>
        <w:pageBreakBefore w:val="0"/>
        <w:widowControl w:val="0"/>
        <w:kinsoku/>
        <w:wordWrap/>
        <w:overflowPunct w:val="0"/>
        <w:topLinePunct w:val="0"/>
        <w:autoSpaceDE/>
        <w:autoSpaceDN/>
        <w:bidi w:val="0"/>
        <w:spacing w:line="480" w:lineRule="exact"/>
        <w:ind w:firstLine="504" w:firstLineChars="200"/>
        <w:jc w:val="both"/>
        <w:textAlignment w:val="auto"/>
        <w:rPr>
          <w:rFonts w:hint="eastAsia" w:ascii="宋体" w:hAnsi="宋体" w:eastAsia="宋体" w:cs="宋体"/>
          <w:bCs/>
          <w:color w:val="auto"/>
          <w:spacing w:val="6"/>
          <w:sz w:val="24"/>
          <w:szCs w:val="24"/>
          <w:u w:val="single"/>
        </w:rPr>
      </w:pPr>
      <w:r>
        <w:rPr>
          <w:rFonts w:hint="eastAsia" w:ascii="宋体" w:hAnsi="宋体" w:eastAsia="宋体" w:cs="宋体"/>
          <w:bCs/>
          <w:color w:val="auto"/>
          <w:spacing w:val="6"/>
          <w:sz w:val="24"/>
          <w:szCs w:val="24"/>
        </w:rPr>
        <w:t>日期：</w:t>
      </w:r>
      <w:r>
        <w:rPr>
          <w:rFonts w:hint="eastAsia" w:ascii="宋体" w:hAnsi="宋体" w:eastAsia="宋体" w:cs="宋体"/>
          <w:bCs/>
          <w:color w:val="auto"/>
          <w:spacing w:val="6"/>
          <w:sz w:val="24"/>
          <w:szCs w:val="24"/>
          <w:u w:val="single"/>
        </w:rPr>
        <w:t xml:space="preserve">                </w:t>
      </w:r>
    </w:p>
    <w:p w14:paraId="6713A225">
      <w:pPr>
        <w:pageBreakBefore w:val="0"/>
        <w:widowControl w:val="0"/>
        <w:kinsoku/>
        <w:wordWrap/>
        <w:overflowPunct w:val="0"/>
        <w:bidi w:val="0"/>
        <w:spacing w:before="120"/>
        <w:ind w:firstLine="444"/>
        <w:jc w:val="both"/>
        <w:textAlignment w:val="auto"/>
        <w:rPr>
          <w:rFonts w:ascii="宋体" w:hAnsi="宋体" w:eastAsia="宋体" w:cs="宋体"/>
          <w:color w:val="auto"/>
          <w:szCs w:val="21"/>
        </w:rPr>
      </w:pPr>
      <w:r>
        <w:rPr>
          <w:rFonts w:hint="eastAsia" w:ascii="宋体" w:hAnsi="宋体" w:eastAsia="宋体" w:cs="宋体"/>
          <w:color w:val="auto"/>
          <w:spacing w:val="6"/>
          <w:szCs w:val="21"/>
        </w:rPr>
        <w:t xml:space="preserve">               </w:t>
      </w:r>
    </w:p>
    <w:p w14:paraId="3A3AE9C6">
      <w:pPr>
        <w:pageBreakBefore w:val="0"/>
        <w:widowControl w:val="0"/>
        <w:kinsoku/>
        <w:wordWrap/>
        <w:overflowPunct w:val="0"/>
        <w:bidi w:val="0"/>
        <w:jc w:val="both"/>
        <w:textAlignment w:val="auto"/>
        <w:rPr>
          <w:rFonts w:ascii="宋体" w:hAnsi="宋体" w:eastAsia="宋体" w:cs="宋体"/>
          <w:color w:val="auto"/>
          <w:szCs w:val="21"/>
        </w:rPr>
      </w:pPr>
      <w:r>
        <w:rPr>
          <w:rFonts w:hint="eastAsia" w:ascii="宋体" w:hAnsi="宋体" w:eastAsia="宋体" w:cs="宋体"/>
          <w:color w:val="auto"/>
          <w:szCs w:val="21"/>
        </w:rPr>
        <w:t> </w:t>
      </w:r>
    </w:p>
    <w:p w14:paraId="38FA2B4E">
      <w:pPr>
        <w:pageBreakBefore w:val="0"/>
        <w:widowControl w:val="0"/>
        <w:kinsoku/>
        <w:wordWrap/>
        <w:overflowPunct w:val="0"/>
        <w:bidi w:val="0"/>
        <w:jc w:val="both"/>
        <w:textAlignment w:val="auto"/>
        <w:rPr>
          <w:rFonts w:ascii="宋体" w:hAnsi="宋体" w:eastAsia="宋体" w:cs="宋体"/>
          <w:color w:val="auto"/>
          <w:kern w:val="1"/>
          <w:sz w:val="16"/>
          <w:szCs w:val="16"/>
          <w:vertAlign w:val="baseline"/>
        </w:rPr>
      </w:pPr>
      <w:r>
        <w:rPr>
          <w:rFonts w:ascii="Times New Roman" w:hAnsi="Times New Roman" w:eastAsia="宋体" w:cs="Times New Roman"/>
          <w:sz w:val="16"/>
          <w:szCs w:val="20"/>
          <w:vertAlign w:val="baseline"/>
        </w:rPr>
        <w:t xml:space="preserve"> </w:t>
      </w:r>
      <w:r>
        <w:rPr>
          <w:rFonts w:hint="eastAsia" w:ascii="Times New Roman" w:hAnsi="Times New Roman" w:eastAsia="宋体" w:cs="Times New Roman"/>
          <w:sz w:val="16"/>
          <w:szCs w:val="20"/>
          <w:vertAlign w:val="baseline"/>
          <w:lang w:val="en-US" w:eastAsia="zh-CN"/>
        </w:rPr>
        <w:t xml:space="preserve">  </w:t>
      </w:r>
      <w:r>
        <w:rPr>
          <w:rFonts w:hint="eastAsia" w:ascii="Times New Roman" w:hAnsi="Times New Roman" w:eastAsia="宋体" w:cs="Times New Roman"/>
          <w:sz w:val="22"/>
          <w:szCs w:val="24"/>
          <w:vertAlign w:val="baseline"/>
        </w:rPr>
        <w:t>从业人员、营业</w:t>
      </w:r>
      <w:r>
        <w:rPr>
          <w:rFonts w:hint="eastAsia" w:ascii="Times New Roman" w:hAnsi="Times New Roman" w:eastAsia="宋体" w:cs="Times New Roman"/>
          <w:sz w:val="22"/>
          <w:szCs w:val="24"/>
          <w:u w:val="single"/>
          <w:vertAlign w:val="baseline"/>
        </w:rPr>
        <w:t>收入</w:t>
      </w:r>
      <w:r>
        <w:rPr>
          <w:rFonts w:hint="eastAsia" w:ascii="Times New Roman" w:hAnsi="Times New Roman" w:eastAsia="宋体" w:cs="Times New Roman"/>
          <w:sz w:val="22"/>
          <w:szCs w:val="24"/>
          <w:vertAlign w:val="baseline"/>
        </w:rPr>
        <w:t>、资产总额填报上一年度数据，无上一年度数据的新成立企业可不填报。</w:t>
      </w:r>
    </w:p>
    <w:p w14:paraId="467571F4">
      <w:pPr>
        <w:keepNext/>
        <w:keepLines/>
        <w:pageBreakBefore w:val="0"/>
        <w:widowControl w:val="0"/>
        <w:kinsoku/>
        <w:wordWrap/>
        <w:overflowPunct w:val="0"/>
        <w:topLinePunct w:val="0"/>
        <w:autoSpaceDE/>
        <w:autoSpaceDN/>
        <w:bidi w:val="0"/>
        <w:adjustRightInd/>
        <w:snapToGrid/>
        <w:spacing w:before="0" w:after="0" w:line="600" w:lineRule="exact"/>
        <w:jc w:val="center"/>
        <w:textAlignment w:val="auto"/>
        <w:outlineLvl w:val="9"/>
        <w:rPr>
          <w:rFonts w:hint="eastAsia" w:ascii="宋体" w:hAnsi="宋体" w:eastAsia="宋体" w:cs="宋体"/>
          <w:b/>
          <w:bCs w:val="0"/>
          <w:color w:val="auto"/>
          <w:spacing w:val="6"/>
          <w:sz w:val="28"/>
          <w:szCs w:val="28"/>
        </w:rPr>
      </w:pPr>
      <w:bookmarkStart w:id="583" w:name="_Toc22201164"/>
      <w:bookmarkStart w:id="584" w:name="_Toc34637806"/>
      <w:r>
        <w:rPr>
          <w:rFonts w:hint="eastAsia" w:ascii="宋体" w:hAnsi="宋体" w:eastAsia="宋体" w:cs="宋体"/>
          <w:b/>
          <w:bCs w:val="0"/>
          <w:color w:val="auto"/>
          <w:kern w:val="1"/>
          <w:sz w:val="28"/>
          <w:szCs w:val="28"/>
        </w:rPr>
        <w:br w:type="page"/>
      </w:r>
      <w:r>
        <w:rPr>
          <w:rFonts w:hint="eastAsia" w:ascii="宋体" w:hAnsi="宋体" w:eastAsia="宋体" w:cs="宋体"/>
          <w:b/>
          <w:bCs w:val="0"/>
          <w:color w:val="auto"/>
          <w:kern w:val="1"/>
          <w:sz w:val="28"/>
          <w:szCs w:val="28"/>
        </w:rPr>
        <w:t xml:space="preserve">附件11-2 </w:t>
      </w:r>
      <w:bookmarkEnd w:id="583"/>
      <w:bookmarkEnd w:id="584"/>
      <w:r>
        <w:rPr>
          <w:rFonts w:hint="eastAsia" w:ascii="宋体" w:hAnsi="宋体" w:eastAsia="宋体" w:cs="宋体"/>
          <w:b/>
          <w:bCs w:val="0"/>
          <w:color w:val="auto"/>
          <w:kern w:val="1"/>
          <w:sz w:val="28"/>
          <w:szCs w:val="28"/>
          <w:lang w:val="en-US" w:eastAsia="zh-CN"/>
        </w:rPr>
        <w:t xml:space="preserve">  </w:t>
      </w:r>
      <w:r>
        <w:rPr>
          <w:rFonts w:hint="eastAsia" w:ascii="宋体" w:hAnsi="宋体" w:eastAsia="宋体" w:cs="宋体"/>
          <w:b/>
          <w:bCs w:val="0"/>
          <w:color w:val="auto"/>
          <w:spacing w:val="6"/>
          <w:sz w:val="28"/>
          <w:szCs w:val="28"/>
        </w:rPr>
        <w:t>残疾人福利性单位声明函</w:t>
      </w:r>
    </w:p>
    <w:p w14:paraId="17FD8340">
      <w:pPr>
        <w:pageBreakBefore w:val="0"/>
        <w:widowControl w:val="0"/>
        <w:kinsoku/>
        <w:wordWrap/>
        <w:overflowPunct w:val="0"/>
        <w:bidi w:val="0"/>
        <w:adjustRightInd w:val="0"/>
        <w:snapToGrid w:val="0"/>
        <w:jc w:val="both"/>
        <w:textAlignment w:val="auto"/>
        <w:rPr>
          <w:rFonts w:hint="eastAsia" w:ascii="宋体" w:hAnsi="宋体" w:eastAsia="宋体" w:cs="Times New Roman"/>
          <w:b/>
          <w:color w:val="auto"/>
          <w:spacing w:val="6"/>
          <w:szCs w:val="21"/>
        </w:rPr>
      </w:pPr>
    </w:p>
    <w:p w14:paraId="3AA16C0A">
      <w:pPr>
        <w:pageBreakBefore w:val="0"/>
        <w:widowControl w:val="0"/>
        <w:kinsoku/>
        <w:wordWrap/>
        <w:overflowPunct w:val="0"/>
        <w:bidi w:val="0"/>
        <w:adjustRightInd w:val="0"/>
        <w:snapToGrid w:val="0"/>
        <w:jc w:val="center"/>
        <w:textAlignment w:val="auto"/>
        <w:rPr>
          <w:rFonts w:ascii="宋体" w:hAnsi="宋体" w:eastAsia="宋体" w:cs="Times New Roman"/>
          <w:b/>
          <w:color w:val="auto"/>
          <w:spacing w:val="6"/>
          <w:szCs w:val="21"/>
        </w:rPr>
      </w:pPr>
      <w:r>
        <w:rPr>
          <w:rFonts w:hint="eastAsia" w:ascii="宋体" w:hAnsi="宋体" w:eastAsia="宋体" w:cs="Times New Roman"/>
          <w:b/>
          <w:color w:val="auto"/>
          <w:spacing w:val="6"/>
          <w:szCs w:val="21"/>
        </w:rPr>
        <w:t>(不属于残疾人福利性单位的无需填写)</w:t>
      </w:r>
    </w:p>
    <w:p w14:paraId="7A149A79">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2059089F">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53BF9B">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452936EB">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327CC8C8">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71FD79B5">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63D34F0F">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02B667DE">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75CDBFC2">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58A91241">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2BF84D45">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4B6608DC">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pacing w:val="6"/>
          <w:sz w:val="24"/>
          <w:szCs w:val="24"/>
        </w:rPr>
      </w:pPr>
    </w:p>
    <w:p w14:paraId="38AF5D3B">
      <w:pPr>
        <w:keepNext w:val="0"/>
        <w:keepLines w:val="0"/>
        <w:pageBreakBefore w:val="0"/>
        <w:widowControl w:val="0"/>
        <w:tabs>
          <w:tab w:val="left" w:pos="4860"/>
        </w:tabs>
        <w:kinsoku/>
        <w:wordWrap/>
        <w:overflowPunct w:val="0"/>
        <w:topLinePunct w:val="0"/>
        <w:autoSpaceDE/>
        <w:autoSpaceDN/>
        <w:bidi w:val="0"/>
        <w:adjustRightInd w:val="0"/>
        <w:snapToGrid w:val="0"/>
        <w:spacing w:line="480" w:lineRule="exact"/>
        <w:ind w:right="1560" w:firstLine="504"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单位名称（盖章）：</w:t>
      </w:r>
    </w:p>
    <w:p w14:paraId="783A9C7C">
      <w:pPr>
        <w:keepNext w:val="0"/>
        <w:keepLines w:val="0"/>
        <w:pageBreakBefore w:val="0"/>
        <w:widowControl w:val="0"/>
        <w:tabs>
          <w:tab w:val="left" w:pos="4860"/>
        </w:tabs>
        <w:kinsoku/>
        <w:wordWrap/>
        <w:overflowPunct w:val="0"/>
        <w:topLinePunct w:val="0"/>
        <w:autoSpaceDE/>
        <w:autoSpaceDN/>
        <w:bidi w:val="0"/>
        <w:adjustRightInd w:val="0"/>
        <w:snapToGrid w:val="0"/>
        <w:spacing w:line="480" w:lineRule="exact"/>
        <w:ind w:right="1560" w:firstLine="504"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日  期：</w:t>
      </w:r>
    </w:p>
    <w:p w14:paraId="3FCF652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p>
    <w:p w14:paraId="69466F20">
      <w:pPr>
        <w:keepNext/>
        <w:keepLines/>
        <w:pageBreakBefore w:val="0"/>
        <w:widowControl w:val="0"/>
        <w:kinsoku/>
        <w:wordWrap/>
        <w:overflowPunct w:val="0"/>
        <w:topLinePunct w:val="0"/>
        <w:autoSpaceDE/>
        <w:autoSpaceDN/>
        <w:bidi w:val="0"/>
        <w:adjustRightInd/>
        <w:snapToGrid/>
        <w:spacing w:line="416" w:lineRule="auto"/>
        <w:jc w:val="both"/>
        <w:textAlignment w:val="auto"/>
        <w:outlineLvl w:val="9"/>
        <w:rPr>
          <w:rFonts w:hint="eastAsia" w:ascii="宋体" w:hAnsi="宋体" w:eastAsia="宋体" w:cs="宋体"/>
          <w:bCs/>
          <w:color w:val="auto"/>
          <w:kern w:val="1"/>
          <w:sz w:val="28"/>
          <w:szCs w:val="28"/>
        </w:rPr>
      </w:pPr>
      <w:bookmarkStart w:id="585" w:name="_Toc22201165"/>
      <w:bookmarkStart w:id="586" w:name="_Toc34637807"/>
    </w:p>
    <w:p w14:paraId="581CA98F">
      <w:pPr>
        <w:keepNext/>
        <w:keepLines/>
        <w:pageBreakBefore w:val="0"/>
        <w:widowControl w:val="0"/>
        <w:kinsoku/>
        <w:wordWrap/>
        <w:overflowPunct w:val="0"/>
        <w:topLinePunct w:val="0"/>
        <w:autoSpaceDE/>
        <w:autoSpaceDN/>
        <w:bidi w:val="0"/>
        <w:adjustRightInd/>
        <w:snapToGrid/>
        <w:spacing w:before="0" w:after="0" w:line="600" w:lineRule="exact"/>
        <w:jc w:val="center"/>
        <w:textAlignment w:val="auto"/>
        <w:outlineLvl w:val="9"/>
        <w:rPr>
          <w:rFonts w:hint="eastAsia" w:ascii="宋体" w:hAnsi="宋体" w:eastAsia="宋体" w:cs="宋体"/>
          <w:b/>
          <w:bCs w:val="0"/>
          <w:color w:val="auto"/>
          <w:sz w:val="28"/>
          <w:szCs w:val="28"/>
        </w:rPr>
      </w:pPr>
      <w:r>
        <w:rPr>
          <w:rFonts w:hint="eastAsia" w:ascii="宋体" w:hAnsi="宋体" w:eastAsia="宋体" w:cs="宋体"/>
          <w:bCs/>
          <w:color w:val="auto"/>
          <w:kern w:val="1"/>
          <w:sz w:val="28"/>
          <w:szCs w:val="28"/>
        </w:rPr>
        <w:br w:type="page"/>
      </w:r>
      <w:r>
        <w:rPr>
          <w:rFonts w:hint="eastAsia" w:ascii="宋体" w:hAnsi="宋体" w:eastAsia="宋体" w:cs="宋体"/>
          <w:b/>
          <w:bCs w:val="0"/>
          <w:color w:val="auto"/>
          <w:kern w:val="1"/>
          <w:sz w:val="28"/>
          <w:szCs w:val="28"/>
        </w:rPr>
        <w:t xml:space="preserve">附件11-3 </w:t>
      </w:r>
      <w:bookmarkEnd w:id="585"/>
      <w:bookmarkEnd w:id="586"/>
      <w:r>
        <w:rPr>
          <w:rFonts w:hint="eastAsia" w:ascii="宋体" w:hAnsi="宋体" w:eastAsia="宋体" w:cs="宋体"/>
          <w:b/>
          <w:bCs w:val="0"/>
          <w:color w:val="auto"/>
          <w:kern w:val="1"/>
          <w:sz w:val="28"/>
          <w:szCs w:val="28"/>
          <w:lang w:val="en-US" w:eastAsia="zh-CN"/>
        </w:rPr>
        <w:t xml:space="preserve"> </w:t>
      </w:r>
      <w:r>
        <w:rPr>
          <w:rFonts w:hint="eastAsia" w:ascii="宋体" w:hAnsi="宋体" w:eastAsia="宋体" w:cs="宋体"/>
          <w:b/>
          <w:bCs w:val="0"/>
          <w:color w:val="auto"/>
          <w:sz w:val="28"/>
          <w:szCs w:val="28"/>
        </w:rPr>
        <w:t>监狱企业证明资料</w:t>
      </w:r>
    </w:p>
    <w:p w14:paraId="14D0AACB">
      <w:pPr>
        <w:pageBreakBefore w:val="0"/>
        <w:widowControl w:val="0"/>
        <w:kinsoku/>
        <w:wordWrap/>
        <w:overflowPunct w:val="0"/>
        <w:bidi w:val="0"/>
        <w:adjustRightInd w:val="0"/>
        <w:snapToGrid w:val="0"/>
        <w:jc w:val="both"/>
        <w:textAlignment w:val="auto"/>
        <w:rPr>
          <w:rFonts w:hint="eastAsia" w:ascii="宋体" w:hAnsi="宋体" w:eastAsia="宋体" w:cs="Times New Roman"/>
          <w:b/>
          <w:color w:val="auto"/>
          <w:spacing w:val="6"/>
          <w:szCs w:val="21"/>
        </w:rPr>
      </w:pPr>
    </w:p>
    <w:p w14:paraId="2378F069">
      <w:pPr>
        <w:pageBreakBefore w:val="0"/>
        <w:widowControl w:val="0"/>
        <w:kinsoku/>
        <w:wordWrap/>
        <w:overflowPunct w:val="0"/>
        <w:bidi w:val="0"/>
        <w:adjustRightInd w:val="0"/>
        <w:snapToGrid w:val="0"/>
        <w:jc w:val="center"/>
        <w:textAlignment w:val="auto"/>
        <w:rPr>
          <w:rFonts w:ascii="宋体" w:hAnsi="宋体" w:eastAsia="宋体" w:cs="Times New Roman"/>
          <w:b/>
          <w:color w:val="auto"/>
          <w:spacing w:val="6"/>
          <w:szCs w:val="21"/>
        </w:rPr>
      </w:pPr>
      <w:r>
        <w:rPr>
          <w:rFonts w:hint="eastAsia" w:ascii="宋体" w:hAnsi="宋体" w:eastAsia="宋体" w:cs="Times New Roman"/>
          <w:b/>
          <w:color w:val="auto"/>
          <w:spacing w:val="6"/>
          <w:szCs w:val="21"/>
        </w:rPr>
        <w:t>(不属于监狱企业的无需提供)</w:t>
      </w:r>
    </w:p>
    <w:p w14:paraId="12A1970A">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p w14:paraId="1F8D88AA">
      <w:pPr>
        <w:keepNext w:val="0"/>
        <w:keepLines w:val="0"/>
        <w:pageBreakBefore w:val="0"/>
        <w:widowControl w:val="0"/>
        <w:kinsoku/>
        <w:wordWrap/>
        <w:overflowPunct w:val="0"/>
        <w:topLinePunct w:val="0"/>
        <w:autoSpaceDE/>
        <w:autoSpaceDN/>
        <w:bidi w:val="0"/>
        <w:adjustRightInd w:val="0"/>
        <w:snapToGrid w:val="0"/>
        <w:spacing w:line="480" w:lineRule="exact"/>
        <w:ind w:firstLine="504" w:firstLineChars="200"/>
        <w:jc w:val="both"/>
        <w:textAlignment w:val="auto"/>
        <w:rPr>
          <w:rFonts w:hint="eastAsia" w:ascii="宋体" w:hAnsi="宋体" w:eastAsia="宋体" w:cs="宋体"/>
          <w:color w:val="auto"/>
          <w:sz w:val="24"/>
          <w:szCs w:val="24"/>
        </w:rPr>
      </w:pPr>
      <w:r>
        <w:rPr>
          <w:rFonts w:hint="eastAsia" w:ascii="宋体" w:hAnsi="宋体" w:eastAsia="宋体" w:cs="宋体"/>
          <w:bCs/>
          <w:color w:val="auto"/>
          <w:spacing w:val="6"/>
          <w:sz w:val="24"/>
          <w:szCs w:val="24"/>
        </w:rPr>
        <w:t>备注：</w:t>
      </w:r>
      <w:r>
        <w:rPr>
          <w:rFonts w:hint="eastAsia" w:ascii="宋体" w:hAnsi="宋体" w:eastAsia="宋体" w:cs="宋体"/>
          <w:color w:val="auto"/>
          <w:sz w:val="24"/>
          <w:szCs w:val="24"/>
        </w:rPr>
        <w:t>按</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财政部 司法部关于政府采购支持监狱企业发展有关问题的通知</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(财库〔2014〕68号)文件规定提供证明文件（复印件）。</w:t>
      </w:r>
    </w:p>
    <w:p w14:paraId="74CCC38B">
      <w:pPr>
        <w:pageBreakBefore w:val="0"/>
        <w:widowControl w:val="0"/>
        <w:kinsoku/>
        <w:wordWrap/>
        <w:overflowPunct w:val="0"/>
        <w:bidi w:val="0"/>
        <w:ind w:left="-88"/>
        <w:jc w:val="both"/>
        <w:textAlignment w:val="auto"/>
        <w:rPr>
          <w:rFonts w:hint="eastAsia" w:ascii="宋体" w:hAnsi="宋体" w:eastAsia="宋体" w:cs="宋体"/>
          <w:b/>
          <w:color w:val="auto"/>
          <w:kern w:val="1"/>
          <w:sz w:val="28"/>
          <w:szCs w:val="28"/>
        </w:rPr>
      </w:pPr>
    </w:p>
    <w:p w14:paraId="2FFC074F">
      <w:pPr>
        <w:pageBreakBefore w:val="0"/>
        <w:widowControl w:val="0"/>
        <w:kinsoku/>
        <w:wordWrap/>
        <w:overflowPunct w:val="0"/>
        <w:bidi w:val="0"/>
        <w:ind w:left="-88"/>
        <w:jc w:val="both"/>
        <w:textAlignment w:val="auto"/>
        <w:rPr>
          <w:rFonts w:hint="eastAsia" w:ascii="宋体" w:hAnsi="宋体" w:eastAsia="宋体" w:cs="宋体"/>
          <w:b/>
          <w:color w:val="auto"/>
          <w:kern w:val="1"/>
          <w:sz w:val="28"/>
          <w:szCs w:val="28"/>
        </w:rPr>
      </w:pPr>
    </w:p>
    <w:p w14:paraId="24FECF99">
      <w:pPr>
        <w:pageBreakBefore w:val="0"/>
        <w:widowControl w:val="0"/>
        <w:kinsoku/>
        <w:wordWrap/>
        <w:overflowPunct w:val="0"/>
        <w:bidi w:val="0"/>
        <w:jc w:val="both"/>
        <w:textAlignment w:val="auto"/>
        <w:rPr>
          <w:rFonts w:hint="eastAsia" w:ascii="宋体" w:hAnsi="宋体" w:eastAsia="宋体" w:cs="宋体"/>
          <w:b/>
          <w:color w:val="auto"/>
          <w:kern w:val="1"/>
          <w:sz w:val="28"/>
          <w:szCs w:val="28"/>
        </w:rPr>
      </w:pPr>
    </w:p>
    <w:p w14:paraId="7E6796DC">
      <w:pPr>
        <w:pageBreakBefore w:val="0"/>
        <w:widowControl w:val="0"/>
        <w:kinsoku/>
        <w:wordWrap/>
        <w:overflowPunct w:val="0"/>
        <w:bidi w:val="0"/>
        <w:jc w:val="both"/>
        <w:textAlignment w:val="auto"/>
        <w:rPr>
          <w:rFonts w:hint="eastAsia" w:ascii="宋体" w:hAnsi="宋体" w:eastAsia="宋体" w:cs="宋体"/>
          <w:b/>
          <w:color w:val="auto"/>
          <w:kern w:val="1"/>
          <w:sz w:val="28"/>
          <w:szCs w:val="28"/>
        </w:rPr>
      </w:pPr>
    </w:p>
    <w:p w14:paraId="0334FBD5">
      <w:pPr>
        <w:pageBreakBefore w:val="0"/>
        <w:widowControl w:val="0"/>
        <w:kinsoku/>
        <w:wordWrap/>
        <w:overflowPunct w:val="0"/>
        <w:bidi w:val="0"/>
        <w:jc w:val="both"/>
        <w:textAlignment w:val="auto"/>
        <w:rPr>
          <w:rFonts w:hint="eastAsia" w:ascii="宋体" w:hAnsi="宋体" w:eastAsia="宋体" w:cs="宋体"/>
          <w:b/>
          <w:color w:val="auto"/>
          <w:kern w:val="1"/>
          <w:sz w:val="28"/>
          <w:szCs w:val="28"/>
        </w:rPr>
      </w:pPr>
    </w:p>
    <w:p w14:paraId="5A80FD6E">
      <w:pPr>
        <w:pageBreakBefore w:val="0"/>
        <w:widowControl w:val="0"/>
        <w:kinsoku/>
        <w:wordWrap/>
        <w:overflowPunct w:val="0"/>
        <w:bidi w:val="0"/>
        <w:jc w:val="both"/>
        <w:textAlignment w:val="auto"/>
        <w:rPr>
          <w:rFonts w:hint="eastAsia" w:ascii="宋体" w:hAnsi="宋体" w:eastAsia="宋体" w:cs="宋体"/>
          <w:b/>
          <w:color w:val="auto"/>
          <w:kern w:val="1"/>
          <w:sz w:val="28"/>
          <w:szCs w:val="28"/>
        </w:rPr>
      </w:pPr>
    </w:p>
    <w:p w14:paraId="0FFEB668">
      <w:pPr>
        <w:pageBreakBefore w:val="0"/>
        <w:widowControl w:val="0"/>
        <w:kinsoku/>
        <w:wordWrap/>
        <w:overflowPunct w:val="0"/>
        <w:bidi w:val="0"/>
        <w:jc w:val="both"/>
        <w:textAlignment w:val="auto"/>
        <w:rPr>
          <w:rFonts w:hint="eastAsia" w:ascii="宋体" w:hAnsi="宋体" w:eastAsia="宋体" w:cs="宋体"/>
          <w:b/>
          <w:color w:val="auto"/>
          <w:kern w:val="1"/>
          <w:sz w:val="28"/>
          <w:szCs w:val="28"/>
        </w:rPr>
      </w:pPr>
    </w:p>
    <w:p w14:paraId="061BFF0D">
      <w:pPr>
        <w:pageBreakBefore w:val="0"/>
        <w:widowControl w:val="0"/>
        <w:kinsoku/>
        <w:wordWrap/>
        <w:overflowPunct w:val="0"/>
        <w:bidi w:val="0"/>
        <w:jc w:val="center"/>
        <w:textAlignment w:val="auto"/>
        <w:rPr>
          <w:rFonts w:hint="eastAsia" w:ascii="宋体" w:hAnsi="宋体" w:eastAsia="宋体" w:cs="宋体"/>
          <w:b/>
          <w:bCs w:val="0"/>
          <w:color w:val="auto"/>
          <w:szCs w:val="21"/>
        </w:rPr>
      </w:pPr>
      <w:r>
        <w:rPr>
          <w:rFonts w:hint="eastAsia" w:ascii="宋体" w:hAnsi="宋体" w:eastAsia="宋体" w:cs="宋体"/>
          <w:b/>
          <w:color w:val="auto"/>
          <w:kern w:val="1"/>
          <w:sz w:val="28"/>
          <w:szCs w:val="28"/>
        </w:rPr>
        <w:br w:type="page"/>
      </w:r>
      <w:r>
        <w:rPr>
          <w:rFonts w:hint="eastAsia" w:ascii="宋体" w:hAnsi="宋体" w:eastAsia="宋体" w:cs="宋体"/>
          <w:b/>
          <w:bCs w:val="0"/>
          <w:color w:val="auto"/>
          <w:kern w:val="1"/>
          <w:sz w:val="28"/>
          <w:szCs w:val="28"/>
        </w:rPr>
        <w:t>附页2</w:t>
      </w:r>
      <w:r>
        <w:rPr>
          <w:rFonts w:hint="eastAsia" w:ascii="宋体" w:hAnsi="宋体" w:eastAsia="宋体" w:cs="宋体"/>
          <w:b/>
          <w:bCs w:val="0"/>
          <w:color w:val="auto"/>
          <w:kern w:val="1"/>
          <w:sz w:val="28"/>
          <w:szCs w:val="28"/>
          <w:lang w:val="en-US" w:eastAsia="zh-CN"/>
        </w:rPr>
        <w:t xml:space="preserve">  </w:t>
      </w:r>
      <w:r>
        <w:rPr>
          <w:rFonts w:hint="eastAsia" w:ascii="宋体" w:hAnsi="宋体" w:eastAsia="宋体" w:cs="宋体"/>
          <w:b/>
          <w:bCs w:val="0"/>
          <w:color w:val="auto"/>
          <w:sz w:val="28"/>
          <w:szCs w:val="28"/>
        </w:rPr>
        <w:t>价格评审优惠货物清单（本项目不适用）</w:t>
      </w:r>
    </w:p>
    <w:p w14:paraId="7F774CD4">
      <w:pPr>
        <w:pageBreakBefore w:val="0"/>
        <w:widowControl w:val="0"/>
        <w:kinsoku/>
        <w:wordWrap/>
        <w:overflowPunct w:val="0"/>
        <w:bidi w:val="0"/>
        <w:adjustRightInd w:val="0"/>
        <w:snapToGrid w:val="0"/>
        <w:spacing w:before="50"/>
        <w:jc w:val="both"/>
        <w:textAlignment w:val="auto"/>
        <w:rPr>
          <w:rFonts w:ascii="宋体" w:hAnsi="宋体" w:eastAsia="宋体" w:cs="Times New Roman"/>
          <w:color w:val="auto"/>
          <w:szCs w:val="21"/>
          <w:u w:val="single"/>
        </w:rPr>
      </w:pPr>
      <w:r>
        <w:rPr>
          <w:rFonts w:hint="eastAsia" w:ascii="宋体" w:hAnsi="宋体" w:eastAsia="宋体" w:cs="Times New Roman"/>
          <w:color w:val="auto"/>
          <w:szCs w:val="21"/>
        </w:rPr>
        <w:t>采购代理编号：</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 xml:space="preserve">                      项目名称：</w:t>
      </w:r>
      <w:r>
        <w:rPr>
          <w:rFonts w:hint="eastAsia" w:ascii="宋体" w:hAnsi="宋体" w:eastAsia="宋体" w:cs="Times New Roman"/>
          <w:color w:val="auto"/>
          <w:szCs w:val="21"/>
          <w:u w:val="single"/>
        </w:rPr>
        <w:t xml:space="preserve">                </w:t>
      </w:r>
    </w:p>
    <w:p w14:paraId="24CF5E47">
      <w:pPr>
        <w:pageBreakBefore w:val="0"/>
        <w:widowControl w:val="0"/>
        <w:kinsoku/>
        <w:wordWrap/>
        <w:overflowPunct w:val="0"/>
        <w:bidi w:val="0"/>
        <w:adjustRightInd w:val="0"/>
        <w:snapToGrid w:val="0"/>
        <w:spacing w:before="50"/>
        <w:jc w:val="both"/>
        <w:textAlignment w:val="auto"/>
        <w:rPr>
          <w:rFonts w:ascii="宋体" w:hAnsi="宋体" w:eastAsia="宋体" w:cs="Times New Roman"/>
          <w:color w:val="auto"/>
          <w:szCs w:val="21"/>
          <w:u w:val="single"/>
        </w:rPr>
      </w:pPr>
      <w:r>
        <w:rPr>
          <w:rFonts w:hint="eastAsia" w:ascii="宋体" w:hAnsi="宋体" w:eastAsia="宋体" w:cs="Times New Roman"/>
          <w:color w:val="auto"/>
          <w:szCs w:val="21"/>
        </w:rPr>
        <w:t>包       号：</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 xml:space="preserve">                      包名称：</w:t>
      </w:r>
      <w:r>
        <w:rPr>
          <w:rFonts w:hint="eastAsia" w:ascii="宋体" w:hAnsi="宋体" w:eastAsia="宋体" w:cs="Times New Roman"/>
          <w:color w:val="auto"/>
          <w:szCs w:val="21"/>
          <w:u w:val="single"/>
        </w:rPr>
        <w:t xml:space="preserve">                 </w:t>
      </w:r>
    </w:p>
    <w:tbl>
      <w:tblPr>
        <w:tblStyle w:val="1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14:paraId="6981B9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noWrap w:val="0"/>
            <w:vAlign w:val="center"/>
          </w:tcPr>
          <w:p w14:paraId="1AD22DD1">
            <w:pPr>
              <w:pageBreakBefore w:val="0"/>
              <w:widowControl w:val="0"/>
              <w:kinsoku/>
              <w:wordWrap/>
              <w:overflowPunct w:val="0"/>
              <w:bidi w:val="0"/>
              <w:adjustRightInd w:val="0"/>
              <w:snapToGrid w:val="0"/>
              <w:ind w:firstLine="480" w:firstLineChars="200"/>
              <w:jc w:val="both"/>
              <w:textAlignment w:val="auto"/>
              <w:rPr>
                <w:rFonts w:ascii="黑体" w:hAnsi="宋体" w:eastAsia="黑体" w:cs="Times New Roman"/>
                <w:color w:val="auto"/>
                <w:sz w:val="24"/>
              </w:rPr>
            </w:pPr>
            <w:r>
              <w:rPr>
                <w:rFonts w:hint="eastAsia" w:ascii="黑体" w:hAnsi="宋体" w:eastAsia="黑体" w:cs="Times New Roman"/>
                <w:color w:val="auto"/>
                <w:sz w:val="24"/>
              </w:rPr>
              <w:t>以下为供应商提供的享受价格评审优惠的货物，供应商对本表的真实性负责。如有虚假，将依法承担相应责任。</w:t>
            </w:r>
          </w:p>
        </w:tc>
      </w:tr>
      <w:tr w14:paraId="60296F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noWrap w:val="0"/>
            <w:vAlign w:val="center"/>
          </w:tcPr>
          <w:p w14:paraId="6BEE966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1</w:t>
            </w:r>
          </w:p>
        </w:tc>
        <w:tc>
          <w:tcPr>
            <w:tcW w:w="1134" w:type="dxa"/>
            <w:noWrap w:val="0"/>
            <w:vAlign w:val="center"/>
          </w:tcPr>
          <w:p w14:paraId="5CD05733">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2</w:t>
            </w:r>
          </w:p>
        </w:tc>
        <w:tc>
          <w:tcPr>
            <w:tcW w:w="1134" w:type="dxa"/>
            <w:tcBorders>
              <w:right w:val="single" w:color="auto" w:sz="4" w:space="0"/>
            </w:tcBorders>
            <w:noWrap w:val="0"/>
            <w:vAlign w:val="center"/>
          </w:tcPr>
          <w:p w14:paraId="73628AFF">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3</w:t>
            </w:r>
          </w:p>
        </w:tc>
        <w:tc>
          <w:tcPr>
            <w:tcW w:w="1134" w:type="dxa"/>
            <w:tcBorders>
              <w:left w:val="single" w:color="auto" w:sz="4" w:space="0"/>
            </w:tcBorders>
            <w:noWrap w:val="0"/>
            <w:vAlign w:val="center"/>
          </w:tcPr>
          <w:p w14:paraId="0C4EB107">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4</w:t>
            </w:r>
          </w:p>
        </w:tc>
        <w:tc>
          <w:tcPr>
            <w:tcW w:w="1701" w:type="dxa"/>
            <w:noWrap w:val="0"/>
            <w:vAlign w:val="center"/>
          </w:tcPr>
          <w:p w14:paraId="6D37613B">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5</w:t>
            </w:r>
          </w:p>
        </w:tc>
        <w:tc>
          <w:tcPr>
            <w:tcW w:w="1843" w:type="dxa"/>
            <w:noWrap w:val="0"/>
            <w:vAlign w:val="center"/>
          </w:tcPr>
          <w:p w14:paraId="750F96BA">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6</w:t>
            </w:r>
          </w:p>
        </w:tc>
        <w:tc>
          <w:tcPr>
            <w:tcW w:w="1134" w:type="dxa"/>
            <w:noWrap w:val="0"/>
            <w:vAlign w:val="center"/>
          </w:tcPr>
          <w:p w14:paraId="3122BF44">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7</w:t>
            </w:r>
          </w:p>
        </w:tc>
      </w:tr>
      <w:tr w14:paraId="2CBF1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noWrap w:val="0"/>
            <w:vAlign w:val="center"/>
          </w:tcPr>
          <w:p w14:paraId="2D9CB482">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序号</w:t>
            </w:r>
          </w:p>
        </w:tc>
        <w:tc>
          <w:tcPr>
            <w:tcW w:w="1134" w:type="dxa"/>
            <w:noWrap w:val="0"/>
            <w:vAlign w:val="center"/>
          </w:tcPr>
          <w:p w14:paraId="293E0E66">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货物名称</w:t>
            </w:r>
          </w:p>
        </w:tc>
        <w:tc>
          <w:tcPr>
            <w:tcW w:w="1134" w:type="dxa"/>
            <w:tcBorders>
              <w:right w:val="single" w:color="auto" w:sz="4" w:space="0"/>
            </w:tcBorders>
            <w:noWrap w:val="0"/>
            <w:vAlign w:val="center"/>
          </w:tcPr>
          <w:p w14:paraId="6360FC67">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规格型号</w:t>
            </w:r>
          </w:p>
        </w:tc>
        <w:tc>
          <w:tcPr>
            <w:tcW w:w="1134" w:type="dxa"/>
            <w:tcBorders>
              <w:left w:val="single" w:color="auto" w:sz="4" w:space="0"/>
            </w:tcBorders>
            <w:noWrap w:val="0"/>
            <w:vAlign w:val="center"/>
          </w:tcPr>
          <w:p w14:paraId="4B8B6C73">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价格（元）</w:t>
            </w:r>
          </w:p>
        </w:tc>
        <w:tc>
          <w:tcPr>
            <w:tcW w:w="1701" w:type="dxa"/>
            <w:noWrap w:val="0"/>
            <w:vAlign w:val="center"/>
          </w:tcPr>
          <w:p w14:paraId="0EE823D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货物制造商名称</w:t>
            </w:r>
          </w:p>
        </w:tc>
        <w:tc>
          <w:tcPr>
            <w:tcW w:w="1843" w:type="dxa"/>
            <w:noWrap w:val="0"/>
            <w:vAlign w:val="center"/>
          </w:tcPr>
          <w:p w14:paraId="464D9E9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货物制造商类型</w:t>
            </w:r>
          </w:p>
        </w:tc>
        <w:tc>
          <w:tcPr>
            <w:tcW w:w="1134" w:type="dxa"/>
            <w:noWrap w:val="0"/>
            <w:vAlign w:val="center"/>
          </w:tcPr>
          <w:p w14:paraId="7D685888">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商标名称</w:t>
            </w:r>
          </w:p>
        </w:tc>
      </w:tr>
      <w:tr w14:paraId="3B32A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5F6C7AB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5637B132">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right w:val="single" w:color="auto" w:sz="4" w:space="0"/>
            </w:tcBorders>
            <w:noWrap w:val="0"/>
            <w:vAlign w:val="center"/>
          </w:tcPr>
          <w:p w14:paraId="137C48A9">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left w:val="single" w:color="auto" w:sz="4" w:space="0"/>
            </w:tcBorders>
            <w:noWrap w:val="0"/>
            <w:vAlign w:val="center"/>
          </w:tcPr>
          <w:p w14:paraId="12B5E59F">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701" w:type="dxa"/>
            <w:noWrap w:val="0"/>
            <w:vAlign w:val="center"/>
          </w:tcPr>
          <w:p w14:paraId="41AB4B3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843" w:type="dxa"/>
            <w:noWrap w:val="0"/>
            <w:vAlign w:val="top"/>
          </w:tcPr>
          <w:p w14:paraId="656D8D7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01DA9896">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r>
      <w:tr w14:paraId="232FCE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0203D34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28277081">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right w:val="single" w:color="auto" w:sz="4" w:space="0"/>
            </w:tcBorders>
            <w:noWrap w:val="0"/>
            <w:vAlign w:val="center"/>
          </w:tcPr>
          <w:p w14:paraId="3DBF3AB2">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left w:val="single" w:color="auto" w:sz="4" w:space="0"/>
            </w:tcBorders>
            <w:noWrap w:val="0"/>
            <w:vAlign w:val="center"/>
          </w:tcPr>
          <w:p w14:paraId="2F6010E1">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701" w:type="dxa"/>
            <w:noWrap w:val="0"/>
            <w:vAlign w:val="center"/>
          </w:tcPr>
          <w:p w14:paraId="363F81B3">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843" w:type="dxa"/>
            <w:noWrap w:val="0"/>
            <w:vAlign w:val="top"/>
          </w:tcPr>
          <w:p w14:paraId="74709408">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204CC933">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r>
      <w:tr w14:paraId="38A73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24A169E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579C640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right w:val="single" w:color="auto" w:sz="4" w:space="0"/>
            </w:tcBorders>
            <w:noWrap w:val="0"/>
            <w:vAlign w:val="center"/>
          </w:tcPr>
          <w:p w14:paraId="58D68A3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left w:val="single" w:color="auto" w:sz="4" w:space="0"/>
            </w:tcBorders>
            <w:noWrap w:val="0"/>
            <w:vAlign w:val="center"/>
          </w:tcPr>
          <w:p w14:paraId="70EA18A4">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701" w:type="dxa"/>
            <w:noWrap w:val="0"/>
            <w:vAlign w:val="center"/>
          </w:tcPr>
          <w:p w14:paraId="536646E6">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843" w:type="dxa"/>
            <w:noWrap w:val="0"/>
            <w:vAlign w:val="top"/>
          </w:tcPr>
          <w:p w14:paraId="7FFA8CEF">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15A58A7A">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r>
      <w:tr w14:paraId="5DC4A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5568C514">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77AFA7B3">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right w:val="single" w:color="auto" w:sz="4" w:space="0"/>
            </w:tcBorders>
            <w:noWrap w:val="0"/>
            <w:vAlign w:val="center"/>
          </w:tcPr>
          <w:p w14:paraId="1D0C919B">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left w:val="single" w:color="auto" w:sz="4" w:space="0"/>
            </w:tcBorders>
            <w:noWrap w:val="0"/>
            <w:vAlign w:val="center"/>
          </w:tcPr>
          <w:p w14:paraId="498F74C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701" w:type="dxa"/>
            <w:noWrap w:val="0"/>
            <w:vAlign w:val="center"/>
          </w:tcPr>
          <w:p w14:paraId="00EF9B87">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843" w:type="dxa"/>
            <w:noWrap w:val="0"/>
            <w:vAlign w:val="top"/>
          </w:tcPr>
          <w:p w14:paraId="5C3ECE6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noWrap w:val="0"/>
            <w:vAlign w:val="center"/>
          </w:tcPr>
          <w:p w14:paraId="4490E8E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r>
      <w:tr w14:paraId="5A60D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noWrap w:val="0"/>
            <w:vAlign w:val="center"/>
          </w:tcPr>
          <w:p w14:paraId="282E9592">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小计</w:t>
            </w:r>
          </w:p>
        </w:tc>
        <w:tc>
          <w:tcPr>
            <w:tcW w:w="1134" w:type="dxa"/>
            <w:noWrap w:val="0"/>
            <w:vAlign w:val="center"/>
          </w:tcPr>
          <w:p w14:paraId="3625DCBB">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b/>
                <w:color w:val="auto"/>
                <w:szCs w:val="21"/>
              </w:rPr>
              <w:t>/</w:t>
            </w:r>
          </w:p>
        </w:tc>
        <w:tc>
          <w:tcPr>
            <w:tcW w:w="1134" w:type="dxa"/>
            <w:tcBorders>
              <w:right w:val="single" w:color="auto" w:sz="4" w:space="0"/>
            </w:tcBorders>
            <w:noWrap w:val="0"/>
            <w:vAlign w:val="center"/>
          </w:tcPr>
          <w:p w14:paraId="2470DB8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134" w:type="dxa"/>
            <w:tcBorders>
              <w:left w:val="single" w:color="auto" w:sz="4" w:space="0"/>
            </w:tcBorders>
            <w:noWrap w:val="0"/>
            <w:vAlign w:val="center"/>
          </w:tcPr>
          <w:p w14:paraId="0B266BF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tc>
        <w:tc>
          <w:tcPr>
            <w:tcW w:w="1701" w:type="dxa"/>
            <w:noWrap w:val="0"/>
            <w:vAlign w:val="center"/>
          </w:tcPr>
          <w:p w14:paraId="64511824">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b/>
                <w:color w:val="auto"/>
                <w:szCs w:val="21"/>
              </w:rPr>
              <w:t>/</w:t>
            </w:r>
          </w:p>
        </w:tc>
        <w:tc>
          <w:tcPr>
            <w:tcW w:w="1843" w:type="dxa"/>
            <w:noWrap w:val="0"/>
            <w:vAlign w:val="center"/>
          </w:tcPr>
          <w:p w14:paraId="3E1AF8BD">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b/>
                <w:color w:val="auto"/>
                <w:szCs w:val="21"/>
              </w:rPr>
              <w:t>/</w:t>
            </w:r>
          </w:p>
        </w:tc>
        <w:tc>
          <w:tcPr>
            <w:tcW w:w="1134" w:type="dxa"/>
            <w:noWrap w:val="0"/>
            <w:vAlign w:val="center"/>
          </w:tcPr>
          <w:p w14:paraId="26F3000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b/>
                <w:color w:val="auto"/>
                <w:szCs w:val="21"/>
              </w:rPr>
              <w:t>/</w:t>
            </w:r>
          </w:p>
        </w:tc>
      </w:tr>
    </w:tbl>
    <w:p w14:paraId="254C3920">
      <w:pPr>
        <w:pageBreakBefore w:val="0"/>
        <w:widowControl w:val="0"/>
        <w:kinsoku/>
        <w:wordWrap/>
        <w:overflowPunct w:val="0"/>
        <w:bidi w:val="0"/>
        <w:adjustRightInd w:val="0"/>
        <w:snapToGrid w:val="0"/>
        <w:ind w:firstLine="420" w:firstLineChars="20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说明：1、本清单用于计算政府采购价格评审优惠应享受的政府采购政策价格扣除。提供附件11-1、附件11-2、附件11-3的，且提供的货物为小型、微型企业制造的，包括视同小型、微型企业，享受评审中价格扣除的监狱企业、残疾人福利性单位制造的货物。货物制造商类型填写小型、微型企业或监狱企业或残疾人福利性单位。</w:t>
      </w:r>
    </w:p>
    <w:p w14:paraId="19146DC5">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r>
        <w:rPr>
          <w:rFonts w:hint="eastAsia" w:ascii="宋体" w:hAnsi="宋体" w:eastAsia="宋体" w:cs="Times New Roman"/>
          <w:color w:val="auto"/>
          <w:szCs w:val="21"/>
        </w:rPr>
        <w:t>2、栏目4“价格”为综合单价，包含该货物所有隐含的内容，如运输费、保险费、安装调试费、管理费和利润等。</w:t>
      </w:r>
    </w:p>
    <w:p w14:paraId="3EB17507">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p>
    <w:p w14:paraId="0452B1EE">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p>
    <w:p w14:paraId="1946AF4C">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p>
    <w:p w14:paraId="34EA03AB">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p>
    <w:p w14:paraId="3F38F5B6">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p>
    <w:p w14:paraId="61B339D2">
      <w:pPr>
        <w:keepNext w:val="0"/>
        <w:keepLines w:val="0"/>
        <w:pageBreakBefore w:val="0"/>
        <w:widowControl w:val="0"/>
        <w:kinsoku/>
        <w:wordWrap/>
        <w:overflowPunct w:val="0"/>
        <w:topLinePunct w:val="0"/>
        <w:autoSpaceDE/>
        <w:autoSpaceDN/>
        <w:bidi w:val="0"/>
        <w:adjustRightInd w:val="0"/>
        <w:snapToGrid w:val="0"/>
        <w:ind w:firstLine="480" w:firstLineChars="200"/>
        <w:jc w:val="both"/>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供应商名称（盖单位公章）：</w:t>
      </w:r>
    </w:p>
    <w:p w14:paraId="0F4C98D2">
      <w:pPr>
        <w:keepNext w:val="0"/>
        <w:keepLines w:val="0"/>
        <w:pageBreakBefore w:val="0"/>
        <w:widowControl w:val="0"/>
        <w:kinsoku/>
        <w:wordWrap/>
        <w:overflowPunct w:val="0"/>
        <w:topLinePunct w:val="0"/>
        <w:autoSpaceDE/>
        <w:autoSpaceDN/>
        <w:bidi w:val="0"/>
        <w:adjustRightInd w:val="0"/>
        <w:snapToGrid w:val="0"/>
        <w:ind w:firstLine="472" w:firstLineChars="200"/>
        <w:jc w:val="both"/>
        <w:textAlignment w:val="auto"/>
        <w:rPr>
          <w:rFonts w:ascii="宋体" w:hAnsi="宋体" w:eastAsia="宋体" w:cs="Times New Roman"/>
          <w:color w:val="auto"/>
          <w:sz w:val="24"/>
          <w:szCs w:val="24"/>
        </w:rPr>
      </w:pPr>
      <w:r>
        <w:rPr>
          <w:rFonts w:hint="eastAsia" w:ascii="宋体" w:hAnsi="宋体" w:eastAsia="宋体" w:cs="微软雅黑"/>
          <w:color w:val="auto"/>
          <w:spacing w:val="-2"/>
          <w:sz w:val="24"/>
          <w:szCs w:val="24"/>
        </w:rPr>
        <w:t>法</w:t>
      </w:r>
      <w:r>
        <w:rPr>
          <w:rFonts w:hint="eastAsia" w:ascii="宋体" w:hAnsi="宋体" w:eastAsia="宋体" w:cs="微软雅黑"/>
          <w:color w:val="auto"/>
          <w:sz w:val="24"/>
          <w:szCs w:val="24"/>
        </w:rPr>
        <w:t>定</w:t>
      </w:r>
      <w:r>
        <w:rPr>
          <w:rFonts w:hint="eastAsia" w:ascii="宋体" w:hAnsi="宋体" w:eastAsia="宋体" w:cs="微软雅黑"/>
          <w:color w:val="auto"/>
          <w:spacing w:val="-2"/>
          <w:sz w:val="24"/>
          <w:szCs w:val="24"/>
        </w:rPr>
        <w:t>代</w:t>
      </w:r>
      <w:r>
        <w:rPr>
          <w:rFonts w:hint="eastAsia" w:ascii="宋体" w:hAnsi="宋体" w:eastAsia="宋体" w:cs="微软雅黑"/>
          <w:color w:val="auto"/>
          <w:sz w:val="24"/>
          <w:szCs w:val="24"/>
        </w:rPr>
        <w:t>表</w:t>
      </w:r>
      <w:r>
        <w:rPr>
          <w:rFonts w:hint="eastAsia" w:ascii="宋体" w:hAnsi="宋体" w:eastAsia="宋体" w:cs="微软雅黑"/>
          <w:color w:val="auto"/>
          <w:spacing w:val="-2"/>
          <w:sz w:val="24"/>
          <w:szCs w:val="24"/>
        </w:rPr>
        <w:t>人</w:t>
      </w:r>
      <w:r>
        <w:rPr>
          <w:rFonts w:hint="eastAsia" w:ascii="宋体" w:hAnsi="宋体" w:eastAsia="宋体" w:cs="微软雅黑"/>
          <w:color w:val="auto"/>
          <w:sz w:val="24"/>
          <w:szCs w:val="24"/>
        </w:rPr>
        <w:t>（</w:t>
      </w:r>
      <w:r>
        <w:rPr>
          <w:rFonts w:hint="eastAsia" w:ascii="宋体" w:hAnsi="宋体" w:eastAsia="宋体" w:cs="微软雅黑"/>
          <w:color w:val="auto"/>
          <w:spacing w:val="-2"/>
          <w:sz w:val="24"/>
          <w:szCs w:val="24"/>
        </w:rPr>
        <w:t>单</w:t>
      </w:r>
      <w:r>
        <w:rPr>
          <w:rFonts w:hint="eastAsia" w:ascii="宋体" w:hAnsi="宋体" w:eastAsia="宋体" w:cs="微软雅黑"/>
          <w:color w:val="auto"/>
          <w:sz w:val="24"/>
          <w:szCs w:val="24"/>
        </w:rPr>
        <w:t>位</w:t>
      </w:r>
      <w:r>
        <w:rPr>
          <w:rFonts w:hint="eastAsia" w:ascii="宋体" w:hAnsi="宋体" w:eastAsia="宋体" w:cs="微软雅黑"/>
          <w:color w:val="auto"/>
          <w:spacing w:val="-2"/>
          <w:sz w:val="24"/>
          <w:szCs w:val="24"/>
        </w:rPr>
        <w:t>负</w:t>
      </w:r>
      <w:r>
        <w:rPr>
          <w:rFonts w:hint="eastAsia" w:ascii="宋体" w:hAnsi="宋体" w:eastAsia="宋体" w:cs="微软雅黑"/>
          <w:color w:val="auto"/>
          <w:sz w:val="24"/>
          <w:szCs w:val="24"/>
        </w:rPr>
        <w:t>责人</w:t>
      </w:r>
      <w:r>
        <w:rPr>
          <w:rFonts w:hint="eastAsia" w:ascii="宋体" w:hAnsi="宋体" w:eastAsia="宋体" w:cs="微软雅黑"/>
          <w:color w:val="auto"/>
          <w:spacing w:val="-2"/>
          <w:sz w:val="24"/>
          <w:szCs w:val="24"/>
        </w:rPr>
        <w:t>）</w:t>
      </w:r>
      <w:r>
        <w:rPr>
          <w:rFonts w:hint="eastAsia" w:ascii="宋体" w:hAnsi="宋体" w:eastAsia="宋体" w:cs="Times New Roman"/>
          <w:color w:val="auto"/>
          <w:sz w:val="24"/>
          <w:szCs w:val="24"/>
        </w:rPr>
        <w:t>或其委托代理人（签字或印章）：</w:t>
      </w:r>
      <w:r>
        <w:rPr>
          <w:rFonts w:hint="eastAsia" w:ascii="宋体" w:hAnsi="宋体" w:eastAsia="宋体" w:cs="Times New Roman"/>
          <w:color w:val="auto"/>
          <w:sz w:val="24"/>
          <w:szCs w:val="24"/>
          <w:u w:val="single"/>
        </w:rPr>
        <w:t xml:space="preserve">       </w:t>
      </w:r>
    </w:p>
    <w:p w14:paraId="599AC7AD">
      <w:pPr>
        <w:keepNext w:val="0"/>
        <w:keepLines w:val="0"/>
        <w:pageBreakBefore w:val="0"/>
        <w:widowControl w:val="0"/>
        <w:kinsoku/>
        <w:wordWrap/>
        <w:overflowPunct w:val="0"/>
        <w:topLinePunct w:val="0"/>
        <w:autoSpaceDE/>
        <w:autoSpaceDN/>
        <w:bidi w:val="0"/>
        <w:adjustRightInd w:val="0"/>
        <w:snapToGrid w:val="0"/>
        <w:ind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日期：        年    月   日</w:t>
      </w:r>
    </w:p>
    <w:p w14:paraId="13C42B8C">
      <w:pPr>
        <w:pageBreakBefore w:val="0"/>
        <w:widowControl w:val="0"/>
        <w:kinsoku/>
        <w:wordWrap/>
        <w:overflowPunct w:val="0"/>
        <w:bidi w:val="0"/>
        <w:jc w:val="both"/>
        <w:textAlignment w:val="auto"/>
        <w:rPr>
          <w:rFonts w:hint="eastAsia" w:ascii="Times New Roman" w:hAnsi="Times New Roman" w:eastAsia="宋体" w:cs="Times New Roman"/>
          <w:color w:val="auto"/>
        </w:rPr>
      </w:pPr>
    </w:p>
    <w:p w14:paraId="53B043C6">
      <w:pPr>
        <w:pageBreakBefore w:val="0"/>
        <w:widowControl w:val="0"/>
        <w:kinsoku/>
        <w:wordWrap/>
        <w:overflowPunct w:val="0"/>
        <w:bidi w:val="0"/>
        <w:spacing w:before="50"/>
        <w:jc w:val="center"/>
        <w:textAlignment w:val="auto"/>
        <w:rPr>
          <w:rFonts w:hint="eastAsia" w:ascii="宋体" w:hAnsi="宋体" w:eastAsia="宋体" w:cs="宋体"/>
          <w:b/>
          <w:bCs w:val="0"/>
          <w:color w:val="auto"/>
          <w:kern w:val="1"/>
          <w:sz w:val="28"/>
          <w:szCs w:val="28"/>
        </w:rPr>
      </w:pPr>
      <w:r>
        <w:rPr>
          <w:rFonts w:hint="eastAsia" w:ascii="宋体" w:hAnsi="宋体" w:eastAsia="宋体" w:cs="宋体"/>
          <w:b/>
          <w:color w:val="auto"/>
          <w:kern w:val="1"/>
          <w:sz w:val="28"/>
          <w:szCs w:val="28"/>
        </w:rPr>
        <w:br w:type="page"/>
      </w:r>
      <w:r>
        <w:rPr>
          <w:rFonts w:hint="eastAsia" w:ascii="宋体" w:hAnsi="宋体" w:eastAsia="宋体" w:cs="宋体"/>
          <w:b/>
          <w:bCs w:val="0"/>
          <w:color w:val="auto"/>
          <w:kern w:val="1"/>
          <w:sz w:val="28"/>
          <w:szCs w:val="28"/>
        </w:rPr>
        <w:t xml:space="preserve">附件11-4 </w:t>
      </w:r>
      <w:r>
        <w:rPr>
          <w:rFonts w:hint="eastAsia" w:ascii="宋体" w:hAnsi="宋体" w:eastAsia="宋体" w:cs="宋体"/>
          <w:b/>
          <w:bCs w:val="0"/>
          <w:color w:val="auto"/>
          <w:spacing w:val="6"/>
          <w:sz w:val="28"/>
          <w:szCs w:val="28"/>
        </w:rPr>
        <w:t xml:space="preserve"> </w:t>
      </w:r>
      <w:r>
        <w:rPr>
          <w:rFonts w:hint="eastAsia" w:ascii="宋体" w:hAnsi="宋体" w:eastAsia="宋体" w:cs="宋体"/>
          <w:b/>
          <w:bCs w:val="0"/>
          <w:color w:val="auto"/>
          <w:spacing w:val="6"/>
          <w:sz w:val="28"/>
          <w:szCs w:val="28"/>
          <w:lang w:val="en-US" w:eastAsia="zh-CN"/>
        </w:rPr>
        <w:t xml:space="preserve"> </w:t>
      </w:r>
      <w:r>
        <w:rPr>
          <w:rFonts w:hint="eastAsia" w:ascii="宋体" w:hAnsi="宋体" w:eastAsia="宋体" w:cs="宋体"/>
          <w:b/>
          <w:bCs w:val="0"/>
          <w:color w:val="auto"/>
          <w:sz w:val="28"/>
          <w:szCs w:val="28"/>
        </w:rPr>
        <w:t>强制采购或者优先采购产品的证明材料（本项目不适用）</w:t>
      </w:r>
    </w:p>
    <w:p w14:paraId="589944EE">
      <w:pPr>
        <w:pageBreakBefore w:val="0"/>
        <w:widowControl w:val="0"/>
        <w:kinsoku/>
        <w:wordWrap/>
        <w:overflowPunct w:val="0"/>
        <w:bidi w:val="0"/>
        <w:adjustRightInd w:val="0"/>
        <w:snapToGrid w:val="0"/>
        <w:jc w:val="both"/>
        <w:textAlignment w:val="auto"/>
        <w:rPr>
          <w:rFonts w:hint="eastAsia" w:ascii="宋体" w:hAnsi="宋体" w:eastAsia="宋体" w:cs="Times New Roman"/>
          <w:b/>
          <w:color w:val="auto"/>
          <w:spacing w:val="6"/>
          <w:szCs w:val="21"/>
        </w:rPr>
      </w:pPr>
    </w:p>
    <w:p w14:paraId="7537FF56">
      <w:pPr>
        <w:pageBreakBefore w:val="0"/>
        <w:widowControl w:val="0"/>
        <w:kinsoku/>
        <w:wordWrap/>
        <w:overflowPunct w:val="0"/>
        <w:bidi w:val="0"/>
        <w:adjustRightInd w:val="0"/>
        <w:snapToGrid w:val="0"/>
        <w:jc w:val="center"/>
        <w:textAlignment w:val="auto"/>
        <w:rPr>
          <w:rFonts w:ascii="宋体" w:hAnsi="宋体" w:eastAsia="宋体" w:cs="Times New Roman"/>
          <w:b/>
          <w:color w:val="auto"/>
          <w:spacing w:val="6"/>
          <w:szCs w:val="21"/>
        </w:rPr>
      </w:pPr>
      <w:r>
        <w:rPr>
          <w:rFonts w:hint="eastAsia" w:ascii="宋体" w:hAnsi="宋体" w:eastAsia="宋体" w:cs="Times New Roman"/>
          <w:b/>
          <w:color w:val="auto"/>
          <w:spacing w:val="6"/>
          <w:szCs w:val="21"/>
        </w:rPr>
        <w:t>(不属于强制采购或者优先采购产品的无需提供)</w:t>
      </w:r>
    </w:p>
    <w:p w14:paraId="2E12DA2E">
      <w:pPr>
        <w:pageBreakBefore w:val="0"/>
        <w:widowControl w:val="0"/>
        <w:kinsoku/>
        <w:wordWrap/>
        <w:overflowPunct w:val="0"/>
        <w:bidi w:val="0"/>
        <w:spacing w:line="480" w:lineRule="exact"/>
        <w:jc w:val="both"/>
        <w:textAlignment w:val="auto"/>
        <w:rPr>
          <w:rFonts w:ascii="宋体" w:hAnsi="宋体" w:eastAsia="宋体" w:cs="宋体"/>
          <w:color w:val="auto"/>
          <w:kern w:val="1"/>
          <w:sz w:val="24"/>
        </w:rPr>
      </w:pPr>
    </w:p>
    <w:p w14:paraId="64BD6D3B">
      <w:pPr>
        <w:pageBreakBefore w:val="0"/>
        <w:widowControl w:val="0"/>
        <w:kinsoku/>
        <w:wordWrap/>
        <w:overflowPunct w:val="0"/>
        <w:bidi w:val="0"/>
        <w:ind w:firstLine="420" w:firstLineChars="200"/>
        <w:jc w:val="both"/>
        <w:textAlignment w:val="auto"/>
        <w:rPr>
          <w:rFonts w:ascii="宋体" w:hAnsi="宋体" w:eastAsia="宋体" w:cs="宋体"/>
          <w:color w:val="auto"/>
          <w:kern w:val="1"/>
          <w:szCs w:val="21"/>
        </w:rPr>
      </w:pPr>
      <w:r>
        <w:rPr>
          <w:rFonts w:ascii="宋体" w:hAnsi="宋体" w:eastAsia="宋体" w:cs="宋体"/>
          <w:color w:val="auto"/>
          <w:kern w:val="1"/>
          <w:szCs w:val="21"/>
        </w:rPr>
        <w:t>说明：</w:t>
      </w:r>
    </w:p>
    <w:p w14:paraId="174CC5EC">
      <w:pPr>
        <w:pageBreakBefore w:val="0"/>
        <w:widowControl w:val="0"/>
        <w:kinsoku/>
        <w:wordWrap/>
        <w:overflowPunct w:val="0"/>
        <w:bidi w:val="0"/>
        <w:ind w:firstLine="630" w:firstLineChars="300"/>
        <w:jc w:val="both"/>
        <w:textAlignment w:val="auto"/>
        <w:rPr>
          <w:rFonts w:ascii="宋体" w:hAnsi="宋体" w:eastAsia="宋体" w:cs="宋体"/>
          <w:b/>
          <w:bCs/>
          <w:color w:val="auto"/>
          <w:kern w:val="1"/>
          <w:szCs w:val="21"/>
        </w:rPr>
      </w:pPr>
      <w:r>
        <w:rPr>
          <w:rFonts w:hint="eastAsia" w:ascii="宋体" w:hAnsi="宋体" w:eastAsia="宋体" w:cs="宋体"/>
          <w:color w:val="auto"/>
          <w:kern w:val="1"/>
          <w:szCs w:val="21"/>
        </w:rPr>
        <w:t>1、供应商提供的产品属于政府强制采购或者优先采购的，应按第二章磋商须知第2.8款、第9款规定提供产品列入《节能产品政府采购清单》、《环境标志产品政府采购清单》所在页或证书复印件（该页包含制造商或企业名称或申请单位名称、规格型号、有效截止日期等内容）和本章本节附页3“优先采购产品清单”，并加盖供应商单位章。</w:t>
      </w:r>
      <w:r>
        <w:rPr>
          <w:rFonts w:hint="eastAsia" w:ascii="宋体" w:hAnsi="宋体" w:eastAsia="宋体" w:cs="宋体"/>
          <w:b/>
          <w:bCs/>
          <w:color w:val="auto"/>
          <w:kern w:val="1"/>
          <w:szCs w:val="21"/>
        </w:rPr>
        <w:t>并在本章《八、报价一览表及报价文件》中提供相应数据。</w:t>
      </w:r>
    </w:p>
    <w:p w14:paraId="1C6EDFF5">
      <w:pPr>
        <w:pageBreakBefore w:val="0"/>
        <w:widowControl w:val="0"/>
        <w:kinsoku/>
        <w:wordWrap/>
        <w:overflowPunct w:val="0"/>
        <w:bidi w:val="0"/>
        <w:adjustRightInd w:val="0"/>
        <w:snapToGrid w:val="0"/>
        <w:ind w:firstLine="630" w:firstLineChars="300"/>
        <w:jc w:val="both"/>
        <w:textAlignment w:val="auto"/>
        <w:rPr>
          <w:rFonts w:hint="eastAsia" w:ascii="宋体" w:hAnsi="宋体" w:eastAsia="宋体" w:cs="Times New Roman"/>
          <w:color w:val="auto"/>
          <w:szCs w:val="21"/>
        </w:rPr>
      </w:pPr>
      <w:r>
        <w:rPr>
          <w:rFonts w:hint="eastAsia" w:ascii="宋体" w:hAnsi="宋体" w:eastAsia="宋体" w:cs="宋体"/>
          <w:color w:val="auto"/>
          <w:kern w:val="1"/>
          <w:szCs w:val="21"/>
        </w:rPr>
        <w:t>2、</w:t>
      </w:r>
      <w:r>
        <w:rPr>
          <w:rFonts w:hint="eastAsia" w:ascii="宋体" w:hAnsi="宋体" w:eastAsia="宋体" w:cs="Times New Roman"/>
          <w:color w:val="auto"/>
          <w:szCs w:val="21"/>
        </w:rPr>
        <w:t>节能产品、环境标志产品(强制采购或者优先采购产品)认证证书内容注明“详见证书附件</w:t>
      </w:r>
      <w:r>
        <w:rPr>
          <w:rFonts w:hint="eastAsia" w:ascii="华文中宋" w:hAnsi="华文中宋" w:eastAsia="华文中宋" w:cs="Times New Roman"/>
          <w:color w:val="auto"/>
          <w:szCs w:val="21"/>
        </w:rPr>
        <w:t>”</w:t>
      </w:r>
      <w:r>
        <w:rPr>
          <w:rFonts w:hint="eastAsia" w:ascii="宋体" w:hAnsi="宋体" w:eastAsia="宋体" w:cs="Times New Roman"/>
          <w:color w:val="auto"/>
          <w:szCs w:val="21"/>
        </w:rPr>
        <w:t>的，应提供其附件，以证明认证证书与响应文件一致。</w:t>
      </w:r>
    </w:p>
    <w:p w14:paraId="20DFD8E2">
      <w:pPr>
        <w:pageBreakBefore w:val="0"/>
        <w:widowControl w:val="0"/>
        <w:kinsoku/>
        <w:wordWrap/>
        <w:overflowPunct w:val="0"/>
        <w:bidi w:val="0"/>
        <w:adjustRightInd w:val="0"/>
        <w:snapToGrid w:val="0"/>
        <w:ind w:firstLine="630" w:firstLineChars="300"/>
        <w:jc w:val="both"/>
        <w:textAlignment w:val="auto"/>
        <w:rPr>
          <w:rFonts w:hint="eastAsia" w:ascii="宋体" w:hAnsi="宋体" w:eastAsia="宋体" w:cs="宋体"/>
          <w:color w:val="auto"/>
          <w:kern w:val="1"/>
          <w:szCs w:val="21"/>
        </w:rPr>
      </w:pPr>
      <w:r>
        <w:rPr>
          <w:rFonts w:hint="eastAsia" w:ascii="宋体" w:hAnsi="宋体" w:eastAsia="宋体" w:cs="宋体"/>
          <w:color w:val="auto"/>
          <w:kern w:val="1"/>
          <w:szCs w:val="21"/>
        </w:rPr>
        <w:t>3、未按上述要求提供的，评审时不予以考虑。</w:t>
      </w:r>
    </w:p>
    <w:p w14:paraId="44160B23">
      <w:pPr>
        <w:pageBreakBefore w:val="0"/>
        <w:widowControl w:val="0"/>
        <w:kinsoku/>
        <w:wordWrap/>
        <w:overflowPunct w:val="0"/>
        <w:bidi w:val="0"/>
        <w:adjustRightInd w:val="0"/>
        <w:snapToGrid w:val="0"/>
        <w:ind w:firstLine="630" w:firstLineChars="300"/>
        <w:jc w:val="both"/>
        <w:textAlignment w:val="auto"/>
        <w:rPr>
          <w:rFonts w:hint="eastAsia" w:ascii="宋体" w:hAnsi="宋体" w:eastAsia="宋体" w:cs="宋体"/>
          <w:color w:val="auto"/>
          <w:kern w:val="1"/>
          <w:szCs w:val="21"/>
        </w:rPr>
      </w:pPr>
    </w:p>
    <w:p w14:paraId="34FDFA01">
      <w:pPr>
        <w:pageBreakBefore w:val="0"/>
        <w:widowControl w:val="0"/>
        <w:kinsoku/>
        <w:wordWrap/>
        <w:overflowPunct w:val="0"/>
        <w:bidi w:val="0"/>
        <w:adjustRightInd w:val="0"/>
        <w:snapToGrid w:val="0"/>
        <w:jc w:val="center"/>
        <w:textAlignment w:val="auto"/>
        <w:rPr>
          <w:rFonts w:hint="eastAsia" w:ascii="宋体" w:hAnsi="宋体" w:eastAsia="宋体" w:cs="宋体"/>
          <w:b/>
          <w:color w:val="auto"/>
          <w:spacing w:val="6"/>
          <w:sz w:val="28"/>
          <w:szCs w:val="28"/>
        </w:rPr>
      </w:pPr>
      <w:r>
        <w:rPr>
          <w:rFonts w:ascii="宋体" w:hAnsi="宋体" w:eastAsia="宋体" w:cs="宋体"/>
          <w:color w:val="auto"/>
          <w:kern w:val="1"/>
          <w:szCs w:val="21"/>
        </w:rPr>
        <w:br w:type="page"/>
      </w:r>
      <w:r>
        <w:rPr>
          <w:rFonts w:hint="eastAsia" w:ascii="宋体" w:hAnsi="宋体" w:eastAsia="宋体" w:cs="宋体"/>
          <w:b/>
          <w:color w:val="auto"/>
          <w:kern w:val="1"/>
          <w:sz w:val="28"/>
          <w:szCs w:val="28"/>
        </w:rPr>
        <w:t>附页3</w:t>
      </w:r>
      <w:r>
        <w:rPr>
          <w:rFonts w:hint="eastAsia" w:ascii="宋体" w:hAnsi="宋体" w:eastAsia="宋体" w:cs="宋体"/>
          <w:b/>
          <w:color w:val="auto"/>
          <w:kern w:val="1"/>
          <w:sz w:val="28"/>
          <w:szCs w:val="28"/>
          <w:lang w:val="en-US" w:eastAsia="zh-CN"/>
        </w:rPr>
        <w:t xml:space="preserve">  </w:t>
      </w:r>
      <w:r>
        <w:rPr>
          <w:rFonts w:hint="eastAsia" w:ascii="宋体" w:hAnsi="宋体" w:eastAsia="宋体" w:cs="宋体"/>
          <w:b/>
          <w:color w:val="auto"/>
          <w:sz w:val="28"/>
          <w:szCs w:val="28"/>
        </w:rPr>
        <w:t>优先采购产品清单（本项目不适用）</w:t>
      </w:r>
    </w:p>
    <w:p w14:paraId="184081B7">
      <w:pPr>
        <w:pageBreakBefore w:val="0"/>
        <w:widowControl w:val="0"/>
        <w:kinsoku/>
        <w:wordWrap/>
        <w:overflowPunct w:val="0"/>
        <w:bidi w:val="0"/>
        <w:adjustRightInd w:val="0"/>
        <w:snapToGrid w:val="0"/>
        <w:spacing w:before="50"/>
        <w:jc w:val="both"/>
        <w:textAlignment w:val="auto"/>
        <w:rPr>
          <w:rFonts w:hint="eastAsia" w:ascii="宋体" w:hAnsi="宋体" w:eastAsia="宋体" w:cs="Times New Roman"/>
          <w:color w:val="auto"/>
          <w:szCs w:val="21"/>
        </w:rPr>
      </w:pPr>
    </w:p>
    <w:p w14:paraId="5A04C1F0">
      <w:pPr>
        <w:pageBreakBefore w:val="0"/>
        <w:widowControl w:val="0"/>
        <w:kinsoku/>
        <w:wordWrap/>
        <w:overflowPunct w:val="0"/>
        <w:bidi w:val="0"/>
        <w:adjustRightInd w:val="0"/>
        <w:snapToGrid w:val="0"/>
        <w:spacing w:before="50"/>
        <w:jc w:val="both"/>
        <w:textAlignment w:val="auto"/>
        <w:rPr>
          <w:rFonts w:ascii="宋体" w:hAnsi="宋体" w:eastAsia="宋体" w:cs="Times New Roman"/>
          <w:color w:val="auto"/>
          <w:szCs w:val="21"/>
          <w:u w:val="single"/>
        </w:rPr>
      </w:pPr>
      <w:r>
        <w:rPr>
          <w:rFonts w:hint="eastAsia" w:ascii="宋体" w:hAnsi="宋体" w:eastAsia="宋体" w:cs="Times New Roman"/>
          <w:color w:val="auto"/>
          <w:szCs w:val="21"/>
        </w:rPr>
        <w:t>采购代理编号：</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 xml:space="preserve">                      项目名称：</w:t>
      </w:r>
      <w:r>
        <w:rPr>
          <w:rFonts w:hint="eastAsia" w:ascii="宋体" w:hAnsi="宋体" w:eastAsia="宋体" w:cs="Times New Roman"/>
          <w:color w:val="auto"/>
          <w:szCs w:val="21"/>
          <w:u w:val="single"/>
        </w:rPr>
        <w:t xml:space="preserve">               </w:t>
      </w:r>
    </w:p>
    <w:p w14:paraId="714523AD">
      <w:pPr>
        <w:pageBreakBefore w:val="0"/>
        <w:widowControl w:val="0"/>
        <w:kinsoku/>
        <w:wordWrap/>
        <w:overflowPunct w:val="0"/>
        <w:bidi w:val="0"/>
        <w:adjustRightInd w:val="0"/>
        <w:snapToGrid w:val="0"/>
        <w:spacing w:before="50"/>
        <w:jc w:val="both"/>
        <w:textAlignment w:val="auto"/>
        <w:rPr>
          <w:rFonts w:ascii="宋体" w:hAnsi="宋体" w:eastAsia="宋体" w:cs="Times New Roman"/>
          <w:color w:val="auto"/>
          <w:szCs w:val="21"/>
          <w:u w:val="single"/>
        </w:rPr>
      </w:pPr>
      <w:r>
        <w:rPr>
          <w:rFonts w:hint="eastAsia" w:ascii="宋体" w:hAnsi="宋体" w:eastAsia="宋体" w:cs="Times New Roman"/>
          <w:color w:val="auto"/>
          <w:szCs w:val="21"/>
        </w:rPr>
        <w:t>包       号：</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 xml:space="preserve">                      包名称：</w:t>
      </w:r>
      <w:r>
        <w:rPr>
          <w:rFonts w:hint="eastAsia" w:ascii="宋体" w:hAnsi="宋体" w:eastAsia="宋体" w:cs="Times New Roman"/>
          <w:color w:val="auto"/>
          <w:szCs w:val="21"/>
          <w:u w:val="single"/>
        </w:rPr>
        <w:t xml:space="preserve">                 </w:t>
      </w:r>
    </w:p>
    <w:tbl>
      <w:tblPr>
        <w:tblStyle w:val="1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0897F1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noWrap w:val="0"/>
            <w:vAlign w:val="center"/>
          </w:tcPr>
          <w:p w14:paraId="59322AB9">
            <w:pPr>
              <w:pageBreakBefore w:val="0"/>
              <w:widowControl w:val="0"/>
              <w:kinsoku/>
              <w:wordWrap/>
              <w:overflowPunct w:val="0"/>
              <w:bidi w:val="0"/>
              <w:adjustRightInd w:val="0"/>
              <w:snapToGrid w:val="0"/>
              <w:ind w:firstLine="480" w:firstLineChars="200"/>
              <w:jc w:val="both"/>
              <w:textAlignment w:val="auto"/>
              <w:rPr>
                <w:rFonts w:ascii="黑体" w:hAnsi="黑体" w:eastAsia="黑体" w:cs="Times New Roman"/>
                <w:color w:val="auto"/>
                <w:sz w:val="24"/>
              </w:rPr>
            </w:pPr>
            <w:r>
              <w:rPr>
                <w:rFonts w:hint="eastAsia" w:ascii="黑体" w:hAnsi="宋体" w:eastAsia="黑体" w:cs="Times New Roman"/>
                <w:color w:val="auto"/>
                <w:sz w:val="24"/>
              </w:rPr>
              <w:t>以下为供应商提供的政府采购优先采购产品，供应商对本表的真实性负责。如有虚假，将依法承担相应责任。</w:t>
            </w:r>
          </w:p>
        </w:tc>
      </w:tr>
      <w:tr w14:paraId="384CD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14:paraId="44DA0373">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1</w:t>
            </w:r>
          </w:p>
        </w:tc>
        <w:tc>
          <w:tcPr>
            <w:tcW w:w="1739" w:type="dxa"/>
            <w:noWrap w:val="0"/>
            <w:vAlign w:val="center"/>
          </w:tcPr>
          <w:p w14:paraId="04C0E2E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2</w:t>
            </w:r>
          </w:p>
        </w:tc>
        <w:tc>
          <w:tcPr>
            <w:tcW w:w="1134" w:type="dxa"/>
            <w:tcBorders>
              <w:right w:val="single" w:color="auto" w:sz="4" w:space="0"/>
            </w:tcBorders>
            <w:noWrap w:val="0"/>
            <w:vAlign w:val="center"/>
          </w:tcPr>
          <w:p w14:paraId="1798DE7D">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3</w:t>
            </w:r>
          </w:p>
        </w:tc>
        <w:tc>
          <w:tcPr>
            <w:tcW w:w="1418" w:type="dxa"/>
            <w:tcBorders>
              <w:left w:val="single" w:color="auto" w:sz="4" w:space="0"/>
            </w:tcBorders>
            <w:noWrap w:val="0"/>
            <w:vAlign w:val="center"/>
          </w:tcPr>
          <w:p w14:paraId="638CF65C">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4</w:t>
            </w:r>
          </w:p>
        </w:tc>
        <w:tc>
          <w:tcPr>
            <w:tcW w:w="1984" w:type="dxa"/>
            <w:noWrap w:val="0"/>
            <w:vAlign w:val="center"/>
          </w:tcPr>
          <w:p w14:paraId="3C8005FD">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5</w:t>
            </w:r>
          </w:p>
        </w:tc>
        <w:tc>
          <w:tcPr>
            <w:tcW w:w="1843" w:type="dxa"/>
            <w:noWrap w:val="0"/>
            <w:vAlign w:val="center"/>
          </w:tcPr>
          <w:p w14:paraId="1E61B8E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6</w:t>
            </w:r>
          </w:p>
        </w:tc>
      </w:tr>
      <w:tr w14:paraId="5446C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14:paraId="7EA6E959">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序号</w:t>
            </w:r>
          </w:p>
        </w:tc>
        <w:tc>
          <w:tcPr>
            <w:tcW w:w="1739" w:type="dxa"/>
            <w:noWrap w:val="0"/>
            <w:vAlign w:val="center"/>
          </w:tcPr>
          <w:p w14:paraId="5CF825FD">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货物名称</w:t>
            </w:r>
          </w:p>
        </w:tc>
        <w:tc>
          <w:tcPr>
            <w:tcW w:w="1134" w:type="dxa"/>
            <w:tcBorders>
              <w:right w:val="single" w:color="auto" w:sz="4" w:space="0"/>
            </w:tcBorders>
            <w:noWrap w:val="0"/>
            <w:vAlign w:val="center"/>
          </w:tcPr>
          <w:p w14:paraId="2D25D706">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规格型号</w:t>
            </w:r>
          </w:p>
        </w:tc>
        <w:tc>
          <w:tcPr>
            <w:tcW w:w="1418" w:type="dxa"/>
            <w:tcBorders>
              <w:left w:val="single" w:color="auto" w:sz="4" w:space="0"/>
            </w:tcBorders>
            <w:noWrap w:val="0"/>
            <w:vAlign w:val="center"/>
          </w:tcPr>
          <w:p w14:paraId="0A618DD8">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价格（元）</w:t>
            </w:r>
          </w:p>
        </w:tc>
        <w:tc>
          <w:tcPr>
            <w:tcW w:w="1984" w:type="dxa"/>
            <w:noWrap w:val="0"/>
            <w:vAlign w:val="center"/>
          </w:tcPr>
          <w:p w14:paraId="29AAB175">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货物制造商名称</w:t>
            </w:r>
          </w:p>
        </w:tc>
        <w:tc>
          <w:tcPr>
            <w:tcW w:w="1843" w:type="dxa"/>
            <w:noWrap w:val="0"/>
            <w:vAlign w:val="center"/>
          </w:tcPr>
          <w:p w14:paraId="413213B0">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政策功能编码</w:t>
            </w:r>
          </w:p>
        </w:tc>
      </w:tr>
      <w:tr w14:paraId="2FBA3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3D98CCBA">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节能产品</w:t>
            </w:r>
          </w:p>
        </w:tc>
      </w:tr>
      <w:tr w14:paraId="1F5F1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4D8792AB">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739" w:type="dxa"/>
            <w:noWrap w:val="0"/>
            <w:vAlign w:val="center"/>
          </w:tcPr>
          <w:p w14:paraId="080AE1A1">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134" w:type="dxa"/>
            <w:tcBorders>
              <w:right w:val="single" w:color="auto" w:sz="4" w:space="0"/>
            </w:tcBorders>
            <w:noWrap w:val="0"/>
            <w:vAlign w:val="center"/>
          </w:tcPr>
          <w:p w14:paraId="28726211">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418" w:type="dxa"/>
            <w:tcBorders>
              <w:left w:val="single" w:color="auto" w:sz="4" w:space="0"/>
            </w:tcBorders>
            <w:noWrap w:val="0"/>
            <w:vAlign w:val="center"/>
          </w:tcPr>
          <w:p w14:paraId="52E6004F">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984" w:type="dxa"/>
            <w:noWrap w:val="0"/>
            <w:vAlign w:val="center"/>
          </w:tcPr>
          <w:p w14:paraId="7F32CBC6">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843" w:type="dxa"/>
            <w:noWrap w:val="0"/>
            <w:vAlign w:val="top"/>
          </w:tcPr>
          <w:p w14:paraId="6CE43F90">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r>
      <w:tr w14:paraId="400A3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18BC38FB">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小计</w:t>
            </w:r>
          </w:p>
        </w:tc>
        <w:tc>
          <w:tcPr>
            <w:tcW w:w="1739" w:type="dxa"/>
            <w:noWrap w:val="0"/>
            <w:vAlign w:val="center"/>
          </w:tcPr>
          <w:p w14:paraId="62FF2DBB">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w:t>
            </w:r>
          </w:p>
        </w:tc>
        <w:tc>
          <w:tcPr>
            <w:tcW w:w="1134" w:type="dxa"/>
            <w:tcBorders>
              <w:right w:val="single" w:color="auto" w:sz="4" w:space="0"/>
            </w:tcBorders>
            <w:noWrap w:val="0"/>
            <w:vAlign w:val="center"/>
          </w:tcPr>
          <w:p w14:paraId="139FD10C">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418" w:type="dxa"/>
            <w:tcBorders>
              <w:left w:val="single" w:color="auto" w:sz="4" w:space="0"/>
            </w:tcBorders>
            <w:noWrap w:val="0"/>
            <w:vAlign w:val="center"/>
          </w:tcPr>
          <w:p w14:paraId="7138D6F5">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984" w:type="dxa"/>
            <w:noWrap w:val="0"/>
            <w:vAlign w:val="center"/>
          </w:tcPr>
          <w:p w14:paraId="168DC2A1">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w:t>
            </w:r>
          </w:p>
        </w:tc>
        <w:tc>
          <w:tcPr>
            <w:tcW w:w="1843" w:type="dxa"/>
            <w:noWrap w:val="0"/>
            <w:vAlign w:val="top"/>
          </w:tcPr>
          <w:p w14:paraId="45E89B43">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w:t>
            </w:r>
          </w:p>
        </w:tc>
      </w:tr>
      <w:tr w14:paraId="1751F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14:paraId="37E9D480">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环境标志产品</w:t>
            </w:r>
          </w:p>
        </w:tc>
      </w:tr>
      <w:tr w14:paraId="0F0E7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163D8913">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739" w:type="dxa"/>
            <w:noWrap w:val="0"/>
            <w:vAlign w:val="center"/>
          </w:tcPr>
          <w:p w14:paraId="66F77B2B">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134" w:type="dxa"/>
            <w:tcBorders>
              <w:right w:val="single" w:color="auto" w:sz="4" w:space="0"/>
            </w:tcBorders>
            <w:noWrap w:val="0"/>
            <w:vAlign w:val="center"/>
          </w:tcPr>
          <w:p w14:paraId="382A584D">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418" w:type="dxa"/>
            <w:tcBorders>
              <w:left w:val="single" w:color="auto" w:sz="4" w:space="0"/>
            </w:tcBorders>
            <w:noWrap w:val="0"/>
            <w:vAlign w:val="center"/>
          </w:tcPr>
          <w:p w14:paraId="1817C031">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984" w:type="dxa"/>
            <w:noWrap w:val="0"/>
            <w:vAlign w:val="center"/>
          </w:tcPr>
          <w:p w14:paraId="1D4D2D43">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843" w:type="dxa"/>
            <w:noWrap w:val="0"/>
            <w:vAlign w:val="top"/>
          </w:tcPr>
          <w:p w14:paraId="0BD098AB">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r>
      <w:tr w14:paraId="55474E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6C38860D">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r>
              <w:rPr>
                <w:rFonts w:hint="eastAsia" w:ascii="宋体" w:hAnsi="宋体" w:eastAsia="宋体" w:cs="Times New Roman"/>
                <w:color w:val="auto"/>
                <w:szCs w:val="21"/>
              </w:rPr>
              <w:t>小计</w:t>
            </w:r>
          </w:p>
        </w:tc>
        <w:tc>
          <w:tcPr>
            <w:tcW w:w="1739" w:type="dxa"/>
            <w:noWrap w:val="0"/>
            <w:vAlign w:val="center"/>
          </w:tcPr>
          <w:p w14:paraId="3A9B953D">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w:t>
            </w:r>
          </w:p>
        </w:tc>
        <w:tc>
          <w:tcPr>
            <w:tcW w:w="1134" w:type="dxa"/>
            <w:tcBorders>
              <w:right w:val="single" w:color="auto" w:sz="4" w:space="0"/>
            </w:tcBorders>
            <w:noWrap w:val="0"/>
            <w:vAlign w:val="center"/>
          </w:tcPr>
          <w:p w14:paraId="720FFCC6">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418" w:type="dxa"/>
            <w:tcBorders>
              <w:left w:val="single" w:color="auto" w:sz="4" w:space="0"/>
            </w:tcBorders>
            <w:noWrap w:val="0"/>
            <w:vAlign w:val="center"/>
          </w:tcPr>
          <w:p w14:paraId="5A29E4E0">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p>
        </w:tc>
        <w:tc>
          <w:tcPr>
            <w:tcW w:w="1984" w:type="dxa"/>
            <w:noWrap w:val="0"/>
            <w:vAlign w:val="center"/>
          </w:tcPr>
          <w:p w14:paraId="30F6C1B4">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w:t>
            </w:r>
          </w:p>
        </w:tc>
        <w:tc>
          <w:tcPr>
            <w:tcW w:w="1843" w:type="dxa"/>
            <w:noWrap w:val="0"/>
            <w:vAlign w:val="top"/>
          </w:tcPr>
          <w:p w14:paraId="1975D857">
            <w:pPr>
              <w:pageBreakBefore w:val="0"/>
              <w:widowControl w:val="0"/>
              <w:kinsoku/>
              <w:wordWrap/>
              <w:overflowPunct w:val="0"/>
              <w:bidi w:val="0"/>
              <w:adjustRightInd w:val="0"/>
              <w:snapToGrid w:val="0"/>
              <w:jc w:val="both"/>
              <w:textAlignment w:val="auto"/>
              <w:rPr>
                <w:rFonts w:ascii="宋体" w:hAnsi="宋体" w:eastAsia="宋体" w:cs="Times New Roman"/>
                <w:b/>
                <w:color w:val="auto"/>
                <w:szCs w:val="21"/>
              </w:rPr>
            </w:pPr>
            <w:r>
              <w:rPr>
                <w:rFonts w:hint="eastAsia" w:ascii="宋体" w:hAnsi="宋体" w:eastAsia="宋体" w:cs="Times New Roman"/>
                <w:b/>
                <w:color w:val="auto"/>
                <w:szCs w:val="21"/>
              </w:rPr>
              <w:t>/</w:t>
            </w:r>
          </w:p>
        </w:tc>
      </w:tr>
    </w:tbl>
    <w:p w14:paraId="04A318A7">
      <w:pPr>
        <w:pageBreakBefore w:val="0"/>
        <w:widowControl w:val="0"/>
        <w:kinsoku/>
        <w:wordWrap/>
        <w:overflowPunct w:val="0"/>
        <w:bidi w:val="0"/>
        <w:adjustRightInd w:val="0"/>
        <w:snapToGrid w:val="0"/>
        <w:jc w:val="both"/>
        <w:textAlignment w:val="auto"/>
        <w:rPr>
          <w:rFonts w:hint="eastAsia" w:ascii="宋体" w:hAnsi="宋体" w:eastAsia="宋体" w:cs="Times New Roman"/>
          <w:color w:val="auto"/>
          <w:szCs w:val="21"/>
        </w:rPr>
      </w:pPr>
    </w:p>
    <w:p w14:paraId="3B1AE71A">
      <w:pPr>
        <w:pageBreakBefore w:val="0"/>
        <w:widowControl w:val="0"/>
        <w:kinsoku/>
        <w:wordWrap/>
        <w:overflowPunct w:val="0"/>
        <w:bidi w:val="0"/>
        <w:adjustRightInd w:val="0"/>
        <w:snapToGrid w:val="0"/>
        <w:ind w:firstLine="420" w:firstLineChars="200"/>
        <w:jc w:val="both"/>
        <w:textAlignment w:val="auto"/>
        <w:rPr>
          <w:rFonts w:ascii="宋体" w:hAnsi="宋体" w:eastAsia="宋体" w:cs="Times New Roman"/>
          <w:color w:val="auto"/>
          <w:szCs w:val="21"/>
        </w:rPr>
      </w:pPr>
      <w:r>
        <w:rPr>
          <w:rFonts w:hint="eastAsia" w:ascii="宋体" w:hAnsi="宋体" w:eastAsia="宋体" w:cs="Times New Roman"/>
          <w:color w:val="auto"/>
          <w:szCs w:val="21"/>
        </w:rPr>
        <w:t>说明：</w:t>
      </w:r>
      <w:r>
        <w:rPr>
          <w:rFonts w:hint="eastAsia" w:ascii="宋体" w:hAnsi="宋体" w:eastAsia="宋体" w:cs="Times New Roman"/>
          <w:bCs/>
          <w:color w:val="auto"/>
          <w:szCs w:val="21"/>
        </w:rPr>
        <w:t>1、</w:t>
      </w:r>
      <w:r>
        <w:rPr>
          <w:rFonts w:hint="eastAsia" w:ascii="宋体" w:hAnsi="宋体" w:eastAsia="宋体" w:cs="Times New Roman"/>
          <w:color w:val="auto"/>
          <w:szCs w:val="21"/>
        </w:rPr>
        <w:t>本表用于计算政府采购优先采购产品（节能产品或环境标志产品）的政府采购政策价格扣除。</w:t>
      </w:r>
    </w:p>
    <w:p w14:paraId="7A2E0322">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r>
        <w:rPr>
          <w:rFonts w:hint="eastAsia" w:ascii="宋体" w:hAnsi="宋体" w:eastAsia="宋体" w:cs="Times New Roman"/>
          <w:color w:val="auto"/>
          <w:szCs w:val="21"/>
        </w:rPr>
        <w:t>2、栏目4“价格”为综合单价，包含货物所有隐含的内容，如运输费、保险费、管理费和利润等。</w:t>
      </w:r>
    </w:p>
    <w:p w14:paraId="3E1E4D8B">
      <w:pPr>
        <w:pageBreakBefore w:val="0"/>
        <w:widowControl w:val="0"/>
        <w:kinsoku/>
        <w:wordWrap/>
        <w:overflowPunct w:val="0"/>
        <w:bidi w:val="0"/>
        <w:adjustRightInd w:val="0"/>
        <w:snapToGrid w:val="0"/>
        <w:ind w:firstLine="630" w:firstLineChars="300"/>
        <w:jc w:val="both"/>
        <w:textAlignment w:val="auto"/>
        <w:rPr>
          <w:rFonts w:ascii="宋体" w:hAnsi="宋体" w:eastAsia="宋体" w:cs="Times New Roman"/>
          <w:color w:val="auto"/>
          <w:szCs w:val="21"/>
        </w:rPr>
      </w:pPr>
      <w:r>
        <w:rPr>
          <w:rFonts w:hint="eastAsia" w:ascii="宋体" w:hAnsi="宋体" w:eastAsia="宋体" w:cs="Times New Roman"/>
          <w:color w:val="auto"/>
          <w:szCs w:val="21"/>
        </w:rPr>
        <w:t>3、栏目6“政策功能编码”是指货物的中国环境标志认证证书编号、中国节能标志认证证书号（货物同时属于节能产品、环境标志产品的，只须填写一种）。</w:t>
      </w:r>
    </w:p>
    <w:p w14:paraId="3FCF854F">
      <w:pPr>
        <w:pageBreakBefore w:val="0"/>
        <w:widowControl w:val="0"/>
        <w:kinsoku/>
        <w:wordWrap/>
        <w:overflowPunct w:val="0"/>
        <w:bidi w:val="0"/>
        <w:adjustRightInd w:val="0"/>
        <w:snapToGrid w:val="0"/>
        <w:jc w:val="both"/>
        <w:textAlignment w:val="auto"/>
        <w:rPr>
          <w:rFonts w:ascii="宋体" w:hAnsi="宋体" w:eastAsia="宋体" w:cs="Times New Roman"/>
          <w:bCs/>
          <w:color w:val="auto"/>
          <w:szCs w:val="21"/>
        </w:rPr>
      </w:pPr>
    </w:p>
    <w:p w14:paraId="59E37731">
      <w:pPr>
        <w:pageBreakBefore w:val="0"/>
        <w:widowControl w:val="0"/>
        <w:kinsoku/>
        <w:wordWrap/>
        <w:overflowPunct w:val="0"/>
        <w:bidi w:val="0"/>
        <w:adjustRightInd w:val="0"/>
        <w:snapToGrid w:val="0"/>
        <w:jc w:val="both"/>
        <w:textAlignment w:val="auto"/>
        <w:rPr>
          <w:rFonts w:ascii="宋体" w:hAnsi="宋体" w:eastAsia="宋体" w:cs="Times New Roman"/>
          <w:bCs/>
          <w:color w:val="auto"/>
          <w:szCs w:val="21"/>
        </w:rPr>
      </w:pPr>
    </w:p>
    <w:p w14:paraId="24C6923B">
      <w:pPr>
        <w:pageBreakBefore w:val="0"/>
        <w:widowControl w:val="0"/>
        <w:kinsoku/>
        <w:wordWrap/>
        <w:overflowPunct w:val="0"/>
        <w:bidi w:val="0"/>
        <w:adjustRightInd w:val="0"/>
        <w:snapToGrid w:val="0"/>
        <w:jc w:val="both"/>
        <w:textAlignment w:val="auto"/>
        <w:rPr>
          <w:rFonts w:ascii="宋体" w:hAnsi="宋体" w:eastAsia="宋体" w:cs="Times New Roman"/>
          <w:bCs/>
          <w:color w:val="auto"/>
          <w:szCs w:val="21"/>
        </w:rPr>
      </w:pPr>
    </w:p>
    <w:p w14:paraId="349ECADB">
      <w:pPr>
        <w:pageBreakBefore w:val="0"/>
        <w:widowControl w:val="0"/>
        <w:kinsoku/>
        <w:wordWrap/>
        <w:overflowPunct w:val="0"/>
        <w:bidi w:val="0"/>
        <w:adjustRightInd w:val="0"/>
        <w:snapToGrid w:val="0"/>
        <w:jc w:val="both"/>
        <w:textAlignment w:val="auto"/>
        <w:rPr>
          <w:rFonts w:ascii="宋体" w:hAnsi="宋体" w:eastAsia="宋体" w:cs="Times New Roman"/>
          <w:bCs/>
          <w:color w:val="auto"/>
          <w:szCs w:val="21"/>
        </w:rPr>
      </w:pPr>
    </w:p>
    <w:p w14:paraId="25155B52">
      <w:pPr>
        <w:pageBreakBefore w:val="0"/>
        <w:widowControl w:val="0"/>
        <w:kinsoku/>
        <w:wordWrap/>
        <w:overflowPunct w:val="0"/>
        <w:bidi w:val="0"/>
        <w:adjustRightInd w:val="0"/>
        <w:snapToGrid w:val="0"/>
        <w:jc w:val="both"/>
        <w:textAlignment w:val="auto"/>
        <w:rPr>
          <w:rFonts w:ascii="宋体" w:hAnsi="宋体" w:eastAsia="宋体" w:cs="Times New Roman"/>
          <w:color w:val="auto"/>
          <w:szCs w:val="21"/>
        </w:rPr>
      </w:pPr>
    </w:p>
    <w:p w14:paraId="540AF4F6">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jc w:val="both"/>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供应商名称（盖单位公章）：</w:t>
      </w:r>
    </w:p>
    <w:p w14:paraId="3A140321">
      <w:pPr>
        <w:keepNext w:val="0"/>
        <w:keepLines w:val="0"/>
        <w:pageBreakBefore w:val="0"/>
        <w:widowControl w:val="0"/>
        <w:kinsoku/>
        <w:wordWrap/>
        <w:overflowPunct w:val="0"/>
        <w:topLinePunct w:val="0"/>
        <w:autoSpaceDE/>
        <w:autoSpaceDN/>
        <w:bidi w:val="0"/>
        <w:adjustRightInd w:val="0"/>
        <w:snapToGrid w:val="0"/>
        <w:spacing w:line="480" w:lineRule="exact"/>
        <w:ind w:firstLine="472" w:firstLineChars="200"/>
        <w:jc w:val="both"/>
        <w:textAlignment w:val="auto"/>
        <w:rPr>
          <w:rFonts w:ascii="宋体" w:hAnsi="宋体" w:eastAsia="宋体" w:cs="Times New Roman"/>
          <w:color w:val="auto"/>
          <w:sz w:val="24"/>
          <w:szCs w:val="24"/>
        </w:rPr>
      </w:pPr>
      <w:r>
        <w:rPr>
          <w:rFonts w:hint="eastAsia" w:ascii="宋体" w:hAnsi="宋体" w:eastAsia="宋体" w:cs="微软雅黑"/>
          <w:color w:val="auto"/>
          <w:spacing w:val="-2"/>
          <w:sz w:val="24"/>
          <w:szCs w:val="24"/>
        </w:rPr>
        <w:t>法</w:t>
      </w:r>
      <w:r>
        <w:rPr>
          <w:rFonts w:hint="eastAsia" w:ascii="宋体" w:hAnsi="宋体" w:eastAsia="宋体" w:cs="微软雅黑"/>
          <w:color w:val="auto"/>
          <w:sz w:val="24"/>
          <w:szCs w:val="24"/>
        </w:rPr>
        <w:t>定</w:t>
      </w:r>
      <w:r>
        <w:rPr>
          <w:rFonts w:hint="eastAsia" w:ascii="宋体" w:hAnsi="宋体" w:eastAsia="宋体" w:cs="微软雅黑"/>
          <w:color w:val="auto"/>
          <w:spacing w:val="-2"/>
          <w:sz w:val="24"/>
          <w:szCs w:val="24"/>
        </w:rPr>
        <w:t>代</w:t>
      </w:r>
      <w:r>
        <w:rPr>
          <w:rFonts w:hint="eastAsia" w:ascii="宋体" w:hAnsi="宋体" w:eastAsia="宋体" w:cs="微软雅黑"/>
          <w:color w:val="auto"/>
          <w:sz w:val="24"/>
          <w:szCs w:val="24"/>
        </w:rPr>
        <w:t>表</w:t>
      </w:r>
      <w:r>
        <w:rPr>
          <w:rFonts w:hint="eastAsia" w:ascii="宋体" w:hAnsi="宋体" w:eastAsia="宋体" w:cs="微软雅黑"/>
          <w:color w:val="auto"/>
          <w:spacing w:val="-2"/>
          <w:sz w:val="24"/>
          <w:szCs w:val="24"/>
        </w:rPr>
        <w:t>人</w:t>
      </w:r>
      <w:r>
        <w:rPr>
          <w:rFonts w:hint="eastAsia" w:ascii="宋体" w:hAnsi="宋体" w:eastAsia="宋体" w:cs="微软雅黑"/>
          <w:color w:val="auto"/>
          <w:sz w:val="24"/>
          <w:szCs w:val="24"/>
        </w:rPr>
        <w:t>（</w:t>
      </w:r>
      <w:r>
        <w:rPr>
          <w:rFonts w:hint="eastAsia" w:ascii="宋体" w:hAnsi="宋体" w:eastAsia="宋体" w:cs="微软雅黑"/>
          <w:color w:val="auto"/>
          <w:spacing w:val="-2"/>
          <w:sz w:val="24"/>
          <w:szCs w:val="24"/>
        </w:rPr>
        <w:t>单</w:t>
      </w:r>
      <w:r>
        <w:rPr>
          <w:rFonts w:hint="eastAsia" w:ascii="宋体" w:hAnsi="宋体" w:eastAsia="宋体" w:cs="微软雅黑"/>
          <w:color w:val="auto"/>
          <w:sz w:val="24"/>
          <w:szCs w:val="24"/>
        </w:rPr>
        <w:t>位</w:t>
      </w:r>
      <w:r>
        <w:rPr>
          <w:rFonts w:hint="eastAsia" w:ascii="宋体" w:hAnsi="宋体" w:eastAsia="宋体" w:cs="微软雅黑"/>
          <w:color w:val="auto"/>
          <w:spacing w:val="-2"/>
          <w:sz w:val="24"/>
          <w:szCs w:val="24"/>
        </w:rPr>
        <w:t>负</w:t>
      </w:r>
      <w:r>
        <w:rPr>
          <w:rFonts w:hint="eastAsia" w:ascii="宋体" w:hAnsi="宋体" w:eastAsia="宋体" w:cs="微软雅黑"/>
          <w:color w:val="auto"/>
          <w:sz w:val="24"/>
          <w:szCs w:val="24"/>
        </w:rPr>
        <w:t>责人</w:t>
      </w:r>
      <w:r>
        <w:rPr>
          <w:rFonts w:hint="eastAsia" w:ascii="宋体" w:hAnsi="宋体" w:eastAsia="宋体" w:cs="微软雅黑"/>
          <w:color w:val="auto"/>
          <w:spacing w:val="-2"/>
          <w:sz w:val="24"/>
          <w:szCs w:val="24"/>
        </w:rPr>
        <w:t>）</w:t>
      </w:r>
      <w:r>
        <w:rPr>
          <w:rFonts w:hint="eastAsia" w:ascii="宋体" w:hAnsi="宋体" w:eastAsia="宋体" w:cs="Times New Roman"/>
          <w:color w:val="auto"/>
          <w:sz w:val="24"/>
          <w:szCs w:val="24"/>
        </w:rPr>
        <w:t>或其委托代理人（签字或印章）：</w:t>
      </w:r>
      <w:r>
        <w:rPr>
          <w:rFonts w:hint="eastAsia" w:ascii="宋体" w:hAnsi="宋体" w:eastAsia="宋体" w:cs="Times New Roman"/>
          <w:color w:val="auto"/>
          <w:sz w:val="24"/>
          <w:szCs w:val="24"/>
          <w:u w:val="single"/>
        </w:rPr>
        <w:t xml:space="preserve">       </w:t>
      </w:r>
    </w:p>
    <w:p w14:paraId="03C2E7D7">
      <w:pPr>
        <w:keepNext w:val="0"/>
        <w:keepLines w:val="0"/>
        <w:pageBreakBefore w:val="0"/>
        <w:widowControl w:val="0"/>
        <w:kinsoku/>
        <w:wordWrap/>
        <w:overflowPunct w:val="0"/>
        <w:topLinePunct w:val="0"/>
        <w:autoSpaceDE/>
        <w:autoSpaceDN/>
        <w:bidi w:val="0"/>
        <w:spacing w:line="480" w:lineRule="exact"/>
        <w:ind w:firstLine="480" w:firstLineChars="200"/>
        <w:jc w:val="both"/>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日期：        年    月   日</w:t>
      </w:r>
    </w:p>
    <w:p w14:paraId="13259D41">
      <w:pPr>
        <w:keepNext w:val="0"/>
        <w:keepLines w:val="0"/>
        <w:pageBreakBefore w:val="0"/>
        <w:widowControl w:val="0"/>
        <w:tabs>
          <w:tab w:val="left" w:pos="3600"/>
        </w:tabs>
        <w:kinsoku/>
        <w:wordWrap/>
        <w:overflowPunct w:val="0"/>
        <w:topLinePunct w:val="0"/>
        <w:autoSpaceDE/>
        <w:autoSpaceDN/>
        <w:bidi w:val="0"/>
        <w:adjustRightInd/>
        <w:snapToGrid/>
        <w:jc w:val="center"/>
        <w:textAlignment w:val="auto"/>
        <w:outlineLvl w:val="1"/>
        <w:rPr>
          <w:rFonts w:hint="eastAsia" w:ascii="宋体" w:hAnsi="宋体" w:eastAsia="宋体" w:cs="宋体"/>
          <w:b/>
          <w:color w:val="auto"/>
          <w:kern w:val="1"/>
          <w:sz w:val="32"/>
          <w:szCs w:val="32"/>
        </w:rPr>
      </w:pPr>
      <w:r>
        <w:rPr>
          <w:rFonts w:ascii="宋体" w:hAnsi="宋体" w:eastAsia="宋体" w:cs="宋体"/>
          <w:color w:val="auto"/>
          <w:kern w:val="1"/>
          <w:szCs w:val="21"/>
        </w:rPr>
        <w:br w:type="page"/>
      </w:r>
      <w:bookmarkStart w:id="587" w:name="_Toc20272"/>
      <w:r>
        <w:rPr>
          <w:rFonts w:hint="eastAsia" w:ascii="宋体" w:hAnsi="宋体" w:eastAsia="宋体" w:cs="宋体"/>
          <w:b/>
          <w:color w:val="auto"/>
          <w:kern w:val="1"/>
          <w:sz w:val="32"/>
          <w:szCs w:val="32"/>
        </w:rPr>
        <w:t>八、 报价一览表及报价文件</w:t>
      </w:r>
      <w:bookmarkEnd w:id="587"/>
    </w:p>
    <w:p w14:paraId="6B6E320F">
      <w:pPr>
        <w:pageBreakBefore w:val="0"/>
        <w:widowControl w:val="0"/>
        <w:kinsoku/>
        <w:wordWrap/>
        <w:overflowPunct w:val="0"/>
        <w:bidi w:val="0"/>
        <w:adjustRightInd w:val="0"/>
        <w:snapToGrid w:val="0"/>
        <w:ind w:right="23" w:rightChars="11"/>
        <w:jc w:val="center"/>
        <w:textAlignment w:val="auto"/>
        <w:rPr>
          <w:rFonts w:ascii="宋体" w:hAnsi="宋体" w:eastAsia="宋体" w:cs="宋体"/>
          <w:b/>
          <w:bCs w:val="0"/>
          <w:color w:val="auto"/>
          <w:kern w:val="1"/>
          <w:sz w:val="28"/>
          <w:szCs w:val="28"/>
        </w:rPr>
      </w:pPr>
      <w:r>
        <w:rPr>
          <w:rFonts w:hint="eastAsia" w:ascii="宋体" w:hAnsi="宋体" w:eastAsia="宋体" w:cs="宋体"/>
          <w:b/>
          <w:bCs w:val="0"/>
          <w:color w:val="auto"/>
          <w:kern w:val="1"/>
          <w:sz w:val="28"/>
          <w:szCs w:val="28"/>
        </w:rPr>
        <w:t>附件12-1</w:t>
      </w:r>
      <w:r>
        <w:rPr>
          <w:rFonts w:hint="eastAsia" w:ascii="宋体" w:hAnsi="宋体" w:eastAsia="宋体" w:cs="宋体"/>
          <w:b/>
          <w:bCs w:val="0"/>
          <w:color w:val="auto"/>
          <w:kern w:val="1"/>
          <w:sz w:val="28"/>
          <w:szCs w:val="28"/>
          <w:lang w:val="en-US" w:eastAsia="zh-CN"/>
        </w:rPr>
        <w:t xml:space="preserve">  </w:t>
      </w:r>
      <w:r>
        <w:rPr>
          <w:rFonts w:hint="eastAsia" w:ascii="宋体" w:hAnsi="宋体" w:eastAsia="宋体" w:cs="宋体"/>
          <w:b/>
          <w:bCs w:val="0"/>
          <w:color w:val="auto"/>
          <w:kern w:val="1"/>
          <w:sz w:val="28"/>
          <w:szCs w:val="28"/>
        </w:rPr>
        <w:t>报价一览表</w:t>
      </w:r>
    </w:p>
    <w:tbl>
      <w:tblPr>
        <w:tblStyle w:val="16"/>
        <w:tblW w:w="0" w:type="auto"/>
        <w:jc w:val="center"/>
        <w:tblLayout w:type="fixed"/>
        <w:tblCellMar>
          <w:top w:w="0" w:type="dxa"/>
          <w:left w:w="108" w:type="dxa"/>
          <w:bottom w:w="0" w:type="dxa"/>
          <w:right w:w="108" w:type="dxa"/>
        </w:tblCellMar>
      </w:tblPr>
      <w:tblGrid>
        <w:gridCol w:w="1620"/>
        <w:gridCol w:w="3060"/>
        <w:gridCol w:w="1620"/>
        <w:gridCol w:w="2520"/>
      </w:tblGrid>
      <w:tr w14:paraId="0E28E2DB">
        <w:tblPrEx>
          <w:tblCellMar>
            <w:top w:w="0" w:type="dxa"/>
            <w:left w:w="108" w:type="dxa"/>
            <w:bottom w:w="0" w:type="dxa"/>
            <w:right w:w="108" w:type="dxa"/>
          </w:tblCellMar>
        </w:tblPrEx>
        <w:trPr>
          <w:trHeight w:val="449" w:hRule="atLeast"/>
          <w:jc w:val="center"/>
        </w:trPr>
        <w:tc>
          <w:tcPr>
            <w:tcW w:w="1620" w:type="dxa"/>
            <w:vMerge w:val="restart"/>
            <w:tcBorders>
              <w:top w:val="double" w:color="000000" w:sz="4" w:space="0"/>
              <w:left w:val="double" w:color="000000" w:sz="4" w:space="0"/>
              <w:bottom w:val="single" w:color="000000" w:sz="6" w:space="0"/>
              <w:right w:val="single" w:color="000000" w:sz="6" w:space="0"/>
            </w:tcBorders>
            <w:noWrap w:val="0"/>
            <w:vAlign w:val="center"/>
          </w:tcPr>
          <w:p w14:paraId="771DFA9D">
            <w:pPr>
              <w:pageBreakBefore w:val="0"/>
              <w:widowControl w:val="0"/>
              <w:tabs>
                <w:tab w:val="left" w:pos="403"/>
                <w:tab w:val="center" w:pos="3781"/>
              </w:tabs>
              <w:kinsoku/>
              <w:wordWrap/>
              <w:overflowPunct w:val="0"/>
              <w:bidi w:val="0"/>
              <w:spacing w:line="420" w:lineRule="exact"/>
              <w:ind w:right="-5206" w:firstLine="210"/>
              <w:jc w:val="both"/>
              <w:textAlignment w:val="auto"/>
              <w:rPr>
                <w:rFonts w:ascii="宋体" w:hAnsi="宋体" w:eastAsia="宋体" w:cs="宋体"/>
                <w:color w:val="auto"/>
                <w:kern w:val="1"/>
                <w:szCs w:val="21"/>
              </w:rPr>
            </w:pPr>
            <w:r>
              <w:rPr>
                <w:rFonts w:ascii="宋体" w:hAnsi="宋体" w:eastAsia="宋体" w:cs="宋体"/>
                <w:color w:val="auto"/>
                <w:kern w:val="1"/>
                <w:szCs w:val="21"/>
              </w:rPr>
              <w:t>项目名称</w:t>
            </w:r>
            <w:r>
              <w:rPr>
                <w:rFonts w:ascii="宋体" w:hAnsi="宋体" w:eastAsia="宋体" w:cs="宋体"/>
                <w:color w:val="auto"/>
                <w:kern w:val="1"/>
                <w:szCs w:val="21"/>
              </w:rPr>
              <w:tab/>
            </w:r>
            <w:r>
              <w:rPr>
                <w:rFonts w:ascii="宋体" w:hAnsi="宋体" w:eastAsia="宋体" w:cs="宋体"/>
                <w:color w:val="auto"/>
                <w:kern w:val="1"/>
                <w:szCs w:val="21"/>
              </w:rPr>
              <w:t>项目名称</w:t>
            </w:r>
          </w:p>
        </w:tc>
        <w:tc>
          <w:tcPr>
            <w:tcW w:w="3060" w:type="dxa"/>
            <w:vMerge w:val="restart"/>
            <w:tcBorders>
              <w:top w:val="double" w:color="000000" w:sz="4" w:space="0"/>
              <w:left w:val="single" w:color="000000" w:sz="6" w:space="0"/>
              <w:bottom w:val="single" w:color="000000" w:sz="6" w:space="0"/>
              <w:right w:val="single" w:color="000000" w:sz="6" w:space="0"/>
            </w:tcBorders>
            <w:noWrap w:val="0"/>
            <w:vAlign w:val="center"/>
          </w:tcPr>
          <w:p w14:paraId="3FB80E56">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c>
          <w:tcPr>
            <w:tcW w:w="1620" w:type="dxa"/>
            <w:tcBorders>
              <w:top w:val="double" w:color="000000" w:sz="4" w:space="0"/>
              <w:left w:val="single" w:color="000000" w:sz="6" w:space="0"/>
              <w:bottom w:val="single" w:color="000000" w:sz="6" w:space="0"/>
              <w:right w:val="single" w:color="000000" w:sz="6" w:space="0"/>
            </w:tcBorders>
            <w:noWrap w:val="0"/>
            <w:vAlign w:val="center"/>
          </w:tcPr>
          <w:p w14:paraId="18BFF1B1">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政府采购</w:t>
            </w:r>
            <w:r>
              <w:rPr>
                <w:rFonts w:ascii="宋体" w:hAnsi="宋体" w:eastAsia="宋体" w:cs="宋体"/>
                <w:color w:val="auto"/>
                <w:kern w:val="1"/>
                <w:szCs w:val="21"/>
              </w:rPr>
              <w:t>编号</w:t>
            </w:r>
          </w:p>
        </w:tc>
        <w:tc>
          <w:tcPr>
            <w:tcW w:w="2520" w:type="dxa"/>
            <w:tcBorders>
              <w:top w:val="double" w:color="000000" w:sz="4" w:space="0"/>
              <w:left w:val="single" w:color="000000" w:sz="6" w:space="0"/>
              <w:bottom w:val="single" w:color="000000" w:sz="6" w:space="0"/>
              <w:right w:val="double" w:color="000000" w:sz="4" w:space="0"/>
            </w:tcBorders>
            <w:noWrap w:val="0"/>
            <w:vAlign w:val="center"/>
          </w:tcPr>
          <w:p w14:paraId="7C42A0C3">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r w14:paraId="4CE08227">
        <w:tblPrEx>
          <w:tblCellMar>
            <w:top w:w="0" w:type="dxa"/>
            <w:left w:w="108" w:type="dxa"/>
            <w:bottom w:w="0" w:type="dxa"/>
            <w:right w:w="108" w:type="dxa"/>
          </w:tblCellMar>
        </w:tblPrEx>
        <w:trPr>
          <w:trHeight w:val="456" w:hRule="atLeast"/>
          <w:jc w:val="center"/>
        </w:trPr>
        <w:tc>
          <w:tcPr>
            <w:tcW w:w="1620" w:type="dxa"/>
            <w:vMerge w:val="continue"/>
            <w:tcBorders>
              <w:top w:val="single" w:color="000000" w:sz="6" w:space="0"/>
              <w:left w:val="double" w:color="000000" w:sz="4" w:space="0"/>
              <w:bottom w:val="single" w:color="000000" w:sz="6" w:space="0"/>
              <w:right w:val="single" w:color="000000" w:sz="6" w:space="0"/>
            </w:tcBorders>
            <w:noWrap w:val="0"/>
            <w:vAlign w:val="center"/>
          </w:tcPr>
          <w:p w14:paraId="380AB985">
            <w:pPr>
              <w:pageBreakBefore w:val="0"/>
              <w:widowControl w:val="0"/>
              <w:kinsoku/>
              <w:wordWrap/>
              <w:overflowPunct w:val="0"/>
              <w:bidi w:val="0"/>
              <w:spacing w:line="240" w:lineRule="auto"/>
              <w:jc w:val="both"/>
              <w:textAlignment w:val="auto"/>
              <w:rPr>
                <w:rFonts w:ascii="宋体" w:hAnsi="宋体" w:eastAsia="宋体" w:cs="宋体"/>
                <w:color w:val="auto"/>
                <w:kern w:val="1"/>
                <w:szCs w:val="21"/>
              </w:rPr>
            </w:pPr>
          </w:p>
        </w:tc>
        <w:tc>
          <w:tcPr>
            <w:tcW w:w="306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7097CAA">
            <w:pPr>
              <w:pageBreakBefore w:val="0"/>
              <w:widowControl w:val="0"/>
              <w:kinsoku/>
              <w:wordWrap/>
              <w:overflowPunct w:val="0"/>
              <w:bidi w:val="0"/>
              <w:spacing w:line="240" w:lineRule="auto"/>
              <w:jc w:val="both"/>
              <w:textAlignment w:val="auto"/>
              <w:rPr>
                <w:rFonts w:ascii="宋体" w:hAnsi="宋体" w:eastAsia="宋体" w:cs="宋体"/>
                <w:color w:val="auto"/>
                <w:kern w:val="1"/>
                <w:szCs w:val="21"/>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0BA18757">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采购代理</w:t>
            </w:r>
            <w:r>
              <w:rPr>
                <w:rFonts w:ascii="宋体" w:hAnsi="宋体" w:eastAsia="宋体" w:cs="宋体"/>
                <w:color w:val="auto"/>
                <w:kern w:val="1"/>
                <w:szCs w:val="21"/>
              </w:rPr>
              <w:t>编号</w:t>
            </w:r>
          </w:p>
        </w:tc>
        <w:tc>
          <w:tcPr>
            <w:tcW w:w="2520" w:type="dxa"/>
            <w:tcBorders>
              <w:top w:val="single" w:color="000000" w:sz="6" w:space="0"/>
              <w:left w:val="single" w:color="000000" w:sz="6" w:space="0"/>
              <w:bottom w:val="single" w:color="000000" w:sz="6" w:space="0"/>
              <w:right w:val="double" w:color="000000" w:sz="4" w:space="0"/>
            </w:tcBorders>
            <w:noWrap w:val="0"/>
            <w:vAlign w:val="center"/>
          </w:tcPr>
          <w:p w14:paraId="5173E66B">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r w14:paraId="6FF26986">
        <w:tblPrEx>
          <w:tblCellMar>
            <w:top w:w="0" w:type="dxa"/>
            <w:left w:w="108" w:type="dxa"/>
            <w:bottom w:w="0" w:type="dxa"/>
            <w:right w:w="108" w:type="dxa"/>
          </w:tblCellMar>
        </w:tblPrEx>
        <w:trPr>
          <w:trHeight w:val="603" w:hRule="atLeast"/>
          <w:jc w:val="center"/>
        </w:trPr>
        <w:tc>
          <w:tcPr>
            <w:tcW w:w="1620" w:type="dxa"/>
            <w:tcBorders>
              <w:top w:val="single" w:color="000000" w:sz="6" w:space="0"/>
              <w:left w:val="double" w:color="000000" w:sz="4" w:space="0"/>
              <w:bottom w:val="single" w:color="000000" w:sz="4" w:space="0"/>
              <w:right w:val="single" w:color="000000" w:sz="6" w:space="0"/>
            </w:tcBorders>
            <w:noWrap w:val="0"/>
            <w:vAlign w:val="center"/>
          </w:tcPr>
          <w:p w14:paraId="0F08C6CB">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品目分类编码</w:t>
            </w:r>
          </w:p>
        </w:tc>
        <w:tc>
          <w:tcPr>
            <w:tcW w:w="7200" w:type="dxa"/>
            <w:gridSpan w:val="3"/>
            <w:tcBorders>
              <w:top w:val="single" w:color="000000" w:sz="6" w:space="0"/>
              <w:left w:val="single" w:color="000000" w:sz="6" w:space="0"/>
              <w:bottom w:val="single" w:color="000000" w:sz="6" w:space="0"/>
              <w:right w:val="double" w:color="000000" w:sz="4" w:space="0"/>
            </w:tcBorders>
            <w:noWrap w:val="0"/>
            <w:vAlign w:val="center"/>
          </w:tcPr>
          <w:p w14:paraId="334528D3">
            <w:pPr>
              <w:pageBreakBefore w:val="0"/>
              <w:widowControl w:val="0"/>
              <w:kinsoku/>
              <w:wordWrap/>
              <w:overflowPunct w:val="0"/>
              <w:bidi w:val="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w:t>
            </w:r>
          </w:p>
        </w:tc>
      </w:tr>
      <w:tr w14:paraId="5E6CAA51">
        <w:tblPrEx>
          <w:tblCellMar>
            <w:top w:w="0" w:type="dxa"/>
            <w:left w:w="108" w:type="dxa"/>
            <w:bottom w:w="0" w:type="dxa"/>
            <w:right w:w="108" w:type="dxa"/>
          </w:tblCellMar>
        </w:tblPrEx>
        <w:trPr>
          <w:trHeight w:val="1490" w:hRule="atLeast"/>
          <w:jc w:val="center"/>
        </w:trPr>
        <w:tc>
          <w:tcPr>
            <w:tcW w:w="1620" w:type="dxa"/>
            <w:tcBorders>
              <w:top w:val="single" w:color="000000" w:sz="6" w:space="0"/>
              <w:left w:val="double" w:color="000000" w:sz="4" w:space="0"/>
              <w:bottom w:val="single" w:color="000000" w:sz="4" w:space="0"/>
              <w:right w:val="single" w:color="000000" w:sz="6" w:space="0"/>
            </w:tcBorders>
            <w:noWrap w:val="0"/>
            <w:vAlign w:val="center"/>
          </w:tcPr>
          <w:p w14:paraId="446FA141">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工程总</w:t>
            </w:r>
            <w:r>
              <w:rPr>
                <w:rFonts w:ascii="宋体" w:hAnsi="宋体" w:eastAsia="宋体" w:cs="宋体"/>
                <w:color w:val="auto"/>
                <w:kern w:val="1"/>
                <w:szCs w:val="21"/>
              </w:rPr>
              <w:t>报价</w:t>
            </w:r>
          </w:p>
        </w:tc>
        <w:tc>
          <w:tcPr>
            <w:tcW w:w="7200" w:type="dxa"/>
            <w:gridSpan w:val="3"/>
            <w:tcBorders>
              <w:top w:val="single" w:color="000000" w:sz="6" w:space="0"/>
              <w:left w:val="single" w:color="000000" w:sz="6" w:space="0"/>
              <w:bottom w:val="single" w:color="000000" w:sz="6" w:space="0"/>
              <w:right w:val="double" w:color="000000" w:sz="4" w:space="0"/>
            </w:tcBorders>
            <w:noWrap w:val="0"/>
            <w:vAlign w:val="center"/>
          </w:tcPr>
          <w:p w14:paraId="645D441F">
            <w:pPr>
              <w:pageBreakBefore w:val="0"/>
              <w:widowControl w:val="0"/>
              <w:kinsoku/>
              <w:wordWrap/>
              <w:overflowPunct w:val="0"/>
              <w:bidi w:val="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大写：元人民币整</w:t>
            </w:r>
          </w:p>
          <w:p w14:paraId="79266584">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小写：元人民币整</w:t>
            </w:r>
          </w:p>
        </w:tc>
      </w:tr>
      <w:tr w14:paraId="56843160">
        <w:tblPrEx>
          <w:tblCellMar>
            <w:top w:w="0" w:type="dxa"/>
            <w:left w:w="108" w:type="dxa"/>
            <w:bottom w:w="0" w:type="dxa"/>
            <w:right w:w="108" w:type="dxa"/>
          </w:tblCellMar>
        </w:tblPrEx>
        <w:trPr>
          <w:trHeight w:val="608" w:hRule="atLeast"/>
          <w:jc w:val="center"/>
        </w:trPr>
        <w:tc>
          <w:tcPr>
            <w:tcW w:w="1620" w:type="dxa"/>
            <w:tcBorders>
              <w:top w:val="single" w:color="000000" w:sz="6" w:space="0"/>
              <w:left w:val="double" w:color="000000" w:sz="4" w:space="0"/>
              <w:bottom w:val="single" w:color="000000" w:sz="4" w:space="0"/>
              <w:right w:val="single" w:color="000000" w:sz="6" w:space="0"/>
            </w:tcBorders>
            <w:noWrap w:val="0"/>
            <w:vAlign w:val="center"/>
          </w:tcPr>
          <w:p w14:paraId="23AA10AE">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合同工期</w:t>
            </w:r>
          </w:p>
        </w:tc>
        <w:tc>
          <w:tcPr>
            <w:tcW w:w="7200" w:type="dxa"/>
            <w:gridSpan w:val="3"/>
            <w:tcBorders>
              <w:top w:val="single" w:color="000000" w:sz="6" w:space="0"/>
              <w:left w:val="single" w:color="000000" w:sz="6" w:space="0"/>
              <w:bottom w:val="single" w:color="000000" w:sz="4" w:space="0"/>
              <w:right w:val="double" w:color="000000" w:sz="4" w:space="0"/>
            </w:tcBorders>
            <w:noWrap w:val="0"/>
            <w:vAlign w:val="center"/>
          </w:tcPr>
          <w:p w14:paraId="1604A382">
            <w:pPr>
              <w:pageBreakBefore w:val="0"/>
              <w:widowControl w:val="0"/>
              <w:kinsoku/>
              <w:wordWrap/>
              <w:overflowPunct w:val="0"/>
              <w:bidi w:val="0"/>
              <w:jc w:val="both"/>
              <w:textAlignment w:val="auto"/>
              <w:rPr>
                <w:rFonts w:ascii="宋体" w:hAnsi="宋体" w:eastAsia="宋体" w:cs="宋体"/>
                <w:color w:val="auto"/>
                <w:kern w:val="1"/>
                <w:szCs w:val="21"/>
              </w:rPr>
            </w:pPr>
          </w:p>
        </w:tc>
      </w:tr>
      <w:tr w14:paraId="09C36C32">
        <w:tblPrEx>
          <w:tblCellMar>
            <w:top w:w="0" w:type="dxa"/>
            <w:left w:w="108" w:type="dxa"/>
            <w:bottom w:w="0" w:type="dxa"/>
            <w:right w:w="108" w:type="dxa"/>
          </w:tblCellMar>
        </w:tblPrEx>
        <w:trPr>
          <w:trHeight w:val="608" w:hRule="atLeast"/>
          <w:jc w:val="center"/>
        </w:trPr>
        <w:tc>
          <w:tcPr>
            <w:tcW w:w="1620" w:type="dxa"/>
            <w:tcBorders>
              <w:top w:val="single" w:color="000000" w:sz="4" w:space="0"/>
              <w:left w:val="double" w:color="000000" w:sz="4" w:space="0"/>
              <w:bottom w:val="single" w:color="000000" w:sz="4" w:space="0"/>
              <w:right w:val="single" w:color="000000" w:sz="6" w:space="0"/>
            </w:tcBorders>
            <w:noWrap w:val="0"/>
            <w:vAlign w:val="center"/>
          </w:tcPr>
          <w:p w14:paraId="22F2F71D">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质量标准</w:t>
            </w:r>
          </w:p>
        </w:tc>
        <w:tc>
          <w:tcPr>
            <w:tcW w:w="7200" w:type="dxa"/>
            <w:gridSpan w:val="3"/>
            <w:tcBorders>
              <w:top w:val="single" w:color="000000" w:sz="4" w:space="0"/>
              <w:left w:val="single" w:color="000000" w:sz="6" w:space="0"/>
              <w:bottom w:val="single" w:color="000000" w:sz="6" w:space="0"/>
              <w:right w:val="double" w:color="000000" w:sz="4" w:space="0"/>
            </w:tcBorders>
            <w:noWrap w:val="0"/>
            <w:vAlign w:val="center"/>
          </w:tcPr>
          <w:p w14:paraId="050AB03F">
            <w:pPr>
              <w:pageBreakBefore w:val="0"/>
              <w:widowControl w:val="0"/>
              <w:kinsoku/>
              <w:wordWrap/>
              <w:overflowPunct w:val="0"/>
              <w:bidi w:val="0"/>
              <w:jc w:val="both"/>
              <w:textAlignment w:val="auto"/>
              <w:rPr>
                <w:rFonts w:ascii="宋体" w:hAnsi="宋体" w:eastAsia="宋体" w:cs="宋体"/>
                <w:color w:val="auto"/>
                <w:kern w:val="1"/>
                <w:szCs w:val="21"/>
              </w:rPr>
            </w:pPr>
          </w:p>
        </w:tc>
      </w:tr>
      <w:tr w14:paraId="48E85AD5">
        <w:tblPrEx>
          <w:tblCellMar>
            <w:top w:w="0" w:type="dxa"/>
            <w:left w:w="108" w:type="dxa"/>
            <w:bottom w:w="0" w:type="dxa"/>
            <w:right w:w="108" w:type="dxa"/>
          </w:tblCellMar>
        </w:tblPrEx>
        <w:trPr>
          <w:trHeight w:val="608" w:hRule="atLeast"/>
          <w:jc w:val="center"/>
        </w:trPr>
        <w:tc>
          <w:tcPr>
            <w:tcW w:w="1620" w:type="dxa"/>
            <w:tcBorders>
              <w:top w:val="single" w:color="000000" w:sz="6" w:space="0"/>
              <w:left w:val="double" w:color="000000" w:sz="4" w:space="0"/>
              <w:bottom w:val="single" w:color="000000" w:sz="6" w:space="0"/>
              <w:right w:val="single" w:color="000000" w:sz="6" w:space="0"/>
            </w:tcBorders>
            <w:noWrap w:val="0"/>
            <w:vAlign w:val="center"/>
          </w:tcPr>
          <w:p w14:paraId="66E5D72D">
            <w:pPr>
              <w:pageBreakBefore w:val="0"/>
              <w:widowControl w:val="0"/>
              <w:kinsoku/>
              <w:wordWrap/>
              <w:overflowPunct w:val="0"/>
              <w:bidi w:val="0"/>
              <w:jc w:val="both"/>
              <w:textAlignment w:val="auto"/>
              <w:rPr>
                <w:rFonts w:ascii="宋体" w:hAnsi="宋体" w:eastAsia="宋体" w:cs="宋体"/>
                <w:color w:val="auto"/>
                <w:kern w:val="1"/>
                <w:szCs w:val="21"/>
              </w:rPr>
            </w:pPr>
            <w:r>
              <w:rPr>
                <w:rFonts w:ascii="宋体" w:hAnsi="宋体" w:eastAsia="宋体" w:cs="宋体"/>
                <w:color w:val="auto"/>
                <w:kern w:val="1"/>
                <w:szCs w:val="21"/>
              </w:rPr>
              <w:t>保修承诺</w:t>
            </w:r>
          </w:p>
        </w:tc>
        <w:tc>
          <w:tcPr>
            <w:tcW w:w="7200" w:type="dxa"/>
            <w:gridSpan w:val="3"/>
            <w:tcBorders>
              <w:top w:val="single" w:color="000000" w:sz="6" w:space="0"/>
              <w:left w:val="single" w:color="000000" w:sz="6" w:space="0"/>
              <w:bottom w:val="single" w:color="000000" w:sz="6" w:space="0"/>
              <w:right w:val="double" w:color="000000" w:sz="4" w:space="0"/>
            </w:tcBorders>
            <w:noWrap w:val="0"/>
            <w:vAlign w:val="center"/>
          </w:tcPr>
          <w:p w14:paraId="7B4F18FC">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r w14:paraId="71B502C1">
        <w:tblPrEx>
          <w:tblCellMar>
            <w:top w:w="0" w:type="dxa"/>
            <w:left w:w="108" w:type="dxa"/>
            <w:bottom w:w="0" w:type="dxa"/>
            <w:right w:w="108" w:type="dxa"/>
          </w:tblCellMar>
        </w:tblPrEx>
        <w:trPr>
          <w:trHeight w:val="608" w:hRule="atLeast"/>
          <w:jc w:val="center"/>
        </w:trPr>
        <w:tc>
          <w:tcPr>
            <w:tcW w:w="1620" w:type="dxa"/>
            <w:tcBorders>
              <w:top w:val="single" w:color="000000" w:sz="6" w:space="0"/>
              <w:left w:val="double" w:color="000000" w:sz="4" w:space="0"/>
              <w:bottom w:val="single" w:color="000000" w:sz="6" w:space="0"/>
              <w:right w:val="single" w:color="000000" w:sz="6" w:space="0"/>
            </w:tcBorders>
            <w:noWrap w:val="0"/>
            <w:vAlign w:val="center"/>
          </w:tcPr>
          <w:p w14:paraId="1AE422D3">
            <w:pPr>
              <w:pageBreakBefore w:val="0"/>
              <w:widowControl w:val="0"/>
              <w:kinsoku/>
              <w:wordWrap/>
              <w:overflowPunct w:val="0"/>
              <w:bidi w:val="0"/>
              <w:jc w:val="both"/>
              <w:textAlignment w:val="auto"/>
              <w:rPr>
                <w:rFonts w:ascii="宋体" w:hAnsi="宋体" w:eastAsia="宋体" w:cs="宋体"/>
                <w:color w:val="auto"/>
                <w:kern w:val="1"/>
                <w:szCs w:val="21"/>
              </w:rPr>
            </w:pPr>
            <w:r>
              <w:rPr>
                <w:rFonts w:ascii="宋体" w:hAnsi="宋体" w:eastAsia="宋体" w:cs="宋体"/>
                <w:color w:val="auto"/>
                <w:kern w:val="1"/>
                <w:szCs w:val="21"/>
              </w:rPr>
              <w:t>项目负责人</w:t>
            </w:r>
          </w:p>
        </w:tc>
        <w:tc>
          <w:tcPr>
            <w:tcW w:w="7200" w:type="dxa"/>
            <w:gridSpan w:val="3"/>
            <w:tcBorders>
              <w:top w:val="single" w:color="000000" w:sz="6" w:space="0"/>
              <w:left w:val="single" w:color="000000" w:sz="6" w:space="0"/>
              <w:bottom w:val="single" w:color="000000" w:sz="6" w:space="0"/>
              <w:right w:val="double" w:color="000000" w:sz="4" w:space="0"/>
            </w:tcBorders>
            <w:noWrap w:val="0"/>
            <w:vAlign w:val="center"/>
          </w:tcPr>
          <w:p w14:paraId="6110AF7F">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姓名：</w:t>
            </w:r>
          </w:p>
          <w:p w14:paraId="3415676A">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级别：</w:t>
            </w:r>
          </w:p>
          <w:p w14:paraId="139F1E00">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注册证号：</w:t>
            </w:r>
          </w:p>
          <w:p w14:paraId="114EBBCD">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B类安全生产考核合格证号：</w:t>
            </w:r>
          </w:p>
          <w:p w14:paraId="314FF25F">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身份证号：</w:t>
            </w:r>
          </w:p>
        </w:tc>
      </w:tr>
      <w:tr w14:paraId="669E64EA">
        <w:tblPrEx>
          <w:tblCellMar>
            <w:top w:w="0" w:type="dxa"/>
            <w:left w:w="108" w:type="dxa"/>
            <w:bottom w:w="0" w:type="dxa"/>
            <w:right w:w="108" w:type="dxa"/>
          </w:tblCellMar>
        </w:tblPrEx>
        <w:trPr>
          <w:trHeight w:val="608" w:hRule="atLeast"/>
          <w:jc w:val="center"/>
        </w:trPr>
        <w:tc>
          <w:tcPr>
            <w:tcW w:w="1620" w:type="dxa"/>
            <w:tcBorders>
              <w:top w:val="single" w:color="000000" w:sz="6" w:space="0"/>
              <w:left w:val="double" w:color="000000" w:sz="4" w:space="0"/>
              <w:bottom w:val="double" w:color="000000" w:sz="4" w:space="0"/>
              <w:right w:val="single" w:color="000000" w:sz="6" w:space="0"/>
            </w:tcBorders>
            <w:noWrap w:val="0"/>
            <w:vAlign w:val="center"/>
          </w:tcPr>
          <w:p w14:paraId="4F7FEE2D">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备  注</w:t>
            </w:r>
          </w:p>
        </w:tc>
        <w:tc>
          <w:tcPr>
            <w:tcW w:w="7200" w:type="dxa"/>
            <w:gridSpan w:val="3"/>
            <w:tcBorders>
              <w:top w:val="single" w:color="000000" w:sz="6" w:space="0"/>
              <w:left w:val="single" w:color="000000" w:sz="6" w:space="0"/>
              <w:bottom w:val="double" w:color="000000" w:sz="4" w:space="0"/>
              <w:right w:val="double" w:color="000000" w:sz="4" w:space="0"/>
            </w:tcBorders>
            <w:noWrap w:val="0"/>
            <w:vAlign w:val="center"/>
          </w:tcPr>
          <w:p w14:paraId="49FF9478">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bl>
    <w:p w14:paraId="09373311">
      <w:pPr>
        <w:pageBreakBefore w:val="0"/>
        <w:widowControl w:val="0"/>
        <w:kinsoku/>
        <w:wordWrap/>
        <w:overflowPunct w:val="0"/>
        <w:bidi w:val="0"/>
        <w:ind w:left="-88"/>
        <w:jc w:val="both"/>
        <w:textAlignment w:val="auto"/>
        <w:rPr>
          <w:rFonts w:ascii="宋体" w:hAnsi="宋体" w:eastAsia="宋体" w:cs="宋体"/>
          <w:color w:val="auto"/>
          <w:kern w:val="1"/>
          <w:szCs w:val="21"/>
        </w:rPr>
      </w:pPr>
    </w:p>
    <w:p w14:paraId="01537BF6">
      <w:pPr>
        <w:pageBreakBefore w:val="0"/>
        <w:widowControl w:val="0"/>
        <w:kinsoku/>
        <w:wordWrap/>
        <w:overflowPunct w:val="0"/>
        <w:bidi w:val="0"/>
        <w:ind w:left="-88"/>
        <w:jc w:val="both"/>
        <w:textAlignment w:val="auto"/>
        <w:rPr>
          <w:rFonts w:ascii="宋体" w:hAnsi="宋体" w:eastAsia="宋体" w:cs="宋体"/>
          <w:color w:val="auto"/>
          <w:kern w:val="1"/>
          <w:szCs w:val="21"/>
        </w:rPr>
      </w:pPr>
    </w:p>
    <w:p w14:paraId="7A1EA4B2">
      <w:pPr>
        <w:pageBreakBefore w:val="0"/>
        <w:widowControl w:val="0"/>
        <w:kinsoku/>
        <w:wordWrap/>
        <w:overflowPunct w:val="0"/>
        <w:bidi w:val="0"/>
        <w:ind w:left="-88"/>
        <w:jc w:val="both"/>
        <w:textAlignment w:val="auto"/>
        <w:rPr>
          <w:rFonts w:ascii="宋体" w:hAnsi="宋体" w:eastAsia="宋体" w:cs="宋体"/>
          <w:color w:val="auto"/>
          <w:kern w:val="1"/>
          <w:szCs w:val="21"/>
        </w:rPr>
      </w:pPr>
    </w:p>
    <w:p w14:paraId="3EFA67C4">
      <w:pPr>
        <w:pageBreakBefore w:val="0"/>
        <w:widowControl w:val="0"/>
        <w:kinsoku/>
        <w:wordWrap/>
        <w:overflowPunct w:val="0"/>
        <w:bidi w:val="0"/>
        <w:ind w:left="-88"/>
        <w:jc w:val="both"/>
        <w:textAlignment w:val="auto"/>
        <w:rPr>
          <w:rFonts w:ascii="宋体" w:hAnsi="宋体" w:eastAsia="宋体" w:cs="宋体"/>
          <w:color w:val="auto"/>
          <w:kern w:val="1"/>
          <w:szCs w:val="21"/>
        </w:rPr>
      </w:pPr>
    </w:p>
    <w:p w14:paraId="1DA55CC3">
      <w:pPr>
        <w:pageBreakBefore w:val="0"/>
        <w:widowControl w:val="0"/>
        <w:kinsoku/>
        <w:wordWrap/>
        <w:overflowPunct w:val="0"/>
        <w:bidi w:val="0"/>
        <w:ind w:left="-88"/>
        <w:jc w:val="both"/>
        <w:textAlignment w:val="auto"/>
        <w:rPr>
          <w:rFonts w:ascii="宋体" w:hAnsi="宋体" w:eastAsia="宋体" w:cs="宋体"/>
          <w:color w:val="auto"/>
          <w:kern w:val="1"/>
          <w:szCs w:val="21"/>
        </w:rPr>
      </w:pPr>
    </w:p>
    <w:p w14:paraId="17E1C0B1">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供应商（盖单位章）：</w:t>
      </w:r>
    </w:p>
    <w:p w14:paraId="43C18097">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法定代表人或其委托代理人签字：</w:t>
      </w:r>
    </w:p>
    <w:p w14:paraId="5FB60D9F">
      <w:pPr>
        <w:keepNext w:val="0"/>
        <w:keepLines w:val="0"/>
        <w:pageBreakBefore w:val="0"/>
        <w:widowControl w:val="0"/>
        <w:kinsoku/>
        <w:wordWrap/>
        <w:overflowPunct w:val="0"/>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日期：年月日</w:t>
      </w:r>
    </w:p>
    <w:p w14:paraId="6BA756B7">
      <w:pPr>
        <w:pStyle w:val="3"/>
        <w:pageBreakBefore w:val="0"/>
        <w:widowControl w:val="0"/>
        <w:kinsoku/>
        <w:wordWrap/>
        <w:overflowPunct w:val="0"/>
        <w:bidi w:val="0"/>
        <w:jc w:val="both"/>
        <w:textAlignment w:val="auto"/>
        <w:rPr>
          <w:rFonts w:ascii="宋体" w:hAnsi="宋体" w:eastAsia="宋体" w:cs="宋体"/>
          <w:color w:val="auto"/>
          <w:kern w:val="1"/>
          <w:szCs w:val="21"/>
        </w:rPr>
      </w:pPr>
    </w:p>
    <w:p w14:paraId="2CF2612F">
      <w:pPr>
        <w:pageBreakBefore w:val="0"/>
        <w:widowControl w:val="0"/>
        <w:kinsoku/>
        <w:wordWrap/>
        <w:overflowPunct w:val="0"/>
        <w:bidi w:val="0"/>
        <w:jc w:val="both"/>
        <w:textAlignment w:val="auto"/>
        <w:rPr>
          <w:rFonts w:ascii="宋体" w:hAnsi="宋体" w:eastAsia="宋体" w:cs="宋体"/>
          <w:color w:val="auto"/>
          <w:kern w:val="1"/>
          <w:szCs w:val="21"/>
        </w:rPr>
      </w:pPr>
    </w:p>
    <w:p w14:paraId="6EA064C4">
      <w:pPr>
        <w:pageBreakBefore w:val="0"/>
        <w:widowControl w:val="0"/>
        <w:kinsoku/>
        <w:wordWrap/>
        <w:overflowPunct w:val="0"/>
        <w:bidi w:val="0"/>
        <w:adjustRightInd w:val="0"/>
        <w:snapToGrid w:val="0"/>
        <w:ind w:right="23" w:rightChars="11"/>
        <w:jc w:val="center"/>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kern w:val="1"/>
          <w:sz w:val="28"/>
          <w:szCs w:val="28"/>
        </w:rPr>
        <w:t>附件12-2：</w:t>
      </w:r>
      <w:r>
        <w:rPr>
          <w:rFonts w:hint="eastAsia" w:ascii="宋体" w:hAnsi="宋体" w:eastAsia="宋体" w:cs="宋体"/>
          <w:b/>
          <w:bCs w:val="0"/>
          <w:color w:val="auto"/>
          <w:sz w:val="28"/>
          <w:szCs w:val="28"/>
        </w:rPr>
        <w:t>报价文件</w:t>
      </w:r>
    </w:p>
    <w:p w14:paraId="00C19B6C">
      <w:pPr>
        <w:pStyle w:val="14"/>
        <w:pageBreakBefore w:val="0"/>
        <w:widowControl w:val="0"/>
        <w:kinsoku/>
        <w:wordWrap/>
        <w:overflowPunct w:val="0"/>
        <w:bidi w:val="0"/>
        <w:ind w:firstLine="480"/>
        <w:jc w:val="both"/>
        <w:textAlignment w:val="auto"/>
        <w:rPr>
          <w:rFonts w:ascii="Times New Roman" w:hAnsi="Times New Roman" w:eastAsia="宋体" w:cs="Times New Roman"/>
          <w:color w:val="auto"/>
        </w:rPr>
      </w:pPr>
    </w:p>
    <w:p w14:paraId="75455EED">
      <w:pPr>
        <w:pageBreakBefore w:val="0"/>
        <w:widowControl w:val="0"/>
        <w:kinsoku/>
        <w:wordWrap/>
        <w:overflowPunct w:val="0"/>
        <w:bidi w:val="0"/>
        <w:ind w:firstLine="420" w:firstLineChars="20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备注：具体格式以本项目提供的工程量清单为准。</w:t>
      </w:r>
    </w:p>
    <w:p w14:paraId="529AC4ED">
      <w:pPr>
        <w:pageBreakBefore w:val="0"/>
        <w:widowControl w:val="0"/>
        <w:kinsoku/>
        <w:wordWrap/>
        <w:overflowPunct w:val="0"/>
        <w:bidi w:val="0"/>
        <w:jc w:val="both"/>
        <w:textAlignment w:val="auto"/>
        <w:rPr>
          <w:rFonts w:ascii="宋体" w:hAnsi="宋体" w:eastAsia="宋体" w:cs="宋体"/>
          <w:b/>
          <w:color w:val="auto"/>
          <w:kern w:val="1"/>
          <w:szCs w:val="21"/>
        </w:rPr>
      </w:pPr>
    </w:p>
    <w:p w14:paraId="51FF554E">
      <w:pPr>
        <w:pageBreakBefore w:val="0"/>
        <w:widowControl w:val="0"/>
        <w:kinsoku/>
        <w:wordWrap/>
        <w:overflowPunct w:val="0"/>
        <w:bidi w:val="0"/>
        <w:jc w:val="both"/>
        <w:textAlignment w:val="auto"/>
        <w:rPr>
          <w:rFonts w:ascii="宋体" w:hAnsi="宋体" w:eastAsia="宋体" w:cs="宋体"/>
          <w:b/>
          <w:color w:val="auto"/>
          <w:kern w:val="1"/>
          <w:szCs w:val="21"/>
        </w:rPr>
      </w:pPr>
    </w:p>
    <w:p w14:paraId="4976485B">
      <w:pPr>
        <w:pageBreakBefore w:val="0"/>
        <w:widowControl w:val="0"/>
        <w:kinsoku/>
        <w:wordWrap/>
        <w:overflowPunct w:val="0"/>
        <w:bidi w:val="0"/>
        <w:jc w:val="both"/>
        <w:textAlignment w:val="auto"/>
        <w:rPr>
          <w:rFonts w:ascii="宋体" w:hAnsi="宋体" w:cs="宋体"/>
          <w:b/>
          <w:color w:val="auto"/>
          <w:kern w:val="1"/>
          <w:szCs w:val="21"/>
        </w:rPr>
        <w:sectPr>
          <w:headerReference r:id="rId13" w:type="default"/>
          <w:footerReference r:id="rId14" w:type="default"/>
          <w:pgSz w:w="11906" w:h="16838"/>
          <w:pgMar w:top="1587" w:right="1587" w:bottom="1587" w:left="158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7FCA27F4">
      <w:pPr>
        <w:pageBreakBefore w:val="0"/>
        <w:widowControl w:val="0"/>
        <w:kinsoku/>
        <w:wordWrap/>
        <w:overflowPunct w:val="0"/>
        <w:bidi w:val="0"/>
        <w:jc w:val="both"/>
        <w:textAlignment w:val="auto"/>
        <w:rPr>
          <w:rFonts w:hint="eastAsia" w:ascii="Times New Roman" w:hAnsi="Times New Roman" w:eastAsia="宋体" w:cs="Times New Roman"/>
          <w:color w:val="auto"/>
        </w:rPr>
      </w:pPr>
    </w:p>
    <w:p w14:paraId="69DF8EEA">
      <w:pPr>
        <w:pageBreakBefore w:val="0"/>
        <w:widowControl w:val="0"/>
        <w:kinsoku/>
        <w:wordWrap/>
        <w:overflowPunct w:val="0"/>
        <w:bidi w:val="0"/>
        <w:adjustRightInd w:val="0"/>
        <w:snapToGrid w:val="0"/>
        <w:ind w:right="23" w:rightChars="11"/>
        <w:jc w:val="center"/>
        <w:textAlignment w:val="auto"/>
        <w:rPr>
          <w:rFonts w:hint="eastAsia" w:ascii="宋体" w:hAnsi="宋体" w:eastAsia="宋体" w:cs="宋体"/>
          <w:b/>
          <w:bCs w:val="0"/>
          <w:color w:val="auto"/>
          <w:szCs w:val="21"/>
        </w:rPr>
      </w:pPr>
      <w:r>
        <w:rPr>
          <w:rFonts w:hint="eastAsia" w:ascii="宋体" w:hAnsi="宋体" w:eastAsia="宋体" w:cs="宋体"/>
          <w:b/>
          <w:bCs w:val="0"/>
          <w:color w:val="auto"/>
          <w:sz w:val="28"/>
          <w:szCs w:val="28"/>
        </w:rPr>
        <w:t>主要材料表</w:t>
      </w:r>
    </w:p>
    <w:p w14:paraId="7DE54066">
      <w:pPr>
        <w:pageBreakBefore w:val="0"/>
        <w:widowControl w:val="0"/>
        <w:kinsoku/>
        <w:wordWrap/>
        <w:overflowPunct w:val="0"/>
        <w:bidi w:val="0"/>
        <w:spacing w:line="360" w:lineRule="exact"/>
        <w:ind w:right="23" w:rightChars="11" w:firstLine="211" w:firstLineChars="100"/>
        <w:jc w:val="both"/>
        <w:textAlignment w:val="auto"/>
        <w:rPr>
          <w:rFonts w:hint="eastAsia" w:ascii="楷体_GB2312" w:hAnsi="Times New Roman" w:eastAsia="楷体_GB2312" w:cs="Times New Roman"/>
          <w:b/>
          <w:color w:val="auto"/>
        </w:rPr>
      </w:pPr>
      <w:r>
        <w:rPr>
          <w:rFonts w:hint="eastAsia" w:ascii="楷体_GB2312" w:hAnsi="Times New Roman" w:eastAsia="楷体_GB2312" w:cs="Times New Roman"/>
          <w:b/>
          <w:color w:val="auto"/>
        </w:rPr>
        <w:t>金额单位：元</w:t>
      </w:r>
    </w:p>
    <w:tbl>
      <w:tblPr>
        <w:tblStyle w:val="16"/>
        <w:tblW w:w="86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4"/>
        <w:gridCol w:w="813"/>
        <w:gridCol w:w="1259"/>
        <w:gridCol w:w="1228"/>
        <w:gridCol w:w="1077"/>
        <w:gridCol w:w="1260"/>
        <w:gridCol w:w="1080"/>
      </w:tblGrid>
      <w:tr w14:paraId="46D07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6" w:type="dxa"/>
            <w:noWrap w:val="0"/>
            <w:vAlign w:val="center"/>
          </w:tcPr>
          <w:p w14:paraId="7EBF6567">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144" w:type="dxa"/>
            <w:noWrap w:val="0"/>
            <w:vAlign w:val="center"/>
          </w:tcPr>
          <w:p w14:paraId="1FC773FF">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材料名称</w:t>
            </w:r>
          </w:p>
        </w:tc>
        <w:tc>
          <w:tcPr>
            <w:tcW w:w="813" w:type="dxa"/>
            <w:noWrap w:val="0"/>
            <w:vAlign w:val="center"/>
          </w:tcPr>
          <w:p w14:paraId="56CB5E2B">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品牌</w:t>
            </w:r>
          </w:p>
        </w:tc>
        <w:tc>
          <w:tcPr>
            <w:tcW w:w="1259" w:type="dxa"/>
            <w:noWrap w:val="0"/>
            <w:vAlign w:val="center"/>
          </w:tcPr>
          <w:p w14:paraId="42CF1C64">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型号规格</w:t>
            </w:r>
          </w:p>
        </w:tc>
        <w:tc>
          <w:tcPr>
            <w:tcW w:w="1228" w:type="dxa"/>
            <w:noWrap w:val="0"/>
            <w:vAlign w:val="center"/>
          </w:tcPr>
          <w:p w14:paraId="74EEE4BB">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制造厂 商</w:t>
            </w:r>
          </w:p>
        </w:tc>
        <w:tc>
          <w:tcPr>
            <w:tcW w:w="1077" w:type="dxa"/>
            <w:noWrap w:val="0"/>
            <w:vAlign w:val="center"/>
          </w:tcPr>
          <w:p w14:paraId="24FD28D3">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政策功能编码</w:t>
            </w:r>
          </w:p>
        </w:tc>
        <w:tc>
          <w:tcPr>
            <w:tcW w:w="1260" w:type="dxa"/>
            <w:noWrap w:val="0"/>
            <w:vAlign w:val="center"/>
          </w:tcPr>
          <w:p w14:paraId="0BECDBBD">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价格</w:t>
            </w:r>
          </w:p>
        </w:tc>
        <w:tc>
          <w:tcPr>
            <w:tcW w:w="1080" w:type="dxa"/>
            <w:noWrap w:val="0"/>
            <w:vAlign w:val="center"/>
          </w:tcPr>
          <w:p w14:paraId="593F467B">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备注</w:t>
            </w:r>
          </w:p>
        </w:tc>
      </w:tr>
      <w:tr w14:paraId="66D806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noWrap w:val="0"/>
            <w:vAlign w:val="center"/>
          </w:tcPr>
          <w:p w14:paraId="252FE073">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144" w:type="dxa"/>
            <w:noWrap w:val="0"/>
            <w:vAlign w:val="center"/>
          </w:tcPr>
          <w:p w14:paraId="646D7456">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813" w:type="dxa"/>
            <w:noWrap w:val="0"/>
            <w:vAlign w:val="center"/>
          </w:tcPr>
          <w:p w14:paraId="3BDBD89C">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59" w:type="dxa"/>
            <w:noWrap w:val="0"/>
            <w:vAlign w:val="top"/>
          </w:tcPr>
          <w:p w14:paraId="2C7685D0">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28" w:type="dxa"/>
            <w:noWrap w:val="0"/>
            <w:vAlign w:val="top"/>
          </w:tcPr>
          <w:p w14:paraId="7D29DC3B">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77" w:type="dxa"/>
            <w:noWrap w:val="0"/>
            <w:vAlign w:val="center"/>
          </w:tcPr>
          <w:p w14:paraId="2D0E1F88">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60" w:type="dxa"/>
            <w:noWrap w:val="0"/>
            <w:vAlign w:val="top"/>
          </w:tcPr>
          <w:p w14:paraId="610B61B5">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80" w:type="dxa"/>
            <w:noWrap w:val="0"/>
            <w:vAlign w:val="center"/>
          </w:tcPr>
          <w:p w14:paraId="539E9226">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r>
      <w:tr w14:paraId="168111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noWrap w:val="0"/>
            <w:vAlign w:val="center"/>
          </w:tcPr>
          <w:p w14:paraId="523ED8CD">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144" w:type="dxa"/>
            <w:noWrap w:val="0"/>
            <w:vAlign w:val="center"/>
          </w:tcPr>
          <w:p w14:paraId="312EEA68">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813" w:type="dxa"/>
            <w:noWrap w:val="0"/>
            <w:vAlign w:val="center"/>
          </w:tcPr>
          <w:p w14:paraId="248C4869">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59" w:type="dxa"/>
            <w:noWrap w:val="0"/>
            <w:vAlign w:val="top"/>
          </w:tcPr>
          <w:p w14:paraId="26E0BB54">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28" w:type="dxa"/>
            <w:noWrap w:val="0"/>
            <w:vAlign w:val="top"/>
          </w:tcPr>
          <w:p w14:paraId="3803B822">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77" w:type="dxa"/>
            <w:noWrap w:val="0"/>
            <w:vAlign w:val="center"/>
          </w:tcPr>
          <w:p w14:paraId="58837E8C">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60" w:type="dxa"/>
            <w:noWrap w:val="0"/>
            <w:vAlign w:val="top"/>
          </w:tcPr>
          <w:p w14:paraId="5CF6015E">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80" w:type="dxa"/>
            <w:noWrap w:val="0"/>
            <w:vAlign w:val="center"/>
          </w:tcPr>
          <w:p w14:paraId="5822CE4F">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r>
      <w:tr w14:paraId="23667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noWrap w:val="0"/>
            <w:vAlign w:val="center"/>
          </w:tcPr>
          <w:p w14:paraId="5D484A12">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144" w:type="dxa"/>
            <w:noWrap w:val="0"/>
            <w:vAlign w:val="center"/>
          </w:tcPr>
          <w:p w14:paraId="1D413E67">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813" w:type="dxa"/>
            <w:noWrap w:val="0"/>
            <w:vAlign w:val="center"/>
          </w:tcPr>
          <w:p w14:paraId="6A53C88D">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59" w:type="dxa"/>
            <w:noWrap w:val="0"/>
            <w:vAlign w:val="top"/>
          </w:tcPr>
          <w:p w14:paraId="2ABAA497">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28" w:type="dxa"/>
            <w:noWrap w:val="0"/>
            <w:vAlign w:val="top"/>
          </w:tcPr>
          <w:p w14:paraId="5A8CE69D">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77" w:type="dxa"/>
            <w:noWrap w:val="0"/>
            <w:vAlign w:val="center"/>
          </w:tcPr>
          <w:p w14:paraId="381AE40F">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60" w:type="dxa"/>
            <w:noWrap w:val="0"/>
            <w:vAlign w:val="top"/>
          </w:tcPr>
          <w:p w14:paraId="0C223A3F">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80" w:type="dxa"/>
            <w:noWrap w:val="0"/>
            <w:vAlign w:val="center"/>
          </w:tcPr>
          <w:p w14:paraId="69E61B76">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r>
      <w:tr w14:paraId="618B1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6" w:type="dxa"/>
            <w:noWrap w:val="0"/>
            <w:vAlign w:val="center"/>
          </w:tcPr>
          <w:p w14:paraId="6B0A9E41">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144" w:type="dxa"/>
            <w:noWrap w:val="0"/>
            <w:vAlign w:val="center"/>
          </w:tcPr>
          <w:p w14:paraId="06FD2394">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合计</w:t>
            </w:r>
          </w:p>
        </w:tc>
        <w:tc>
          <w:tcPr>
            <w:tcW w:w="813" w:type="dxa"/>
            <w:noWrap w:val="0"/>
            <w:vAlign w:val="center"/>
          </w:tcPr>
          <w:p w14:paraId="2F960D51">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59" w:type="dxa"/>
            <w:noWrap w:val="0"/>
            <w:vAlign w:val="top"/>
          </w:tcPr>
          <w:p w14:paraId="6BF0A712">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28" w:type="dxa"/>
            <w:noWrap w:val="0"/>
            <w:vAlign w:val="top"/>
          </w:tcPr>
          <w:p w14:paraId="614A0106">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77" w:type="dxa"/>
            <w:noWrap w:val="0"/>
            <w:vAlign w:val="center"/>
          </w:tcPr>
          <w:p w14:paraId="1E967228">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260" w:type="dxa"/>
            <w:noWrap w:val="0"/>
            <w:vAlign w:val="top"/>
          </w:tcPr>
          <w:p w14:paraId="7431D00F">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c>
          <w:tcPr>
            <w:tcW w:w="1080" w:type="dxa"/>
            <w:noWrap w:val="0"/>
            <w:vAlign w:val="center"/>
          </w:tcPr>
          <w:p w14:paraId="39448249">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tc>
      </w:tr>
    </w:tbl>
    <w:p w14:paraId="308FAF36">
      <w:pPr>
        <w:pageBreakBefore w:val="0"/>
        <w:widowControl w:val="0"/>
        <w:kinsoku/>
        <w:wordWrap/>
        <w:overflowPunct w:val="0"/>
        <w:bidi w:val="0"/>
        <w:adjustRightInd w:val="0"/>
        <w:snapToGrid w:val="0"/>
        <w:ind w:right="23" w:rightChars="11"/>
        <w:jc w:val="both"/>
        <w:textAlignment w:val="auto"/>
        <w:rPr>
          <w:rFonts w:hint="eastAsia" w:ascii="宋体" w:hAnsi="宋体" w:eastAsia="宋体" w:cs="Times New Roman"/>
          <w:color w:val="auto"/>
          <w:szCs w:val="21"/>
        </w:rPr>
      </w:pPr>
    </w:p>
    <w:p w14:paraId="67ECD436">
      <w:pPr>
        <w:pageBreakBefore w:val="0"/>
        <w:widowControl w:val="0"/>
        <w:kinsoku/>
        <w:wordWrap/>
        <w:overflowPunct w:val="0"/>
        <w:bidi w:val="0"/>
        <w:adjustRightInd w:val="0"/>
        <w:snapToGrid w:val="0"/>
        <w:ind w:right="23" w:rightChars="11"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注：1、该表用于计算主要材料应享受的政策功能折扣，“价格”栏应填列该材料的总金额。品牌和制造厂商指产品的品牌和生产厂商的名称。政策功能编码是指产品的中国环境标志认证证书编号、节能标志认证证书号。</w:t>
      </w:r>
    </w:p>
    <w:p w14:paraId="761F219A">
      <w:pPr>
        <w:pStyle w:val="3"/>
        <w:pageBreakBefore w:val="0"/>
        <w:widowControl w:val="0"/>
        <w:kinsoku/>
        <w:wordWrap/>
        <w:overflowPunct w:val="0"/>
        <w:bidi w:val="0"/>
        <w:jc w:val="both"/>
        <w:textAlignment w:val="auto"/>
        <w:rPr>
          <w:rFonts w:hint="eastAsia" w:ascii="宋体" w:hAnsi="宋体" w:cs="宋体"/>
          <w:color w:val="auto"/>
          <w:sz w:val="21"/>
          <w:szCs w:val="21"/>
        </w:rPr>
        <w:sectPr>
          <w:pgSz w:w="11906" w:h="16838"/>
          <w:pgMar w:top="1587" w:right="1587" w:bottom="1587" w:left="158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宋体" w:hAnsi="宋体" w:eastAsia="宋体" w:cs="宋体"/>
          <w:color w:val="auto"/>
          <w:sz w:val="21"/>
          <w:szCs w:val="21"/>
        </w:rPr>
        <w:t>2、不享受政策功能折扣的填“无”</w:t>
      </w:r>
    </w:p>
    <w:p w14:paraId="04EF1510">
      <w:pPr>
        <w:pageBreakBefore w:val="0"/>
        <w:widowControl w:val="0"/>
        <w:kinsoku/>
        <w:wordWrap/>
        <w:overflowPunct w:val="0"/>
        <w:bidi w:val="0"/>
        <w:jc w:val="both"/>
        <w:textAlignment w:val="auto"/>
        <w:rPr>
          <w:rFonts w:ascii="Times New Roman" w:hAnsi="Times New Roman" w:eastAsia="宋体" w:cs="Times New Roman"/>
          <w:color w:val="auto"/>
        </w:rPr>
      </w:pPr>
    </w:p>
    <w:p w14:paraId="665AF26E">
      <w:pPr>
        <w:pStyle w:val="7"/>
        <w:keepNext w:val="0"/>
        <w:keepLines w:val="0"/>
        <w:pageBreakBefore w:val="0"/>
        <w:widowControl w:val="0"/>
        <w:kinsoku/>
        <w:wordWrap/>
        <w:overflowPunct w:val="0"/>
        <w:topLinePunct w:val="0"/>
        <w:autoSpaceDE/>
        <w:autoSpaceDN/>
        <w:bidi w:val="0"/>
        <w:adjustRightInd/>
        <w:snapToGrid/>
        <w:jc w:val="center"/>
        <w:textAlignment w:val="auto"/>
        <w:outlineLvl w:val="1"/>
        <w:rPr>
          <w:rFonts w:eastAsia="宋体" w:cs="宋体"/>
          <w:b/>
          <w:color w:val="auto"/>
          <w:sz w:val="32"/>
          <w:szCs w:val="32"/>
        </w:rPr>
      </w:pPr>
      <w:bookmarkStart w:id="588" w:name="_Toc6822"/>
      <w:r>
        <w:rPr>
          <w:rFonts w:hint="eastAsia" w:eastAsia="宋体" w:cs="宋体"/>
          <w:b/>
          <w:color w:val="auto"/>
          <w:sz w:val="32"/>
          <w:szCs w:val="32"/>
        </w:rPr>
        <w:t>九、供应商认为需提供的其它资料及说明</w:t>
      </w:r>
      <w:bookmarkEnd w:id="588"/>
    </w:p>
    <w:p w14:paraId="51FF17D3">
      <w:pPr>
        <w:pageBreakBefore w:val="0"/>
        <w:widowControl w:val="0"/>
        <w:kinsoku/>
        <w:wordWrap/>
        <w:overflowPunct w:val="0"/>
        <w:bidi w:val="0"/>
        <w:jc w:val="both"/>
        <w:textAlignment w:val="auto"/>
        <w:rPr>
          <w:rFonts w:ascii="宋体" w:hAnsi="宋体" w:eastAsia="宋体" w:cs="宋体"/>
          <w:color w:val="auto"/>
          <w:kern w:val="1"/>
          <w:sz w:val="32"/>
          <w:szCs w:val="32"/>
        </w:rPr>
      </w:pPr>
    </w:p>
    <w:p w14:paraId="49113388">
      <w:pPr>
        <w:pageBreakBefore w:val="0"/>
        <w:widowControl w:val="0"/>
        <w:kinsoku/>
        <w:wordWrap/>
        <w:overflowPunct w:val="0"/>
        <w:bidi w:val="0"/>
        <w:ind w:left="-88"/>
        <w:jc w:val="both"/>
        <w:textAlignment w:val="auto"/>
        <w:rPr>
          <w:rFonts w:ascii="宋体" w:hAnsi="宋体" w:eastAsia="宋体" w:cs="宋体"/>
          <w:color w:val="auto"/>
          <w:kern w:val="1"/>
          <w:sz w:val="32"/>
          <w:szCs w:val="32"/>
        </w:rPr>
      </w:pPr>
    </w:p>
    <w:p w14:paraId="295C2158">
      <w:pPr>
        <w:pageBreakBefore w:val="0"/>
        <w:widowControl w:val="0"/>
        <w:kinsoku/>
        <w:wordWrap/>
        <w:overflowPunct w:val="0"/>
        <w:bidi w:val="0"/>
        <w:ind w:left="-88"/>
        <w:jc w:val="both"/>
        <w:textAlignment w:val="auto"/>
        <w:rPr>
          <w:rFonts w:ascii="宋体" w:hAnsi="宋体" w:eastAsia="宋体" w:cs="宋体"/>
          <w:color w:val="auto"/>
          <w:kern w:val="1"/>
          <w:sz w:val="32"/>
          <w:szCs w:val="32"/>
        </w:rPr>
      </w:pPr>
    </w:p>
    <w:p w14:paraId="71A651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1"/>
        <w:rPr>
          <w:rFonts w:ascii="宋体" w:hAnsi="宋体" w:eastAsia="宋体" w:cs="宋体"/>
          <w:b/>
          <w:color w:val="auto"/>
          <w:kern w:val="1"/>
          <w:sz w:val="32"/>
          <w:szCs w:val="32"/>
        </w:rPr>
      </w:pPr>
      <w:r>
        <w:rPr>
          <w:rFonts w:ascii="宋体" w:hAnsi="宋体" w:eastAsia="宋体" w:cs="宋体"/>
          <w:color w:val="auto"/>
          <w:kern w:val="1"/>
          <w:sz w:val="32"/>
          <w:szCs w:val="32"/>
        </w:rPr>
        <w:br w:type="page"/>
      </w:r>
      <w:bookmarkStart w:id="589" w:name="_Toc31040"/>
      <w:r>
        <w:rPr>
          <w:rFonts w:hint="eastAsia" w:ascii="宋体" w:hAnsi="宋体" w:eastAsia="宋体" w:cs="宋体"/>
          <w:b/>
          <w:color w:val="auto"/>
          <w:kern w:val="1"/>
          <w:sz w:val="32"/>
          <w:szCs w:val="32"/>
        </w:rPr>
        <w:t>十、最后报价表（现场提供）</w:t>
      </w:r>
      <w:bookmarkEnd w:id="589"/>
    </w:p>
    <w:p w14:paraId="5CF8CC49">
      <w:pPr>
        <w:pageBreakBefore w:val="0"/>
        <w:widowControl w:val="0"/>
        <w:kinsoku/>
        <w:wordWrap/>
        <w:overflowPunct w:val="0"/>
        <w:bidi w:val="0"/>
        <w:ind w:left="-88"/>
        <w:jc w:val="both"/>
        <w:textAlignment w:val="auto"/>
        <w:rPr>
          <w:rFonts w:ascii="宋体" w:hAnsi="宋体" w:eastAsia="宋体" w:cs="宋体"/>
          <w:b/>
          <w:color w:val="auto"/>
          <w:kern w:val="1"/>
          <w:szCs w:val="21"/>
        </w:rPr>
      </w:pPr>
    </w:p>
    <w:tbl>
      <w:tblPr>
        <w:tblStyle w:val="16"/>
        <w:tblW w:w="0" w:type="auto"/>
        <w:tblInd w:w="108" w:type="dxa"/>
        <w:tblLayout w:type="fixed"/>
        <w:tblCellMar>
          <w:top w:w="0" w:type="dxa"/>
          <w:left w:w="108" w:type="dxa"/>
          <w:bottom w:w="0" w:type="dxa"/>
          <w:right w:w="108" w:type="dxa"/>
        </w:tblCellMar>
      </w:tblPr>
      <w:tblGrid>
        <w:gridCol w:w="1689"/>
        <w:gridCol w:w="3190"/>
        <w:gridCol w:w="1689"/>
        <w:gridCol w:w="2627"/>
      </w:tblGrid>
      <w:tr w14:paraId="09E8027B">
        <w:tblPrEx>
          <w:tblCellMar>
            <w:top w:w="0" w:type="dxa"/>
            <w:left w:w="108" w:type="dxa"/>
            <w:bottom w:w="0" w:type="dxa"/>
            <w:right w:w="108" w:type="dxa"/>
          </w:tblCellMar>
        </w:tblPrEx>
        <w:trPr>
          <w:trHeight w:val="458" w:hRule="atLeast"/>
        </w:trPr>
        <w:tc>
          <w:tcPr>
            <w:tcW w:w="1689" w:type="dxa"/>
            <w:vMerge w:val="restart"/>
            <w:tcBorders>
              <w:top w:val="double" w:color="000000" w:sz="4" w:space="0"/>
              <w:left w:val="double" w:color="000000" w:sz="4" w:space="0"/>
              <w:bottom w:val="single" w:color="000000" w:sz="6" w:space="0"/>
              <w:right w:val="single" w:color="000000" w:sz="6" w:space="0"/>
            </w:tcBorders>
            <w:noWrap w:val="0"/>
            <w:vAlign w:val="center"/>
          </w:tcPr>
          <w:p w14:paraId="3D5277AC">
            <w:pPr>
              <w:pageBreakBefore w:val="0"/>
              <w:widowControl w:val="0"/>
              <w:tabs>
                <w:tab w:val="left" w:pos="403"/>
                <w:tab w:val="center" w:pos="3781"/>
              </w:tabs>
              <w:kinsoku/>
              <w:wordWrap/>
              <w:overflowPunct w:val="0"/>
              <w:bidi w:val="0"/>
              <w:spacing w:line="420" w:lineRule="exact"/>
              <w:ind w:right="-5206" w:firstLine="210"/>
              <w:jc w:val="both"/>
              <w:textAlignment w:val="auto"/>
              <w:rPr>
                <w:rFonts w:ascii="宋体" w:hAnsi="宋体" w:eastAsia="宋体" w:cs="宋体"/>
                <w:color w:val="auto"/>
                <w:kern w:val="1"/>
                <w:szCs w:val="21"/>
              </w:rPr>
            </w:pPr>
            <w:r>
              <w:rPr>
                <w:rFonts w:ascii="宋体" w:hAnsi="宋体" w:eastAsia="宋体" w:cs="宋体"/>
                <w:color w:val="auto"/>
                <w:kern w:val="1"/>
                <w:szCs w:val="21"/>
              </w:rPr>
              <w:t>项目名称</w:t>
            </w:r>
            <w:r>
              <w:rPr>
                <w:rFonts w:ascii="宋体" w:hAnsi="宋体" w:eastAsia="宋体" w:cs="宋体"/>
                <w:color w:val="auto"/>
                <w:kern w:val="1"/>
                <w:szCs w:val="21"/>
              </w:rPr>
              <w:tab/>
            </w:r>
            <w:r>
              <w:rPr>
                <w:rFonts w:ascii="宋体" w:hAnsi="宋体" w:eastAsia="宋体" w:cs="宋体"/>
                <w:color w:val="auto"/>
                <w:kern w:val="1"/>
                <w:szCs w:val="21"/>
              </w:rPr>
              <w:t>项目名称</w:t>
            </w:r>
          </w:p>
        </w:tc>
        <w:tc>
          <w:tcPr>
            <w:tcW w:w="3190" w:type="dxa"/>
            <w:vMerge w:val="restart"/>
            <w:tcBorders>
              <w:top w:val="double" w:color="000000" w:sz="4" w:space="0"/>
              <w:left w:val="single" w:color="000000" w:sz="6" w:space="0"/>
              <w:bottom w:val="single" w:color="000000" w:sz="6" w:space="0"/>
              <w:right w:val="single" w:color="000000" w:sz="6" w:space="0"/>
            </w:tcBorders>
            <w:noWrap w:val="0"/>
            <w:vAlign w:val="center"/>
          </w:tcPr>
          <w:p w14:paraId="3EEC6FE6">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c>
          <w:tcPr>
            <w:tcW w:w="1689" w:type="dxa"/>
            <w:tcBorders>
              <w:top w:val="double" w:color="000000" w:sz="4" w:space="0"/>
              <w:left w:val="single" w:color="000000" w:sz="6" w:space="0"/>
              <w:bottom w:val="single" w:color="000000" w:sz="6" w:space="0"/>
              <w:right w:val="single" w:color="000000" w:sz="6" w:space="0"/>
            </w:tcBorders>
            <w:noWrap w:val="0"/>
            <w:vAlign w:val="center"/>
          </w:tcPr>
          <w:p w14:paraId="7ED53E1C">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政府采购</w:t>
            </w:r>
            <w:r>
              <w:rPr>
                <w:rFonts w:ascii="宋体" w:hAnsi="宋体" w:eastAsia="宋体" w:cs="宋体"/>
                <w:color w:val="auto"/>
                <w:kern w:val="1"/>
                <w:szCs w:val="21"/>
              </w:rPr>
              <w:t>编号</w:t>
            </w:r>
          </w:p>
        </w:tc>
        <w:tc>
          <w:tcPr>
            <w:tcW w:w="2627" w:type="dxa"/>
            <w:tcBorders>
              <w:top w:val="double" w:color="000000" w:sz="4" w:space="0"/>
              <w:left w:val="single" w:color="000000" w:sz="6" w:space="0"/>
              <w:bottom w:val="single" w:color="000000" w:sz="6" w:space="0"/>
              <w:right w:val="double" w:color="000000" w:sz="4" w:space="0"/>
            </w:tcBorders>
            <w:noWrap w:val="0"/>
            <w:vAlign w:val="center"/>
          </w:tcPr>
          <w:p w14:paraId="28620D6E">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r w14:paraId="3F29F8A3">
        <w:tblPrEx>
          <w:tblCellMar>
            <w:top w:w="0" w:type="dxa"/>
            <w:left w:w="108" w:type="dxa"/>
            <w:bottom w:w="0" w:type="dxa"/>
            <w:right w:w="108" w:type="dxa"/>
          </w:tblCellMar>
        </w:tblPrEx>
        <w:trPr>
          <w:trHeight w:val="465" w:hRule="atLeast"/>
        </w:trPr>
        <w:tc>
          <w:tcPr>
            <w:tcW w:w="1689" w:type="dxa"/>
            <w:vMerge w:val="continue"/>
            <w:tcBorders>
              <w:top w:val="single" w:color="000000" w:sz="6" w:space="0"/>
              <w:left w:val="double" w:color="000000" w:sz="4" w:space="0"/>
              <w:bottom w:val="single" w:color="000000" w:sz="6" w:space="0"/>
              <w:right w:val="single" w:color="000000" w:sz="6" w:space="0"/>
            </w:tcBorders>
            <w:noWrap w:val="0"/>
            <w:vAlign w:val="center"/>
          </w:tcPr>
          <w:p w14:paraId="72FB4C8C">
            <w:pPr>
              <w:pageBreakBefore w:val="0"/>
              <w:widowControl w:val="0"/>
              <w:kinsoku/>
              <w:wordWrap/>
              <w:overflowPunct w:val="0"/>
              <w:bidi w:val="0"/>
              <w:spacing w:line="240" w:lineRule="auto"/>
              <w:jc w:val="both"/>
              <w:textAlignment w:val="auto"/>
              <w:rPr>
                <w:rFonts w:ascii="宋体" w:hAnsi="宋体" w:eastAsia="宋体" w:cs="宋体"/>
                <w:color w:val="auto"/>
                <w:kern w:val="1"/>
                <w:szCs w:val="21"/>
              </w:rPr>
            </w:pPr>
          </w:p>
        </w:tc>
        <w:tc>
          <w:tcPr>
            <w:tcW w:w="31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948F4AD">
            <w:pPr>
              <w:pageBreakBefore w:val="0"/>
              <w:widowControl w:val="0"/>
              <w:kinsoku/>
              <w:wordWrap/>
              <w:overflowPunct w:val="0"/>
              <w:bidi w:val="0"/>
              <w:spacing w:line="240" w:lineRule="auto"/>
              <w:jc w:val="both"/>
              <w:textAlignment w:val="auto"/>
              <w:rPr>
                <w:rFonts w:ascii="宋体" w:hAnsi="宋体" w:eastAsia="宋体" w:cs="宋体"/>
                <w:color w:val="auto"/>
                <w:kern w:val="1"/>
                <w:szCs w:val="21"/>
              </w:rPr>
            </w:pPr>
          </w:p>
        </w:tc>
        <w:tc>
          <w:tcPr>
            <w:tcW w:w="1689" w:type="dxa"/>
            <w:tcBorders>
              <w:top w:val="single" w:color="000000" w:sz="6" w:space="0"/>
              <w:left w:val="single" w:color="000000" w:sz="6" w:space="0"/>
              <w:bottom w:val="single" w:color="000000" w:sz="6" w:space="0"/>
              <w:right w:val="single" w:color="000000" w:sz="6" w:space="0"/>
            </w:tcBorders>
            <w:noWrap w:val="0"/>
            <w:vAlign w:val="center"/>
          </w:tcPr>
          <w:p w14:paraId="10927B6D">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采购代理</w:t>
            </w:r>
            <w:r>
              <w:rPr>
                <w:rFonts w:ascii="宋体" w:hAnsi="宋体" w:eastAsia="宋体" w:cs="宋体"/>
                <w:color w:val="auto"/>
                <w:kern w:val="1"/>
                <w:szCs w:val="21"/>
              </w:rPr>
              <w:t>编号</w:t>
            </w:r>
          </w:p>
        </w:tc>
        <w:tc>
          <w:tcPr>
            <w:tcW w:w="2627" w:type="dxa"/>
            <w:tcBorders>
              <w:top w:val="single" w:color="000000" w:sz="6" w:space="0"/>
              <w:left w:val="single" w:color="000000" w:sz="6" w:space="0"/>
              <w:bottom w:val="single" w:color="000000" w:sz="6" w:space="0"/>
              <w:right w:val="double" w:color="000000" w:sz="4" w:space="0"/>
            </w:tcBorders>
            <w:noWrap w:val="0"/>
            <w:vAlign w:val="center"/>
          </w:tcPr>
          <w:p w14:paraId="33310613">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r w14:paraId="26E65BF9">
        <w:tblPrEx>
          <w:tblCellMar>
            <w:top w:w="0" w:type="dxa"/>
            <w:left w:w="108" w:type="dxa"/>
            <w:bottom w:w="0" w:type="dxa"/>
            <w:right w:w="108" w:type="dxa"/>
          </w:tblCellMar>
        </w:tblPrEx>
        <w:trPr>
          <w:trHeight w:val="615" w:hRule="atLeast"/>
        </w:trPr>
        <w:tc>
          <w:tcPr>
            <w:tcW w:w="1689" w:type="dxa"/>
            <w:tcBorders>
              <w:top w:val="single" w:color="000000" w:sz="6" w:space="0"/>
              <w:left w:val="double" w:color="000000" w:sz="4" w:space="0"/>
              <w:bottom w:val="single" w:color="000000" w:sz="4" w:space="0"/>
              <w:right w:val="single" w:color="000000" w:sz="6" w:space="0"/>
            </w:tcBorders>
            <w:noWrap w:val="0"/>
            <w:vAlign w:val="center"/>
          </w:tcPr>
          <w:p w14:paraId="01888430">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品目分类编码</w:t>
            </w:r>
          </w:p>
        </w:tc>
        <w:tc>
          <w:tcPr>
            <w:tcW w:w="7506" w:type="dxa"/>
            <w:gridSpan w:val="3"/>
            <w:tcBorders>
              <w:top w:val="single" w:color="000000" w:sz="6" w:space="0"/>
              <w:left w:val="single" w:color="000000" w:sz="6" w:space="0"/>
              <w:bottom w:val="single" w:color="000000" w:sz="6" w:space="0"/>
              <w:right w:val="double" w:color="000000" w:sz="4" w:space="0"/>
            </w:tcBorders>
            <w:noWrap w:val="0"/>
            <w:vAlign w:val="center"/>
          </w:tcPr>
          <w:p w14:paraId="37BF3A2A">
            <w:pPr>
              <w:pageBreakBefore w:val="0"/>
              <w:widowControl w:val="0"/>
              <w:kinsoku/>
              <w:wordWrap/>
              <w:overflowPunct w:val="0"/>
              <w:bidi w:val="0"/>
              <w:jc w:val="both"/>
              <w:textAlignment w:val="auto"/>
              <w:rPr>
                <w:rFonts w:hint="eastAsia" w:ascii="宋体" w:hAnsi="宋体" w:eastAsia="宋体" w:cs="宋体"/>
                <w:color w:val="auto"/>
                <w:kern w:val="1"/>
                <w:szCs w:val="21"/>
              </w:rPr>
            </w:pPr>
            <w:r>
              <w:rPr>
                <w:rFonts w:hint="eastAsia" w:ascii="宋体" w:hAnsi="宋体" w:eastAsia="宋体" w:cs="宋体"/>
                <w:color w:val="auto"/>
                <w:kern w:val="1"/>
                <w:szCs w:val="21"/>
              </w:rPr>
              <w:t>/</w:t>
            </w:r>
          </w:p>
        </w:tc>
      </w:tr>
      <w:tr w14:paraId="2420F55F">
        <w:tblPrEx>
          <w:tblCellMar>
            <w:top w:w="0" w:type="dxa"/>
            <w:left w:w="108" w:type="dxa"/>
            <w:bottom w:w="0" w:type="dxa"/>
            <w:right w:w="108" w:type="dxa"/>
          </w:tblCellMar>
        </w:tblPrEx>
        <w:trPr>
          <w:trHeight w:val="1284" w:hRule="atLeast"/>
        </w:trPr>
        <w:tc>
          <w:tcPr>
            <w:tcW w:w="1689" w:type="dxa"/>
            <w:tcBorders>
              <w:top w:val="single" w:color="000000" w:sz="6" w:space="0"/>
              <w:left w:val="double" w:color="000000" w:sz="4" w:space="0"/>
              <w:bottom w:val="single" w:color="000000" w:sz="4" w:space="0"/>
              <w:right w:val="single" w:color="000000" w:sz="6" w:space="0"/>
            </w:tcBorders>
            <w:noWrap w:val="0"/>
            <w:vAlign w:val="center"/>
          </w:tcPr>
          <w:p w14:paraId="09DAEB1A">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工程总</w:t>
            </w:r>
            <w:r>
              <w:rPr>
                <w:rFonts w:ascii="宋体" w:hAnsi="宋体" w:eastAsia="宋体" w:cs="宋体"/>
                <w:color w:val="auto"/>
                <w:kern w:val="1"/>
                <w:szCs w:val="21"/>
              </w:rPr>
              <w:t>报价</w:t>
            </w:r>
          </w:p>
        </w:tc>
        <w:tc>
          <w:tcPr>
            <w:tcW w:w="7506" w:type="dxa"/>
            <w:gridSpan w:val="3"/>
            <w:tcBorders>
              <w:top w:val="single" w:color="000000" w:sz="6" w:space="0"/>
              <w:left w:val="single" w:color="000000" w:sz="6" w:space="0"/>
              <w:bottom w:val="single" w:color="000000" w:sz="6" w:space="0"/>
              <w:right w:val="double" w:color="000000" w:sz="4" w:space="0"/>
            </w:tcBorders>
            <w:noWrap w:val="0"/>
            <w:vAlign w:val="center"/>
          </w:tcPr>
          <w:p w14:paraId="70A49638">
            <w:pPr>
              <w:pageBreakBefore w:val="0"/>
              <w:widowControl w:val="0"/>
              <w:kinsoku/>
              <w:wordWrap/>
              <w:overflowPunct w:val="0"/>
              <w:bidi w:val="0"/>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大写：元人民币整</w:t>
            </w:r>
          </w:p>
          <w:p w14:paraId="7643EF40">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小写：元人民币整</w:t>
            </w:r>
          </w:p>
        </w:tc>
      </w:tr>
      <w:tr w14:paraId="5177C2CC">
        <w:tblPrEx>
          <w:tblCellMar>
            <w:top w:w="0" w:type="dxa"/>
            <w:left w:w="108" w:type="dxa"/>
            <w:bottom w:w="0" w:type="dxa"/>
            <w:right w:w="108" w:type="dxa"/>
          </w:tblCellMar>
        </w:tblPrEx>
        <w:trPr>
          <w:trHeight w:val="620" w:hRule="atLeast"/>
        </w:trPr>
        <w:tc>
          <w:tcPr>
            <w:tcW w:w="1689" w:type="dxa"/>
            <w:tcBorders>
              <w:top w:val="single" w:color="000000" w:sz="6" w:space="0"/>
              <w:left w:val="double" w:color="000000" w:sz="4" w:space="0"/>
              <w:bottom w:val="single" w:color="000000" w:sz="4" w:space="0"/>
              <w:right w:val="single" w:color="000000" w:sz="6" w:space="0"/>
            </w:tcBorders>
            <w:noWrap w:val="0"/>
            <w:vAlign w:val="center"/>
          </w:tcPr>
          <w:p w14:paraId="24C4C75F">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hint="eastAsia" w:ascii="宋体" w:hAnsi="宋体" w:eastAsia="宋体" w:cs="宋体"/>
                <w:color w:val="auto"/>
                <w:kern w:val="1"/>
                <w:szCs w:val="21"/>
              </w:rPr>
              <w:t>合同工期</w:t>
            </w:r>
          </w:p>
        </w:tc>
        <w:tc>
          <w:tcPr>
            <w:tcW w:w="7506" w:type="dxa"/>
            <w:gridSpan w:val="3"/>
            <w:tcBorders>
              <w:top w:val="single" w:color="000000" w:sz="6" w:space="0"/>
              <w:left w:val="single" w:color="000000" w:sz="6" w:space="0"/>
              <w:bottom w:val="single" w:color="000000" w:sz="4" w:space="0"/>
              <w:right w:val="double" w:color="000000" w:sz="4" w:space="0"/>
            </w:tcBorders>
            <w:noWrap w:val="0"/>
            <w:vAlign w:val="center"/>
          </w:tcPr>
          <w:p w14:paraId="51D2F28E">
            <w:pPr>
              <w:pageBreakBefore w:val="0"/>
              <w:widowControl w:val="0"/>
              <w:kinsoku/>
              <w:wordWrap/>
              <w:overflowPunct w:val="0"/>
              <w:bidi w:val="0"/>
              <w:jc w:val="both"/>
              <w:textAlignment w:val="auto"/>
              <w:rPr>
                <w:rFonts w:ascii="宋体" w:hAnsi="宋体" w:eastAsia="宋体" w:cs="宋体"/>
                <w:color w:val="auto"/>
                <w:kern w:val="1"/>
                <w:szCs w:val="21"/>
              </w:rPr>
            </w:pPr>
          </w:p>
        </w:tc>
      </w:tr>
      <w:tr w14:paraId="222E0DF1">
        <w:tblPrEx>
          <w:tblCellMar>
            <w:top w:w="0" w:type="dxa"/>
            <w:left w:w="108" w:type="dxa"/>
            <w:bottom w:w="0" w:type="dxa"/>
            <w:right w:w="108" w:type="dxa"/>
          </w:tblCellMar>
        </w:tblPrEx>
        <w:trPr>
          <w:trHeight w:val="620" w:hRule="atLeast"/>
        </w:trPr>
        <w:tc>
          <w:tcPr>
            <w:tcW w:w="1689" w:type="dxa"/>
            <w:tcBorders>
              <w:top w:val="single" w:color="000000" w:sz="4" w:space="0"/>
              <w:left w:val="double" w:color="000000" w:sz="4" w:space="0"/>
              <w:bottom w:val="single" w:color="000000" w:sz="4" w:space="0"/>
              <w:right w:val="single" w:color="000000" w:sz="6" w:space="0"/>
            </w:tcBorders>
            <w:noWrap w:val="0"/>
            <w:vAlign w:val="center"/>
          </w:tcPr>
          <w:p w14:paraId="1A41C54D">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质量标准</w:t>
            </w:r>
          </w:p>
        </w:tc>
        <w:tc>
          <w:tcPr>
            <w:tcW w:w="7506" w:type="dxa"/>
            <w:gridSpan w:val="3"/>
            <w:tcBorders>
              <w:top w:val="single" w:color="000000" w:sz="4" w:space="0"/>
              <w:left w:val="single" w:color="000000" w:sz="6" w:space="0"/>
              <w:bottom w:val="single" w:color="000000" w:sz="6" w:space="0"/>
              <w:right w:val="double" w:color="000000" w:sz="4" w:space="0"/>
            </w:tcBorders>
            <w:noWrap w:val="0"/>
            <w:vAlign w:val="center"/>
          </w:tcPr>
          <w:p w14:paraId="2213139F">
            <w:pPr>
              <w:pageBreakBefore w:val="0"/>
              <w:widowControl w:val="0"/>
              <w:kinsoku/>
              <w:wordWrap/>
              <w:overflowPunct w:val="0"/>
              <w:bidi w:val="0"/>
              <w:jc w:val="both"/>
              <w:textAlignment w:val="auto"/>
              <w:rPr>
                <w:rFonts w:ascii="宋体" w:hAnsi="宋体" w:eastAsia="宋体" w:cs="宋体"/>
                <w:color w:val="auto"/>
                <w:kern w:val="1"/>
                <w:szCs w:val="21"/>
              </w:rPr>
            </w:pPr>
          </w:p>
        </w:tc>
      </w:tr>
      <w:tr w14:paraId="7C182C65">
        <w:tblPrEx>
          <w:tblCellMar>
            <w:top w:w="0" w:type="dxa"/>
            <w:left w:w="108" w:type="dxa"/>
            <w:bottom w:w="0" w:type="dxa"/>
            <w:right w:w="108" w:type="dxa"/>
          </w:tblCellMar>
        </w:tblPrEx>
        <w:trPr>
          <w:trHeight w:val="620" w:hRule="atLeast"/>
        </w:trPr>
        <w:tc>
          <w:tcPr>
            <w:tcW w:w="1689" w:type="dxa"/>
            <w:tcBorders>
              <w:top w:val="single" w:color="000000" w:sz="6" w:space="0"/>
              <w:left w:val="double" w:color="000000" w:sz="4" w:space="0"/>
              <w:bottom w:val="single" w:color="000000" w:sz="6" w:space="0"/>
              <w:right w:val="single" w:color="000000" w:sz="6" w:space="0"/>
            </w:tcBorders>
            <w:noWrap w:val="0"/>
            <w:vAlign w:val="center"/>
          </w:tcPr>
          <w:p w14:paraId="5B9E70C6">
            <w:pPr>
              <w:pageBreakBefore w:val="0"/>
              <w:widowControl w:val="0"/>
              <w:kinsoku/>
              <w:wordWrap/>
              <w:overflowPunct w:val="0"/>
              <w:bidi w:val="0"/>
              <w:jc w:val="both"/>
              <w:textAlignment w:val="auto"/>
              <w:rPr>
                <w:rFonts w:ascii="宋体" w:hAnsi="宋体" w:eastAsia="宋体" w:cs="宋体"/>
                <w:color w:val="auto"/>
                <w:kern w:val="1"/>
                <w:szCs w:val="21"/>
              </w:rPr>
            </w:pPr>
            <w:r>
              <w:rPr>
                <w:rFonts w:ascii="宋体" w:hAnsi="宋体" w:eastAsia="宋体" w:cs="宋体"/>
                <w:color w:val="auto"/>
                <w:kern w:val="1"/>
                <w:szCs w:val="21"/>
              </w:rPr>
              <w:t>保修承诺</w:t>
            </w:r>
          </w:p>
        </w:tc>
        <w:tc>
          <w:tcPr>
            <w:tcW w:w="7506" w:type="dxa"/>
            <w:gridSpan w:val="3"/>
            <w:tcBorders>
              <w:top w:val="single" w:color="000000" w:sz="6" w:space="0"/>
              <w:left w:val="single" w:color="000000" w:sz="6" w:space="0"/>
              <w:bottom w:val="single" w:color="000000" w:sz="6" w:space="0"/>
              <w:right w:val="double" w:color="000000" w:sz="4" w:space="0"/>
            </w:tcBorders>
            <w:noWrap w:val="0"/>
            <w:vAlign w:val="center"/>
          </w:tcPr>
          <w:p w14:paraId="4532ED10">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r w14:paraId="29F93605">
        <w:tblPrEx>
          <w:tblCellMar>
            <w:top w:w="0" w:type="dxa"/>
            <w:left w:w="108" w:type="dxa"/>
            <w:bottom w:w="0" w:type="dxa"/>
            <w:right w:w="108" w:type="dxa"/>
          </w:tblCellMar>
        </w:tblPrEx>
        <w:trPr>
          <w:trHeight w:val="620" w:hRule="atLeast"/>
        </w:trPr>
        <w:tc>
          <w:tcPr>
            <w:tcW w:w="1689" w:type="dxa"/>
            <w:tcBorders>
              <w:top w:val="single" w:color="000000" w:sz="6" w:space="0"/>
              <w:left w:val="double" w:color="000000" w:sz="4" w:space="0"/>
              <w:bottom w:val="single" w:color="000000" w:sz="6" w:space="0"/>
              <w:right w:val="single" w:color="000000" w:sz="6" w:space="0"/>
            </w:tcBorders>
            <w:noWrap w:val="0"/>
            <w:vAlign w:val="center"/>
          </w:tcPr>
          <w:p w14:paraId="01ACC62D">
            <w:pPr>
              <w:pageBreakBefore w:val="0"/>
              <w:widowControl w:val="0"/>
              <w:kinsoku/>
              <w:wordWrap/>
              <w:overflowPunct w:val="0"/>
              <w:bidi w:val="0"/>
              <w:jc w:val="both"/>
              <w:textAlignment w:val="auto"/>
              <w:rPr>
                <w:rFonts w:ascii="宋体" w:hAnsi="宋体" w:eastAsia="宋体" w:cs="宋体"/>
                <w:color w:val="auto"/>
                <w:kern w:val="1"/>
                <w:szCs w:val="21"/>
              </w:rPr>
            </w:pPr>
            <w:r>
              <w:rPr>
                <w:rFonts w:ascii="宋体" w:hAnsi="宋体" w:eastAsia="宋体" w:cs="宋体"/>
                <w:color w:val="auto"/>
                <w:kern w:val="1"/>
                <w:szCs w:val="21"/>
              </w:rPr>
              <w:t>项目负责人</w:t>
            </w:r>
          </w:p>
        </w:tc>
        <w:tc>
          <w:tcPr>
            <w:tcW w:w="7506" w:type="dxa"/>
            <w:gridSpan w:val="3"/>
            <w:tcBorders>
              <w:top w:val="single" w:color="000000" w:sz="6" w:space="0"/>
              <w:left w:val="single" w:color="000000" w:sz="6" w:space="0"/>
              <w:bottom w:val="single" w:color="000000" w:sz="6" w:space="0"/>
              <w:right w:val="double" w:color="000000" w:sz="4" w:space="0"/>
            </w:tcBorders>
            <w:noWrap w:val="0"/>
            <w:vAlign w:val="center"/>
          </w:tcPr>
          <w:p w14:paraId="68D2767B">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姓名：</w:t>
            </w:r>
            <w:r>
              <w:rPr>
                <w:rFonts w:hint="eastAsia" w:ascii="宋体" w:hAnsi="宋体" w:eastAsia="宋体" w:cs="宋体"/>
                <w:color w:val="auto"/>
                <w:kern w:val="1"/>
                <w:szCs w:val="21"/>
                <w:lang w:val="en-US" w:eastAsia="zh-CN"/>
              </w:rPr>
              <w:t xml:space="preserve">       </w:t>
            </w:r>
            <w:r>
              <w:rPr>
                <w:rFonts w:ascii="宋体" w:hAnsi="宋体" w:eastAsia="宋体" w:cs="宋体"/>
                <w:color w:val="auto"/>
                <w:kern w:val="1"/>
                <w:szCs w:val="21"/>
              </w:rPr>
              <w:t>级别：</w:t>
            </w:r>
            <w:r>
              <w:rPr>
                <w:rFonts w:hint="eastAsia" w:ascii="宋体" w:hAnsi="宋体" w:eastAsia="宋体" w:cs="宋体"/>
                <w:color w:val="auto"/>
                <w:kern w:val="1"/>
                <w:szCs w:val="21"/>
                <w:lang w:val="en-US" w:eastAsia="zh-CN"/>
              </w:rPr>
              <w:t xml:space="preserve">            </w:t>
            </w:r>
            <w:r>
              <w:rPr>
                <w:rFonts w:ascii="宋体" w:hAnsi="宋体" w:eastAsia="宋体" w:cs="宋体"/>
                <w:color w:val="auto"/>
                <w:kern w:val="1"/>
                <w:szCs w:val="21"/>
              </w:rPr>
              <w:t>注册证号：</w:t>
            </w:r>
          </w:p>
          <w:p w14:paraId="6048DFF5">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B类安全生产考核合格证号：</w:t>
            </w:r>
            <w:r>
              <w:rPr>
                <w:rFonts w:hint="eastAsia" w:ascii="宋体" w:hAnsi="宋体" w:eastAsia="宋体" w:cs="宋体"/>
                <w:color w:val="auto"/>
                <w:kern w:val="1"/>
                <w:szCs w:val="21"/>
                <w:lang w:val="en-US" w:eastAsia="zh-CN"/>
              </w:rPr>
              <w:t xml:space="preserve">     </w:t>
            </w:r>
            <w:r>
              <w:rPr>
                <w:rFonts w:hint="eastAsia" w:ascii="宋体" w:hAnsi="宋体" w:eastAsia="宋体" w:cs="宋体"/>
                <w:color w:val="auto"/>
                <w:kern w:val="1"/>
                <w:szCs w:val="21"/>
              </w:rPr>
              <w:t>身份证号：</w:t>
            </w:r>
          </w:p>
        </w:tc>
      </w:tr>
      <w:tr w14:paraId="13E9A272">
        <w:tblPrEx>
          <w:tblCellMar>
            <w:top w:w="0" w:type="dxa"/>
            <w:left w:w="108" w:type="dxa"/>
            <w:bottom w:w="0" w:type="dxa"/>
            <w:right w:w="108" w:type="dxa"/>
          </w:tblCellMar>
        </w:tblPrEx>
        <w:trPr>
          <w:trHeight w:val="620" w:hRule="atLeast"/>
        </w:trPr>
        <w:tc>
          <w:tcPr>
            <w:tcW w:w="1689" w:type="dxa"/>
            <w:tcBorders>
              <w:top w:val="single" w:color="000000" w:sz="6" w:space="0"/>
              <w:left w:val="double" w:color="000000" w:sz="4" w:space="0"/>
              <w:bottom w:val="double" w:color="000000" w:sz="4" w:space="0"/>
              <w:right w:val="single" w:color="000000" w:sz="6" w:space="0"/>
            </w:tcBorders>
            <w:noWrap w:val="0"/>
            <w:vAlign w:val="center"/>
          </w:tcPr>
          <w:p w14:paraId="1FB226E0">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r>
              <w:rPr>
                <w:rFonts w:ascii="宋体" w:hAnsi="宋体" w:eastAsia="宋体" w:cs="宋体"/>
                <w:color w:val="auto"/>
                <w:kern w:val="1"/>
                <w:szCs w:val="21"/>
              </w:rPr>
              <w:t>备  注</w:t>
            </w:r>
          </w:p>
        </w:tc>
        <w:tc>
          <w:tcPr>
            <w:tcW w:w="7506" w:type="dxa"/>
            <w:gridSpan w:val="3"/>
            <w:tcBorders>
              <w:top w:val="single" w:color="000000" w:sz="6" w:space="0"/>
              <w:left w:val="single" w:color="000000" w:sz="6" w:space="0"/>
              <w:bottom w:val="double" w:color="000000" w:sz="4" w:space="0"/>
              <w:right w:val="double" w:color="000000" w:sz="4" w:space="0"/>
            </w:tcBorders>
            <w:noWrap w:val="0"/>
            <w:vAlign w:val="center"/>
          </w:tcPr>
          <w:p w14:paraId="2EC4EA1E">
            <w:pPr>
              <w:pageBreakBefore w:val="0"/>
              <w:widowControl w:val="0"/>
              <w:kinsoku/>
              <w:wordWrap/>
              <w:overflowPunct w:val="0"/>
              <w:bidi w:val="0"/>
              <w:spacing w:line="420" w:lineRule="exact"/>
              <w:jc w:val="both"/>
              <w:textAlignment w:val="auto"/>
              <w:rPr>
                <w:rFonts w:ascii="宋体" w:hAnsi="宋体" w:eastAsia="宋体" w:cs="宋体"/>
                <w:color w:val="auto"/>
                <w:kern w:val="1"/>
                <w:szCs w:val="21"/>
              </w:rPr>
            </w:pPr>
          </w:p>
        </w:tc>
      </w:tr>
    </w:tbl>
    <w:p w14:paraId="7A6E795C">
      <w:pPr>
        <w:pageBreakBefore w:val="0"/>
        <w:widowControl w:val="0"/>
        <w:kinsoku/>
        <w:wordWrap/>
        <w:overflowPunct w:val="0"/>
        <w:bidi w:val="0"/>
        <w:ind w:left="-88"/>
        <w:jc w:val="both"/>
        <w:textAlignment w:val="auto"/>
        <w:rPr>
          <w:rFonts w:ascii="宋体" w:hAnsi="宋体" w:eastAsia="宋体" w:cs="宋体"/>
          <w:color w:val="auto"/>
          <w:kern w:val="1"/>
          <w:szCs w:val="21"/>
        </w:rPr>
      </w:pPr>
    </w:p>
    <w:p w14:paraId="710C0A1D">
      <w:pPr>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hint="eastAsia" w:ascii="宋体" w:hAnsi="宋体" w:eastAsia="宋体" w:cs="宋体"/>
          <w:color w:val="auto"/>
          <w:kern w:val="1"/>
          <w:sz w:val="24"/>
          <w:szCs w:val="24"/>
        </w:rPr>
        <w:t>供应商（公章）：</w:t>
      </w:r>
    </w:p>
    <w:p w14:paraId="04A65501">
      <w:pPr>
        <w:keepNext/>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outlineLvl w:val="9"/>
        <w:rPr>
          <w:rFonts w:hint="eastAsia" w:ascii="宋体" w:hAnsi="宋体" w:eastAsia="宋体" w:cs="宋体"/>
          <w:b w:val="0"/>
          <w:bCs/>
          <w:color w:val="auto"/>
          <w:kern w:val="1"/>
          <w:sz w:val="24"/>
          <w:szCs w:val="24"/>
        </w:rPr>
      </w:pPr>
      <w:r>
        <w:rPr>
          <w:rFonts w:hint="eastAsia" w:ascii="宋体" w:hAnsi="宋体" w:eastAsia="宋体" w:cs="宋体"/>
          <w:b w:val="0"/>
          <w:bCs/>
          <w:color w:val="auto"/>
          <w:kern w:val="1"/>
          <w:sz w:val="24"/>
          <w:szCs w:val="24"/>
        </w:rPr>
        <w:t>法定代表人或其委托代理人签字：</w:t>
      </w:r>
    </w:p>
    <w:p w14:paraId="34FC2B5B">
      <w:pPr>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ascii="宋体" w:hAnsi="宋体" w:eastAsia="宋体" w:cs="宋体"/>
          <w:color w:val="auto"/>
          <w:kern w:val="1"/>
          <w:sz w:val="24"/>
          <w:szCs w:val="24"/>
        </w:rPr>
      </w:pPr>
      <w:r>
        <w:rPr>
          <w:rFonts w:ascii="宋体" w:hAnsi="宋体" w:eastAsia="宋体" w:cs="宋体"/>
          <w:color w:val="auto"/>
          <w:kern w:val="1"/>
          <w:sz w:val="24"/>
          <w:szCs w:val="24"/>
        </w:rPr>
        <w:t>日期：年月日</w:t>
      </w:r>
    </w:p>
    <w:p w14:paraId="088FE69F">
      <w:pPr>
        <w:pageBreakBefore w:val="0"/>
        <w:widowControl w:val="0"/>
        <w:kinsoku/>
        <w:wordWrap/>
        <w:overflowPunct w:val="0"/>
        <w:bidi w:val="0"/>
        <w:jc w:val="both"/>
        <w:textAlignment w:val="auto"/>
        <w:rPr>
          <w:rFonts w:ascii="Times New Roman" w:hAnsi="Times New Roman" w:eastAsia="宋体" w:cs="Times New Roman"/>
          <w:color w:val="auto"/>
        </w:rPr>
      </w:pPr>
    </w:p>
    <w:p w14:paraId="18F3F382">
      <w:pPr>
        <w:pageBreakBefore w:val="0"/>
        <w:widowControl w:val="0"/>
        <w:kinsoku/>
        <w:wordWrap/>
        <w:overflowPunct w:val="0"/>
        <w:bidi w:val="0"/>
        <w:ind w:firstLine="422"/>
        <w:jc w:val="both"/>
        <w:textAlignment w:val="auto"/>
        <w:rPr>
          <w:rFonts w:ascii="宋体" w:hAnsi="宋体" w:eastAsia="宋体" w:cs="宋体"/>
          <w:bCs/>
          <w:color w:val="auto"/>
          <w:kern w:val="1"/>
          <w:szCs w:val="21"/>
        </w:rPr>
      </w:pPr>
      <w:r>
        <w:rPr>
          <w:rFonts w:ascii="宋体" w:hAnsi="宋体" w:eastAsia="宋体" w:cs="宋体"/>
          <w:bCs/>
          <w:color w:val="auto"/>
          <w:kern w:val="1"/>
          <w:szCs w:val="21"/>
        </w:rPr>
        <w:t>说明：</w:t>
      </w:r>
    </w:p>
    <w:p w14:paraId="4C69FD7C">
      <w:pPr>
        <w:pageBreakBefore w:val="0"/>
        <w:widowControl w:val="0"/>
        <w:numPr>
          <w:ilvl w:val="0"/>
          <w:numId w:val="5"/>
        </w:numPr>
        <w:kinsoku/>
        <w:wordWrap/>
        <w:overflowPunct w:val="0"/>
        <w:bidi w:val="0"/>
        <w:ind w:firstLine="422"/>
        <w:jc w:val="both"/>
        <w:textAlignment w:val="auto"/>
        <w:rPr>
          <w:rFonts w:hint="eastAsia" w:ascii="Times New Roman" w:hAnsi="Times New Roman" w:eastAsia="宋体" w:cs="Times New Roman"/>
          <w:bCs/>
          <w:color w:val="auto"/>
        </w:rPr>
      </w:pPr>
      <w:r>
        <w:rPr>
          <w:rFonts w:hint="eastAsia" w:ascii="宋体" w:hAnsi="宋体" w:eastAsia="宋体" w:cs="宋体"/>
          <w:bCs/>
          <w:color w:val="auto"/>
          <w:kern w:val="1"/>
          <w:szCs w:val="21"/>
        </w:rPr>
        <w:t>供应商最后</w:t>
      </w:r>
      <w:r>
        <w:rPr>
          <w:rFonts w:ascii="宋体" w:hAnsi="宋体" w:eastAsia="宋体" w:cs="宋体"/>
          <w:bCs/>
          <w:color w:val="auto"/>
          <w:kern w:val="1"/>
          <w:szCs w:val="21"/>
        </w:rPr>
        <w:t>报价时必须附完整的报价</w:t>
      </w:r>
      <w:r>
        <w:rPr>
          <w:rFonts w:hint="eastAsia" w:ascii="宋体" w:hAnsi="宋体" w:eastAsia="宋体" w:cs="宋体"/>
          <w:bCs/>
          <w:color w:val="auto"/>
          <w:kern w:val="1"/>
          <w:szCs w:val="21"/>
        </w:rPr>
        <w:t>文件</w:t>
      </w:r>
      <w:r>
        <w:rPr>
          <w:rFonts w:ascii="宋体" w:hAnsi="宋体" w:eastAsia="宋体" w:cs="宋体"/>
          <w:bCs/>
          <w:color w:val="auto"/>
          <w:kern w:val="1"/>
          <w:szCs w:val="21"/>
        </w:rPr>
        <w:t>，不能只报总价。</w:t>
      </w:r>
      <w:r>
        <w:rPr>
          <w:rFonts w:hint="eastAsia" w:ascii="宋体" w:hAnsi="宋体" w:eastAsia="宋体" w:cs="宋体"/>
          <w:bCs/>
          <w:color w:val="auto"/>
          <w:kern w:val="1"/>
          <w:szCs w:val="21"/>
        </w:rPr>
        <w:t>供应商</w:t>
      </w:r>
      <w:r>
        <w:rPr>
          <w:rFonts w:ascii="宋体" w:hAnsi="宋体" w:eastAsia="宋体" w:cs="宋体"/>
          <w:bCs/>
          <w:color w:val="auto"/>
          <w:kern w:val="1"/>
          <w:szCs w:val="21"/>
        </w:rPr>
        <w:t>若现场不能提供完整报价</w:t>
      </w:r>
      <w:r>
        <w:rPr>
          <w:rFonts w:hint="eastAsia" w:ascii="宋体" w:hAnsi="宋体" w:eastAsia="宋体" w:cs="宋体"/>
          <w:bCs/>
          <w:color w:val="auto"/>
          <w:kern w:val="1"/>
          <w:szCs w:val="21"/>
        </w:rPr>
        <w:t>文件</w:t>
      </w:r>
      <w:r>
        <w:rPr>
          <w:rFonts w:ascii="宋体" w:hAnsi="宋体" w:eastAsia="宋体" w:cs="宋体"/>
          <w:bCs/>
          <w:color w:val="auto"/>
          <w:kern w:val="1"/>
          <w:szCs w:val="21"/>
        </w:rPr>
        <w:t>，必须提前准备好</w:t>
      </w:r>
      <w:r>
        <w:rPr>
          <w:rFonts w:hint="eastAsia" w:ascii="宋体" w:hAnsi="宋体" w:eastAsia="宋体" w:cs="宋体"/>
          <w:bCs/>
          <w:color w:val="auto"/>
          <w:kern w:val="1"/>
          <w:szCs w:val="21"/>
        </w:rPr>
        <w:t>最后</w:t>
      </w:r>
      <w:r>
        <w:rPr>
          <w:rFonts w:ascii="宋体" w:hAnsi="宋体" w:eastAsia="宋体" w:cs="宋体"/>
          <w:bCs/>
          <w:color w:val="auto"/>
          <w:kern w:val="1"/>
          <w:szCs w:val="21"/>
        </w:rPr>
        <w:t>报价完整报价</w:t>
      </w:r>
      <w:r>
        <w:rPr>
          <w:rFonts w:hint="eastAsia" w:ascii="宋体" w:hAnsi="宋体" w:eastAsia="宋体" w:cs="宋体"/>
          <w:bCs/>
          <w:color w:val="auto"/>
          <w:kern w:val="1"/>
          <w:szCs w:val="21"/>
        </w:rPr>
        <w:t>文件</w:t>
      </w:r>
      <w:r>
        <w:rPr>
          <w:rFonts w:ascii="宋体" w:hAnsi="宋体" w:eastAsia="宋体" w:cs="宋体"/>
          <w:bCs/>
          <w:color w:val="auto"/>
          <w:kern w:val="1"/>
          <w:szCs w:val="21"/>
        </w:rPr>
        <w:t>。只提供投标总价的</w:t>
      </w:r>
      <w:r>
        <w:rPr>
          <w:rFonts w:hint="eastAsia" w:ascii="宋体" w:hAnsi="宋体" w:eastAsia="宋体" w:cs="宋体"/>
          <w:bCs/>
          <w:color w:val="auto"/>
          <w:kern w:val="1"/>
          <w:szCs w:val="21"/>
        </w:rPr>
        <w:t>最后</w:t>
      </w:r>
      <w:r>
        <w:rPr>
          <w:rFonts w:ascii="宋体" w:hAnsi="宋体" w:eastAsia="宋体" w:cs="宋体"/>
          <w:bCs/>
          <w:color w:val="auto"/>
          <w:kern w:val="1"/>
          <w:szCs w:val="21"/>
        </w:rPr>
        <w:t>报价，</w:t>
      </w:r>
      <w:r>
        <w:rPr>
          <w:rFonts w:hint="eastAsia" w:ascii="宋体" w:hAnsi="宋体" w:eastAsia="宋体" w:cs="宋体"/>
          <w:bCs/>
          <w:color w:val="auto"/>
          <w:kern w:val="1"/>
          <w:szCs w:val="21"/>
        </w:rPr>
        <w:t>采购人</w:t>
      </w:r>
      <w:r>
        <w:rPr>
          <w:rFonts w:ascii="宋体" w:hAnsi="宋体" w:eastAsia="宋体" w:cs="宋体"/>
          <w:bCs/>
          <w:color w:val="auto"/>
          <w:kern w:val="1"/>
          <w:szCs w:val="21"/>
        </w:rPr>
        <w:t>不予接受。报价</w:t>
      </w:r>
      <w:r>
        <w:rPr>
          <w:rFonts w:hint="eastAsia" w:ascii="宋体" w:hAnsi="宋体" w:eastAsia="宋体" w:cs="宋体"/>
          <w:bCs/>
          <w:color w:val="auto"/>
          <w:kern w:val="1"/>
          <w:szCs w:val="21"/>
        </w:rPr>
        <w:t>文件</w:t>
      </w:r>
      <w:r>
        <w:rPr>
          <w:rFonts w:ascii="宋体" w:hAnsi="宋体" w:eastAsia="宋体" w:cs="宋体"/>
          <w:bCs/>
          <w:color w:val="auto"/>
          <w:kern w:val="1"/>
          <w:szCs w:val="21"/>
        </w:rPr>
        <w:t>的组成及格式按本</w:t>
      </w:r>
      <w:r>
        <w:rPr>
          <w:rFonts w:hint="eastAsia" w:ascii="宋体" w:hAnsi="宋体" w:eastAsia="宋体" w:cs="宋体"/>
          <w:bCs/>
          <w:color w:val="auto"/>
          <w:kern w:val="1"/>
          <w:szCs w:val="21"/>
        </w:rPr>
        <w:t>项目提供的</w:t>
      </w:r>
      <w:r>
        <w:rPr>
          <w:rFonts w:ascii="宋体" w:hAnsi="宋体" w:eastAsia="宋体" w:cs="宋体"/>
          <w:bCs/>
          <w:color w:val="auto"/>
          <w:kern w:val="1"/>
          <w:szCs w:val="21"/>
        </w:rPr>
        <w:t>“</w:t>
      </w:r>
      <w:r>
        <w:rPr>
          <w:rFonts w:hint="eastAsia" w:ascii="宋体" w:hAnsi="宋体" w:eastAsia="宋体" w:cs="宋体"/>
          <w:bCs/>
          <w:color w:val="auto"/>
          <w:kern w:val="1"/>
          <w:szCs w:val="21"/>
        </w:rPr>
        <w:t>工程量清单</w:t>
      </w:r>
      <w:r>
        <w:rPr>
          <w:rFonts w:ascii="宋体" w:hAnsi="宋体" w:eastAsia="宋体" w:cs="宋体"/>
          <w:bCs/>
          <w:color w:val="auto"/>
          <w:kern w:val="1"/>
          <w:szCs w:val="21"/>
        </w:rPr>
        <w:t>”要求</w:t>
      </w:r>
      <w:r>
        <w:rPr>
          <w:rFonts w:hint="eastAsia" w:ascii="宋体" w:hAnsi="宋体" w:eastAsia="宋体" w:cs="宋体"/>
          <w:bCs/>
          <w:color w:val="auto"/>
          <w:kern w:val="1"/>
          <w:szCs w:val="21"/>
        </w:rPr>
        <w:t>。</w:t>
      </w:r>
    </w:p>
    <w:p w14:paraId="3D47E915">
      <w:pPr>
        <w:pageBreakBefore w:val="0"/>
        <w:widowControl w:val="0"/>
        <w:kinsoku/>
        <w:wordWrap/>
        <w:overflowPunct w:val="0"/>
        <w:bidi w:val="0"/>
        <w:ind w:firstLine="420" w:firstLineChars="200"/>
        <w:jc w:val="both"/>
        <w:textAlignment w:val="auto"/>
        <w:rPr>
          <w:rFonts w:hint="eastAsia" w:ascii="宋体" w:hAnsi="宋体" w:eastAsia="宋体" w:cs="Times New Roman"/>
          <w:bCs/>
          <w:color w:val="auto"/>
          <w:szCs w:val="21"/>
        </w:rPr>
      </w:pPr>
      <w:r>
        <w:rPr>
          <w:rFonts w:hint="eastAsia" w:ascii="宋体" w:hAnsi="宋体" w:eastAsia="宋体" w:cs="Times New Roman"/>
          <w:bCs/>
          <w:color w:val="auto"/>
          <w:szCs w:val="21"/>
        </w:rPr>
        <w:t>2、最后报价按第二章磋商须知第28条规定提供，格式按附件12-1、附件12-2提供，同时将附页2清单表中分别享受政策功能价格合计数按最后报价进行修正。</w:t>
      </w:r>
      <w:r>
        <w:rPr>
          <w:rFonts w:hint="eastAsia" w:ascii="宋体" w:hAnsi="宋体" w:eastAsia="宋体" w:cs="宋体"/>
          <w:bCs/>
          <w:color w:val="auto"/>
        </w:rPr>
        <w:t>供应商提交的最后报价不得超过（小于等于）第一轮报价，否则将被视为无效报价，作无效投标处理</w:t>
      </w:r>
      <w:r>
        <w:rPr>
          <w:rFonts w:hint="eastAsia" w:ascii="宋体" w:hAnsi="宋体" w:eastAsia="宋体" w:cs="Times New Roman"/>
          <w:bCs/>
          <w:color w:val="auto"/>
          <w:szCs w:val="21"/>
        </w:rPr>
        <w:t>。</w:t>
      </w:r>
    </w:p>
    <w:p w14:paraId="2C98F896">
      <w:pPr>
        <w:pStyle w:val="15"/>
        <w:pageBreakBefore w:val="0"/>
        <w:widowControl w:val="0"/>
        <w:tabs>
          <w:tab w:val="left" w:pos="6232"/>
        </w:tabs>
        <w:kinsoku/>
        <w:wordWrap/>
        <w:overflowPunct w:val="0"/>
        <w:bidi w:val="0"/>
        <w:spacing w:after="0" w:line="360" w:lineRule="auto"/>
        <w:ind w:left="0" w:leftChars="0"/>
        <w:jc w:val="both"/>
        <w:textAlignment w:val="auto"/>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3、最后报价磋商时自行准备，不封装在响应文件中。</w:t>
      </w:r>
      <w:r>
        <w:rPr>
          <w:rFonts w:hint="eastAsia" w:ascii="宋体" w:hAnsi="宋体" w:eastAsia="宋体" w:cs="Times New Roman"/>
          <w:bCs/>
          <w:color w:val="auto"/>
          <w:sz w:val="21"/>
          <w:szCs w:val="21"/>
        </w:rPr>
        <w:tab/>
      </w:r>
    </w:p>
    <w:p w14:paraId="0C849B28"/>
    <w:sectPr>
      <w:headerReference r:id="rId15" w:type="default"/>
      <w:footerReference r:id="rId16" w:type="default"/>
      <w:pgSz w:w="11906" w:h="16838"/>
      <w:pgMar w:top="1587" w:right="1587" w:bottom="1587" w:left="1587"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5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AlibabaPuHuiTi-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3BD6">
    <w:pPr>
      <w:tabs>
        <w:tab w:val="center" w:pos="4677"/>
      </w:tabs>
      <w:rPr>
        <w:rFonts w:hint="eastAsia" w:ascii="宋体" w:hAnsi="宋体" w:eastAsia="宋体" w:cs="宋体"/>
      </w:rPr>
    </w:pPr>
    <w:r>
      <w:rPr>
        <w:rFonts w:hint="eastAsia" w:ascii="宋体" w:hAnsi="宋体" w:eastAsia="宋体" w:cs="宋体"/>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429CE">
                          <w:pPr>
                            <w:pStyle w:val="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D5429CE">
                    <w:pPr>
                      <w:pStyle w:val="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r>
      <w:rPr>
        <w:rFonts w:hint="eastAsia" w:ascii="宋体" w:hAnsi="宋体" w:eastAsia="宋体" w:cs="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10918">
    <w:pPr>
      <w:pStyle w:val="9"/>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5859">
    <w:pPr>
      <w:pStyle w:val="9"/>
      <w:rPr>
        <w:rFonts w:ascii="Times New Roman" w:hAnsi="Times New Roman"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FAF0">
    <w:pPr>
      <w:tabs>
        <w:tab w:val="center" w:pos="4677"/>
      </w:tabs>
      <w:rPr>
        <w:rFonts w:ascii="Times New Roman" w:hAnsi="Times New Roman" w:eastAsia="宋体" w:cs="Times New Roman"/>
      </w:rPr>
    </w:pPr>
    <w:r>
      <w:rPr>
        <w:rFonts w:ascii="Times New Roman" w:hAnsi="Times New Roman" w:eastAsia="宋体" w:cs="Times New Roman"/>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438B">
                          <w:pPr>
                            <w:pStyle w:val="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4CB438B">
                    <w:pPr>
                      <w:pStyle w:val="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r>
      <w:rPr>
        <w:rFonts w:ascii="Times New Roman" w:hAnsi="Times New Roman" w:eastAsia="宋体" w:cs="Times New Roma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0368">
    <w:pPr>
      <w:tabs>
        <w:tab w:val="center" w:pos="4677"/>
      </w:tabs>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2ABDF">
                          <w:pPr>
                            <w:pStyle w:val="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002ABDF">
                    <w:pPr>
                      <w:pStyle w:val="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r>
      <w:rPr>
        <w:rFonts w:ascii="Times New Roman" w:hAnsi="Times New Roman" w:eastAsia="宋体" w:cs="Times New Roma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00A7">
    <w:pP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CDEDC">
                          <w:pPr>
                            <w:pStyle w:val="9"/>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37</w:t>
                          </w:r>
                          <w:r>
                            <w:rPr>
                              <w:rFonts w:ascii="Times New Roman" w:hAnsi="Times New Roman" w:eastAsia="宋体" w:cs="Times New Roman"/>
                            </w:rPr>
                            <w:fldChar w:fldCharType="end"/>
                          </w:r>
                          <w:r>
                            <w:rPr>
                              <w:rFonts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74</w:t>
                          </w:r>
                          <w:r>
                            <w:rPr>
                              <w:rFonts w:ascii="Times New Roman" w:hAnsi="Times New Roman" w:eastAsia="宋体" w:cs="Times New Roman"/>
                            </w:rPr>
                            <w:fldChar w:fldCharType="end"/>
                          </w:r>
                          <w:r>
                            <w:rPr>
                              <w:rFonts w:ascii="Times New Roman" w:hAnsi="Times New Roman" w:eastAsia="宋体"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3CDEDC">
                    <w:pPr>
                      <w:pStyle w:val="9"/>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37</w:t>
                    </w:r>
                    <w:r>
                      <w:rPr>
                        <w:rFonts w:ascii="Times New Roman" w:hAnsi="Times New Roman" w:eastAsia="宋体" w:cs="Times New Roman"/>
                      </w:rPr>
                      <w:fldChar w:fldCharType="end"/>
                    </w:r>
                    <w:r>
                      <w:rPr>
                        <w:rFonts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74</w:t>
                    </w:r>
                    <w:r>
                      <w:rPr>
                        <w:rFonts w:ascii="Times New Roman" w:hAnsi="Times New Roman" w:eastAsia="宋体" w:cs="Times New Roman"/>
                      </w:rPr>
                      <w:fldChar w:fldCharType="end"/>
                    </w:r>
                    <w:r>
                      <w:rPr>
                        <w:rFonts w:ascii="Times New Roman" w:hAnsi="Times New Roman" w:eastAsia="宋体" w:cs="Times New Roma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9FBD">
    <w:pP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C3AFD">
                          <w:pPr>
                            <w:pStyle w:val="9"/>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70</w:t>
                          </w:r>
                          <w:r>
                            <w:rPr>
                              <w:rFonts w:ascii="Times New Roman" w:hAnsi="Times New Roman" w:eastAsia="宋体" w:cs="Times New Roman"/>
                            </w:rPr>
                            <w:fldChar w:fldCharType="end"/>
                          </w:r>
                          <w:r>
                            <w:rPr>
                              <w:rFonts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74</w:t>
                          </w:r>
                          <w:r>
                            <w:rPr>
                              <w:rFonts w:ascii="Times New Roman" w:hAnsi="Times New Roman" w:eastAsia="宋体" w:cs="Times New Roman"/>
                            </w:rPr>
                            <w:fldChar w:fldCharType="end"/>
                          </w:r>
                          <w:r>
                            <w:rPr>
                              <w:rFonts w:ascii="Times New Roman" w:hAnsi="Times New Roman" w:eastAsia="宋体"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CBC3AFD">
                    <w:pPr>
                      <w:pStyle w:val="9"/>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70</w:t>
                    </w:r>
                    <w:r>
                      <w:rPr>
                        <w:rFonts w:ascii="Times New Roman" w:hAnsi="Times New Roman" w:eastAsia="宋体" w:cs="Times New Roman"/>
                      </w:rPr>
                      <w:fldChar w:fldCharType="end"/>
                    </w:r>
                    <w:r>
                      <w:rPr>
                        <w:rFonts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74</w:t>
                    </w:r>
                    <w:r>
                      <w:rPr>
                        <w:rFonts w:ascii="Times New Roman" w:hAnsi="Times New Roman" w:eastAsia="宋体" w:cs="Times New Roman"/>
                      </w:rPr>
                      <w:fldChar w:fldCharType="end"/>
                    </w:r>
                    <w:r>
                      <w:rPr>
                        <w:rFonts w:ascii="Times New Roman" w:hAnsi="Times New Roman" w:eastAsia="宋体" w:cs="Times New Roma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pPr>
      <w:r>
        <w:separator/>
      </w:r>
    </w:p>
  </w:footnote>
  <w:footnote w:type="continuationSeparator" w:id="3">
    <w:p>
      <w:pPr>
        <w:spacing w:line="360" w:lineRule="auto"/>
      </w:pPr>
      <w:r>
        <w:continuationSeparator/>
      </w:r>
    </w:p>
  </w:footnote>
  <w:footnote w:id="0">
    <w:p w14:paraId="3E8CE778">
      <w:pPr>
        <w:rPr>
          <w:rFonts w:ascii="Times New Roman" w:hAnsi="Times New Roman" w:eastAsia="宋体"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58C5">
    <w:pPr>
      <w:pStyle w:val="10"/>
      <w:widowControl w:val="0"/>
      <w:pBdr>
        <w:top w:val="none" w:color="auto" w:sz="0" w:space="1"/>
        <w:left w:val="none" w:color="auto" w:sz="0" w:space="4"/>
        <w:bottom w:val="none" w:color="auto" w:sz="0" w:space="1"/>
        <w:right w:val="none" w:color="auto" w:sz="0" w:space="4"/>
        <w:between w:val="none" w:color="auto" w:sz="0" w:space="0"/>
      </w:pBdr>
      <w:spacing w:line="240" w:lineRule="auto"/>
      <w:jc w:val="both"/>
      <w:rPr>
        <w:rFonts w:hint="eastAsia" w:ascii="Times New Roman" w:hAnsi="Times New Roman" w:eastAsia="宋体" w:cs="宋体"/>
        <w:color w:val="auto"/>
        <w:sz w:val="20"/>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D5E0">
    <w:pPr>
      <w:pStyle w:val="10"/>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CDA9">
    <w:pPr>
      <w:pStyle w:val="10"/>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F578">
    <w:pPr>
      <w:pStyle w:val="10"/>
      <w:widowControl w:val="0"/>
      <w:pBdr>
        <w:top w:val="none" w:color="auto" w:sz="0" w:space="1"/>
        <w:left w:val="none" w:color="auto" w:sz="0" w:space="4"/>
        <w:bottom w:val="none" w:color="auto" w:sz="0" w:space="1"/>
        <w:right w:val="none" w:color="auto" w:sz="0" w:space="4"/>
        <w:between w:val="none" w:color="auto" w:sz="0" w:space="0"/>
      </w:pBdr>
      <w:spacing w:line="360" w:lineRule="auto"/>
      <w:jc w:val="both"/>
      <w:rPr>
        <w:rFonts w:ascii="Times New Roman" w:hAnsi="Times New Roman" w:eastAsia="宋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938E">
    <w:pPr>
      <w:pStyle w:val="10"/>
      <w:pBdr>
        <w:bottom w:val="single" w:color="auto" w:sz="4" w:space="0"/>
      </w:pBdr>
      <w:jc w:val="both"/>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DC4AC"/>
    <w:multiLevelType w:val="singleLevel"/>
    <w:tmpl w:val="94FDC4AC"/>
    <w:lvl w:ilvl="0" w:tentative="0">
      <w:start w:val="1"/>
      <w:numFmt w:val="decimal"/>
      <w:suff w:val="nothing"/>
      <w:lvlText w:val="（%1）"/>
      <w:lvlJc w:val="left"/>
    </w:lvl>
  </w:abstractNum>
  <w:abstractNum w:abstractNumId="1">
    <w:nsid w:val="9F3C66F6"/>
    <w:multiLevelType w:val="singleLevel"/>
    <w:tmpl w:val="9F3C66F6"/>
    <w:lvl w:ilvl="0" w:tentative="0">
      <w:start w:val="4"/>
      <w:numFmt w:val="chineseCounting"/>
      <w:suff w:val="nothing"/>
      <w:lvlText w:val="%1、"/>
      <w:lvlJc w:val="left"/>
      <w:rPr>
        <w:rFonts w:hint="eastAsia"/>
      </w:rPr>
    </w:lvl>
  </w:abstractNum>
  <w:abstractNum w:abstractNumId="2">
    <w:nsid w:val="E6AB53E0"/>
    <w:multiLevelType w:val="singleLevel"/>
    <w:tmpl w:val="E6AB53E0"/>
    <w:lvl w:ilvl="0" w:tentative="0">
      <w:start w:val="1"/>
      <w:numFmt w:val="decimal"/>
      <w:suff w:val="space"/>
      <w:lvlText w:val="%1."/>
      <w:lvlJc w:val="left"/>
      <w:pPr>
        <w:ind w:left="-24"/>
      </w:pPr>
    </w:lvl>
  </w:abstractNum>
  <w:abstractNum w:abstractNumId="3">
    <w:nsid w:val="5B06E7F7"/>
    <w:multiLevelType w:val="singleLevel"/>
    <w:tmpl w:val="5B06E7F7"/>
    <w:lvl w:ilvl="0" w:tentative="0">
      <w:start w:val="1"/>
      <w:numFmt w:val="decimal"/>
      <w:suff w:val="nothing"/>
      <w:lvlText w:val="%1、"/>
      <w:lvlJc w:val="left"/>
    </w:lvl>
  </w:abstractNum>
  <w:abstractNum w:abstractNumId="4">
    <w:nsid w:val="712F58C4"/>
    <w:multiLevelType w:val="singleLevel"/>
    <w:tmpl w:val="712F58C4"/>
    <w:lvl w:ilvl="0" w:tentative="0">
      <w:start w:val="10"/>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D11BB"/>
    <w:rsid w:val="03DF7F25"/>
    <w:rsid w:val="0E4C1E01"/>
    <w:rsid w:val="122231B3"/>
    <w:rsid w:val="23110EEC"/>
    <w:rsid w:val="255D689D"/>
    <w:rsid w:val="413463FC"/>
    <w:rsid w:val="4EF02EC6"/>
    <w:rsid w:val="565C24C3"/>
    <w:rsid w:val="6A5D11BB"/>
    <w:rsid w:val="793E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color w:val="000000"/>
      <w:sz w:val="21"/>
      <w:szCs w:val="24"/>
      <w:lang w:val="en-US" w:eastAsia="zh-CN" w:bidi="ar-SA"/>
    </w:rPr>
  </w:style>
  <w:style w:type="paragraph" w:styleId="2">
    <w:name w:val="heading 1"/>
    <w:next w:val="1"/>
    <w:qFormat/>
    <w:uiPriority w:val="0"/>
    <w:pPr>
      <w:keepNext/>
      <w:widowControl w:val="0"/>
      <w:spacing w:line="360" w:lineRule="auto"/>
      <w:jc w:val="left"/>
      <w:outlineLvl w:val="0"/>
    </w:pPr>
    <w:rPr>
      <w:rFonts w:ascii="Times New Roman" w:hAnsi="Times New Roman" w:eastAsia="宋体" w:cs="Times New Roman"/>
      <w:b/>
      <w:color w:val="000000"/>
      <w:sz w:val="30"/>
      <w:szCs w:val="20"/>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spacing w:line="360" w:lineRule="auto"/>
      <w:ind w:firstLine="420"/>
      <w:jc w:val="left"/>
    </w:pPr>
    <w:rPr>
      <w:rFonts w:ascii="Times New Roman" w:hAnsi="Times New Roman" w:eastAsia="宋体" w:cs="Times New Roman"/>
      <w:color w:val="000000"/>
      <w:sz w:val="20"/>
      <w:szCs w:val="20"/>
      <w:lang w:val="en-US" w:eastAsia="zh-CN" w:bidi="ar-SA"/>
    </w:rPr>
  </w:style>
  <w:style w:type="paragraph" w:styleId="4">
    <w:name w:val="Body Text"/>
    <w:next w:val="1"/>
    <w:qFormat/>
    <w:uiPriority w:val="1"/>
    <w:pPr>
      <w:widowControl w:val="0"/>
      <w:spacing w:after="120" w:line="360" w:lineRule="auto"/>
      <w:jc w:val="both"/>
    </w:pPr>
    <w:rPr>
      <w:rFonts w:ascii="Times New Roman" w:hAnsi="Times New Roman" w:eastAsia="宋体" w:cs="Times New Roman"/>
      <w:color w:val="000000"/>
      <w:sz w:val="21"/>
      <w:szCs w:val="24"/>
      <w:lang w:val="en-US" w:eastAsia="zh-CN" w:bidi="ar-SA"/>
    </w:rPr>
  </w:style>
  <w:style w:type="paragraph" w:styleId="5">
    <w:name w:val="Body Text Indent"/>
    <w:next w:val="1"/>
    <w:qFormat/>
    <w:uiPriority w:val="99"/>
    <w:pPr>
      <w:widowControl w:val="0"/>
      <w:spacing w:after="120" w:line="360" w:lineRule="auto"/>
      <w:ind w:left="420" w:leftChars="200"/>
      <w:jc w:val="both"/>
    </w:pPr>
    <w:rPr>
      <w:rFonts w:ascii="Times New Roman" w:hAnsi="Times New Roman" w:eastAsia="宋体" w:cs="Times New Roman"/>
      <w:color w:val="000000"/>
      <w:sz w:val="21"/>
      <w:szCs w:val="24"/>
      <w:lang w:val="en-US" w:eastAsia="zh-CN" w:bidi="ar-SA"/>
    </w:rPr>
  </w:style>
  <w:style w:type="paragraph" w:styleId="6">
    <w:name w:val="toc 3"/>
    <w:next w:val="1"/>
    <w:qFormat/>
    <w:uiPriority w:val="0"/>
    <w:pPr>
      <w:widowControl w:val="0"/>
      <w:spacing w:line="360" w:lineRule="auto"/>
      <w:ind w:left="840" w:leftChars="400"/>
      <w:jc w:val="both"/>
    </w:pPr>
    <w:rPr>
      <w:rFonts w:ascii="Times New Roman" w:hAnsi="Times New Roman" w:eastAsia="宋体" w:cs="Times New Roman"/>
      <w:color w:val="000000"/>
      <w:sz w:val="21"/>
      <w:szCs w:val="24"/>
      <w:lang w:val="en-US" w:eastAsia="zh-CN" w:bidi="ar-SA"/>
    </w:rPr>
  </w:style>
  <w:style w:type="paragraph" w:styleId="7">
    <w:name w:val="Plain Text"/>
    <w:next w:val="1"/>
    <w:qFormat/>
    <w:uiPriority w:val="0"/>
    <w:pPr>
      <w:widowControl w:val="0"/>
      <w:spacing w:line="360" w:lineRule="auto"/>
      <w:jc w:val="both"/>
    </w:pPr>
    <w:rPr>
      <w:rFonts w:ascii="宋体" w:hAnsi="宋体" w:eastAsia="宋体" w:cs="Times New Roman"/>
      <w:color w:val="000000"/>
      <w:kern w:val="1"/>
      <w:sz w:val="21"/>
      <w:szCs w:val="21"/>
      <w:lang w:val="en-US" w:eastAsia="zh-CN" w:bidi="ar-SA"/>
    </w:rPr>
  </w:style>
  <w:style w:type="paragraph" w:styleId="8">
    <w:name w:val="Date"/>
    <w:next w:val="1"/>
    <w:qFormat/>
    <w:uiPriority w:val="0"/>
    <w:pPr>
      <w:widowControl w:val="0"/>
      <w:spacing w:line="360" w:lineRule="auto"/>
      <w:jc w:val="both"/>
    </w:pPr>
    <w:rPr>
      <w:rFonts w:ascii="Times New Roman" w:hAnsi="Times New Roman" w:eastAsia="宋体" w:cs="Times New Roman"/>
      <w:color w:val="000000"/>
      <w:kern w:val="1"/>
      <w:sz w:val="24"/>
      <w:szCs w:val="20"/>
      <w:lang w:val="en-US" w:eastAsia="zh-CN" w:bidi="ar-SA"/>
    </w:rPr>
  </w:style>
  <w:style w:type="paragraph" w:styleId="9">
    <w:name w:val="footer"/>
    <w:qFormat/>
    <w:uiPriority w:val="0"/>
    <w:pPr>
      <w:widowControl w:val="0"/>
      <w:tabs>
        <w:tab w:val="center" w:pos="4153"/>
        <w:tab w:val="right" w:pos="8306"/>
      </w:tabs>
      <w:spacing w:line="360" w:lineRule="auto"/>
      <w:jc w:val="left"/>
    </w:pPr>
    <w:rPr>
      <w:rFonts w:ascii="Times New Roman" w:hAnsi="Times New Roman" w:eastAsia="宋体" w:cs="Times New Roman"/>
      <w:color w:val="000000"/>
      <w:kern w:val="1"/>
      <w:sz w:val="18"/>
      <w:szCs w:val="18"/>
      <w:lang w:val="en-US" w:eastAsia="zh-CN" w:bidi="ar-SA"/>
    </w:rPr>
  </w:style>
  <w:style w:type="paragraph" w:styleId="10">
    <w:name w:val="header"/>
    <w:qFormat/>
    <w:uiPriority w:val="0"/>
    <w:pPr>
      <w:widowControl w:val="0"/>
      <w:pBdr>
        <w:bottom w:val="single" w:color="000000" w:sz="6" w:space="1"/>
      </w:pBdr>
      <w:tabs>
        <w:tab w:val="center" w:pos="4153"/>
        <w:tab w:val="right" w:pos="8306"/>
      </w:tabs>
      <w:spacing w:line="360" w:lineRule="auto"/>
      <w:jc w:val="center"/>
    </w:pPr>
    <w:rPr>
      <w:rFonts w:ascii="Times New Roman" w:hAnsi="Times New Roman" w:eastAsia="宋体" w:cs="Times New Roman"/>
      <w:color w:val="000000"/>
      <w:kern w:val="1"/>
      <w:sz w:val="18"/>
      <w:szCs w:val="18"/>
      <w:lang w:val="en-US" w:eastAsia="zh-CN" w:bidi="ar-SA"/>
    </w:rPr>
  </w:style>
  <w:style w:type="paragraph" w:styleId="11">
    <w:name w:val="toc 1"/>
    <w:next w:val="1"/>
    <w:qFormat/>
    <w:uiPriority w:val="0"/>
    <w:pPr>
      <w:widowControl w:val="0"/>
      <w:spacing w:line="360" w:lineRule="auto"/>
      <w:jc w:val="both"/>
    </w:pPr>
    <w:rPr>
      <w:rFonts w:ascii="Times New Roman" w:hAnsi="Times New Roman" w:eastAsia="宋体" w:cs="Times New Roman"/>
      <w:color w:val="000000"/>
      <w:sz w:val="21"/>
      <w:szCs w:val="24"/>
      <w:lang w:val="en-US" w:eastAsia="zh-CN" w:bidi="ar-SA"/>
    </w:rPr>
  </w:style>
  <w:style w:type="paragraph" w:styleId="12">
    <w:name w:val="toc 2"/>
    <w:next w:val="1"/>
    <w:qFormat/>
    <w:uiPriority w:val="0"/>
    <w:pPr>
      <w:widowControl w:val="0"/>
      <w:spacing w:line="360" w:lineRule="auto"/>
      <w:ind w:left="420" w:leftChars="200"/>
      <w:jc w:val="both"/>
    </w:pPr>
    <w:rPr>
      <w:rFonts w:ascii="Times New Roman" w:hAnsi="Times New Roman" w:eastAsia="宋体" w:cs="Times New Roman"/>
      <w:color w:val="000000"/>
      <w:sz w:val="21"/>
      <w:szCs w:val="24"/>
      <w:lang w:val="en-US" w:eastAsia="zh-CN" w:bidi="ar-SA"/>
    </w:rPr>
  </w:style>
  <w:style w:type="paragraph" w:styleId="13">
    <w:name w:val="Normal (Web)"/>
    <w:qFormat/>
    <w:uiPriority w:val="0"/>
    <w:pPr>
      <w:widowControl/>
      <w:spacing w:before="100" w:beforeAutospacing="1" w:after="100" w:afterAutospacing="1" w:line="360" w:lineRule="auto"/>
      <w:jc w:val="left"/>
    </w:pPr>
    <w:rPr>
      <w:rFonts w:ascii="宋体" w:hAnsi="宋体" w:eastAsia="宋体" w:cs="宋体"/>
      <w:color w:val="000000"/>
      <w:sz w:val="24"/>
      <w:szCs w:val="24"/>
      <w:lang w:val="en-US" w:eastAsia="zh-CN" w:bidi="ar-SA"/>
    </w:rPr>
  </w:style>
  <w:style w:type="paragraph" w:styleId="14">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color w:val="000000"/>
      <w:sz w:val="24"/>
      <w:szCs w:val="24"/>
      <w:lang w:val="en-US" w:eastAsia="zh-CN" w:bidi="ar-SA"/>
    </w:rPr>
  </w:style>
  <w:style w:type="paragraph" w:styleId="15">
    <w:name w:val="Body Text First Indent 2"/>
    <w:next w:val="1"/>
    <w:unhideWhenUsed/>
    <w:qFormat/>
    <w:uiPriority w:val="0"/>
    <w:pPr>
      <w:widowControl w:val="0"/>
      <w:spacing w:after="120" w:line="240" w:lineRule="auto"/>
      <w:ind w:left="420" w:leftChars="200" w:firstLine="420" w:firstLineChars="200"/>
      <w:jc w:val="both"/>
    </w:pPr>
    <w:rPr>
      <w:rFonts w:ascii="Times New Roman" w:hAnsi="Times New Roman" w:eastAsia="宋体" w:cs="Times New Roman"/>
      <w:color w:val="000000"/>
      <w:sz w:val="20"/>
      <w:szCs w:val="24"/>
      <w:lang w:val="en-US" w:eastAsia="zh-CN" w:bidi="ar-SA"/>
    </w:rPr>
  </w:style>
  <w:style w:type="character" w:styleId="18">
    <w:name w:val="Strong"/>
    <w:qFormat/>
    <w:uiPriority w:val="0"/>
    <w:rPr>
      <w:b/>
    </w:rPr>
  </w:style>
  <w:style w:type="paragraph" w:customStyle="1" w:styleId="19">
    <w:name w:val="p0"/>
    <w:qFormat/>
    <w:uiPriority w:val="0"/>
    <w:pPr>
      <w:widowControl/>
      <w:spacing w:line="360" w:lineRule="auto"/>
      <w:jc w:val="both"/>
    </w:pPr>
    <w:rPr>
      <w:rFonts w:ascii="Times New Roman" w:hAnsi="Times New Roman" w:eastAsia="宋体" w:cs="Times New Roman"/>
      <w:color w:val="000000"/>
      <w:sz w:val="21"/>
      <w:szCs w:val="21"/>
      <w:lang w:val="en-US" w:eastAsia="zh-CN" w:bidi="ar-SA"/>
    </w:rPr>
  </w:style>
  <w:style w:type="paragraph" w:customStyle="1" w:styleId="20">
    <w:name w:val="CM80"/>
    <w:next w:val="1"/>
    <w:qFormat/>
    <w:uiPriority w:val="0"/>
    <w:pPr>
      <w:widowControl w:val="0"/>
      <w:autoSpaceDE w:val="0"/>
      <w:autoSpaceDN w:val="0"/>
      <w:adjustRightInd w:val="0"/>
      <w:spacing w:line="440" w:lineRule="atLeast"/>
    </w:pPr>
    <w:rPr>
      <w:rFonts w:ascii="宋体" w:hAnsi="Calibri" w:eastAsia="宋体" w:cs="宋体"/>
      <w:sz w:val="24"/>
      <w:szCs w:val="24"/>
      <w:lang w:val="en-US" w:eastAsia="zh-CN" w:bidi="ar-SA"/>
    </w:rPr>
  </w:style>
  <w:style w:type="paragraph" w:customStyle="1" w:styleId="21">
    <w:name w:val="列出段落1"/>
    <w:qFormat/>
    <w:uiPriority w:val="0"/>
    <w:pPr>
      <w:widowControl w:val="0"/>
      <w:spacing w:line="360" w:lineRule="auto"/>
      <w:ind w:firstLine="420" w:firstLineChars="200"/>
      <w:jc w:val="both"/>
    </w:pPr>
    <w:rPr>
      <w:rFonts w:ascii="Calibri" w:hAnsi="Calibri" w:eastAsia="宋体" w:cs="Calibri"/>
      <w:color w:val="000000"/>
      <w:sz w:val="21"/>
      <w:szCs w:val="21"/>
      <w:lang w:val="en-US" w:eastAsia="zh-CN" w:bidi="ar-SA"/>
    </w:r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9243</Words>
  <Characters>9754</Characters>
  <Lines>0</Lines>
  <Paragraphs>0</Paragraphs>
  <TotalTime>11</TotalTime>
  <ScaleCrop>false</ScaleCrop>
  <LinksUpToDate>false</LinksUpToDate>
  <CharactersWithSpaces>10309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2026-06-24T02:31:00Z</dcterms:created>
  <dc:creator>Administrator</dc:creator>
  <cp:lastModifiedBy>Administrator</cp:lastModifiedBy>
  <dcterms:modified xsi:type="dcterms:W3CDTF">2026-06-26T04:57:06Z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D84543FA7CD94C3D97C057DEA5A9D6C3_11</vt:lpwstr>
  </property>
  <property fmtid="{D5CDD505-2E9C-101B-9397-08002B2CF9AE}" pid="4" name="KSOTemplateDocerSaveRecord">
    <vt:lpwstr>eyJoZGlkIjoiMjUwMmUzYmQwZjkxYzYwZmFhOTE0OGZhZTIzOTBkNzAiLCJ1c2VySWQiOiIyOTEzMjk2ODIifQ==</vt:lpwstr>
  </property>
</Properties>
</file>