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322A7F">
      <w:pPr>
        <w:pStyle w:val="2"/>
        <w:keepNext w:val="0"/>
        <w:adjustRightInd w:val="0"/>
        <w:snapToGrid w:val="0"/>
        <w:spacing w:before="156" w:beforeLines="50" w:line="360" w:lineRule="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采购需求</w:t>
      </w:r>
    </w:p>
    <w:p w14:paraId="1A122E52">
      <w:pPr>
        <w:spacing w:line="360" w:lineRule="auto"/>
        <w:rPr>
          <w:rFonts w:hint="eastAsia" w:ascii="宋体" w:hAnsi="宋体" w:eastAsia="宋体" w:cs="宋体"/>
          <w:color w:val="auto"/>
          <w:kern w:val="0"/>
          <w:sz w:val="22"/>
          <w:szCs w:val="22"/>
          <w:highlight w:val="none"/>
          <w:lang w:bidi="ar"/>
        </w:rPr>
      </w:pPr>
    </w:p>
    <w:p w14:paraId="47F784EE">
      <w:pPr>
        <w:numPr>
          <w:ilvl w:val="0"/>
          <w:numId w:val="1"/>
        </w:numPr>
        <w:spacing w:line="430" w:lineRule="exact"/>
        <w:ind w:left="0" w:leftChars="0" w:firstLine="0" w:firstLineChars="0"/>
        <w:rPr>
          <w:rFonts w:hint="default" w:ascii="宋体" w:hAnsi="宋体" w:eastAsia="宋体" w:cs="Times New Roman"/>
          <w:bCs/>
          <w:color w:val="auto"/>
          <w:szCs w:val="21"/>
          <w:highlight w:val="none"/>
          <w:lang w:val="en-US" w:eastAsia="zh-CN"/>
        </w:rPr>
      </w:pPr>
      <w:r>
        <w:rPr>
          <w:rFonts w:hint="eastAsia" w:ascii="宋体" w:hAnsi="宋体" w:eastAsia="宋体" w:cs="Times New Roman"/>
          <w:b/>
          <w:bCs/>
          <w:color w:val="auto"/>
          <w:sz w:val="24"/>
          <w:highlight w:val="none"/>
          <w:lang w:val="en-US" w:eastAsia="zh-CN"/>
        </w:rPr>
        <w:t>项目背景</w:t>
      </w:r>
    </w:p>
    <w:p w14:paraId="22C73C49">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郴州市物业专项维修资金管理</w:t>
      </w:r>
      <w:r>
        <w:rPr>
          <w:rFonts w:hint="eastAsia" w:ascii="宋体" w:hAnsi="宋体" w:cs="Times New Roman"/>
          <w:bCs/>
          <w:color w:val="auto"/>
          <w:szCs w:val="21"/>
          <w:highlight w:val="none"/>
          <w:lang w:val="en-US" w:eastAsia="zh-CN"/>
        </w:rPr>
        <w:t>平台</w:t>
      </w:r>
      <w:r>
        <w:rPr>
          <w:rFonts w:hint="default" w:ascii="宋体" w:hAnsi="宋体" w:eastAsia="宋体" w:cs="Times New Roman"/>
          <w:bCs/>
          <w:color w:val="auto"/>
          <w:szCs w:val="21"/>
          <w:highlight w:val="none"/>
          <w:lang w:val="en-US" w:eastAsia="zh-CN"/>
        </w:rPr>
        <w:t>系统,自 2012 年 3 月上线,以加强物业维修资金</w:t>
      </w:r>
      <w:r>
        <w:rPr>
          <w:rFonts w:hint="eastAsia" w:ascii="宋体" w:hAnsi="宋体" w:cs="Times New Roman"/>
          <w:bCs/>
          <w:color w:val="auto"/>
          <w:szCs w:val="21"/>
          <w:highlight w:val="none"/>
          <w:lang w:val="en-US" w:eastAsia="zh-CN"/>
        </w:rPr>
        <w:t>交存</w:t>
      </w:r>
      <w:r>
        <w:rPr>
          <w:rFonts w:hint="default" w:ascii="宋体" w:hAnsi="宋体" w:eastAsia="宋体" w:cs="Times New Roman"/>
          <w:bCs/>
          <w:color w:val="auto"/>
          <w:szCs w:val="21"/>
          <w:highlight w:val="none"/>
          <w:lang w:val="en-US" w:eastAsia="zh-CN"/>
        </w:rPr>
        <w:t>、使用、增值、账户等流程标准化管理,实现物业维修资金</w:t>
      </w:r>
      <w:r>
        <w:rPr>
          <w:rFonts w:hint="eastAsia" w:ascii="宋体" w:hAnsi="宋体" w:cs="Times New Roman"/>
          <w:bCs/>
          <w:color w:val="auto"/>
          <w:szCs w:val="21"/>
          <w:highlight w:val="none"/>
          <w:lang w:val="en-US" w:eastAsia="zh-CN"/>
        </w:rPr>
        <w:t>交存</w:t>
      </w:r>
      <w:r>
        <w:rPr>
          <w:rFonts w:hint="default" w:ascii="宋体" w:hAnsi="宋体" w:eastAsia="宋体" w:cs="Times New Roman"/>
          <w:bCs/>
          <w:color w:val="auto"/>
          <w:szCs w:val="21"/>
          <w:highlight w:val="none"/>
          <w:lang w:val="en-US" w:eastAsia="zh-CN"/>
        </w:rPr>
        <w:t>与使用的全程公开、公平、公正,提高物业专项维修资金管理水平,提升信息公开和政务服务水平。参与业务办理与审批的系统用户共计 10 人,涉及业务模块主要包括:基础数据采集、账户管理、自缴管理、归集管理、维修使用管理、总账管理、票据管理、结息管理、分析统计报表、综合查询等。</w:t>
      </w:r>
    </w:p>
    <w:p w14:paraId="0C882146">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郴州市物业维修资金线上服务平台,作为开展物业专项维修资金便民服务的有力补充,依托飞速发展的互联网+信息技术,自 2023 年 7 月上线以来,共计为全市 4.1 万名注册业主提供包括:小区概况、政策法规、办事指南、个人维修资金查询、线上</w:t>
      </w:r>
      <w:r>
        <w:rPr>
          <w:rFonts w:hint="eastAsia" w:ascii="宋体" w:hAnsi="宋体" w:cs="Times New Roman"/>
          <w:bCs/>
          <w:color w:val="auto"/>
          <w:szCs w:val="21"/>
          <w:highlight w:val="none"/>
          <w:lang w:val="en-US" w:eastAsia="zh-CN"/>
        </w:rPr>
        <w:t>交存</w:t>
      </w:r>
      <w:r>
        <w:rPr>
          <w:rFonts w:hint="default" w:ascii="宋体" w:hAnsi="宋体" w:eastAsia="宋体" w:cs="Times New Roman"/>
          <w:bCs/>
          <w:color w:val="auto"/>
          <w:szCs w:val="21"/>
          <w:highlight w:val="none"/>
          <w:lang w:val="en-US" w:eastAsia="zh-CN"/>
        </w:rPr>
        <w:t>、</w:t>
      </w:r>
      <w:r>
        <w:rPr>
          <w:rFonts w:hint="eastAsia" w:ascii="宋体" w:hAnsi="宋体" w:cs="Times New Roman"/>
          <w:bCs/>
          <w:color w:val="auto"/>
          <w:szCs w:val="21"/>
          <w:highlight w:val="none"/>
          <w:lang w:val="en-US" w:eastAsia="zh-CN"/>
        </w:rPr>
        <w:t>使用表决、</w:t>
      </w:r>
      <w:r>
        <w:rPr>
          <w:rFonts w:hint="default" w:ascii="宋体" w:hAnsi="宋体" w:eastAsia="宋体" w:cs="Times New Roman"/>
          <w:bCs/>
          <w:color w:val="auto"/>
          <w:szCs w:val="21"/>
          <w:highlight w:val="none"/>
          <w:lang w:val="en-US" w:eastAsia="zh-CN"/>
        </w:rPr>
        <w:t>电子票据下载、过户电子证明下载、维修使用公示等在内的高效、便捷、全面地维修资金线上服务体验。</w:t>
      </w:r>
    </w:p>
    <w:p w14:paraId="647CDF3A">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截止到目前,郴州市</w:t>
      </w:r>
      <w:r>
        <w:rPr>
          <w:rFonts w:hint="eastAsia" w:ascii="宋体" w:hAnsi="宋体" w:cs="Times New Roman"/>
          <w:bCs/>
          <w:color w:val="auto"/>
          <w:szCs w:val="21"/>
          <w:highlight w:val="none"/>
          <w:lang w:val="en-US" w:eastAsia="zh-CN"/>
        </w:rPr>
        <w:t>本级</w:t>
      </w:r>
      <w:r>
        <w:rPr>
          <w:rFonts w:hint="default" w:ascii="宋体" w:hAnsi="宋体" w:eastAsia="宋体" w:cs="Times New Roman"/>
          <w:bCs/>
          <w:color w:val="auto"/>
          <w:szCs w:val="21"/>
          <w:highlight w:val="none"/>
          <w:lang w:val="en-US" w:eastAsia="zh-CN"/>
        </w:rPr>
        <w:t>物业专项维修资金归集与使用涉及房地产开发楼盘项目有 785个、总楼栋有 6564 栋、总户室有 501250 套,涉及维修资金总金额有32.74亿元。由于历史遗留问题,维修资金部分数据存在不完整和不准确情况,甚至有些混乱,“家底不清楚”现象,与不动产登记、财务数据不一致,导致业务办理过程中遇到许多问题,主要存在的问题有:维修资金基础数据存在不完整和不准确问题,导致维修资金结息难、维修资金追缴难、维修资金使用难、维修资金过户难、维修资金汇总统计难、维修资金信息公示难等一系列问题,导致维修资金窗口办公效率低下,业主利益得不到保障,是当前维修资金管理最头痛的问题。</w:t>
      </w:r>
    </w:p>
    <w:p w14:paraId="4201E27B">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郴州市物业专项维修资金管理</w:t>
      </w:r>
      <w:r>
        <w:rPr>
          <w:rFonts w:hint="eastAsia" w:ascii="宋体" w:hAnsi="宋体" w:cs="Times New Roman"/>
          <w:bCs/>
          <w:color w:val="auto"/>
          <w:szCs w:val="21"/>
          <w:highlight w:val="none"/>
          <w:lang w:val="en-US" w:eastAsia="zh-CN"/>
        </w:rPr>
        <w:t>平台</w:t>
      </w:r>
      <w:r>
        <w:rPr>
          <w:rFonts w:hint="default" w:ascii="宋体" w:hAnsi="宋体" w:eastAsia="宋体" w:cs="Times New Roman"/>
          <w:bCs/>
          <w:color w:val="auto"/>
          <w:szCs w:val="21"/>
          <w:highlight w:val="none"/>
          <w:lang w:val="en-US" w:eastAsia="zh-CN"/>
        </w:rPr>
        <w:t>系统基于郴州市政务云建设,共 4 台服务器。一台应用服务器,一台数据库,一台银行接口,一台线上服务服务器。共使用资源 44 核、144G 内存、2.5TB 硬盘资源。</w:t>
      </w:r>
    </w:p>
    <w:p w14:paraId="40A0A433">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在业务办理方面,郴州市物业专项维修资金管理系统已实现了从基础数据采集到综合查询的全流程覆盖。业主通过线上服务平台,可以随时随地查询个人维修资金账户情况,包括</w:t>
      </w:r>
      <w:r>
        <w:rPr>
          <w:rFonts w:hint="eastAsia" w:ascii="宋体" w:hAnsi="宋体" w:cs="Times New Roman"/>
          <w:bCs/>
          <w:color w:val="auto"/>
          <w:szCs w:val="21"/>
          <w:highlight w:val="none"/>
          <w:lang w:val="en-US" w:eastAsia="zh-CN"/>
        </w:rPr>
        <w:t>交存</w:t>
      </w:r>
      <w:r>
        <w:rPr>
          <w:rFonts w:hint="default" w:ascii="宋体" w:hAnsi="宋体" w:eastAsia="宋体" w:cs="Times New Roman"/>
          <w:bCs/>
          <w:color w:val="auto"/>
          <w:szCs w:val="21"/>
          <w:highlight w:val="none"/>
          <w:lang w:val="en-US" w:eastAsia="zh-CN"/>
        </w:rPr>
        <w:t>记录、使用明细、结息信息等,实现了信息的透明化。同时,系统支持线上</w:t>
      </w:r>
      <w:r>
        <w:rPr>
          <w:rFonts w:hint="eastAsia" w:ascii="宋体" w:hAnsi="宋体" w:cs="Times New Roman"/>
          <w:bCs/>
          <w:color w:val="auto"/>
          <w:szCs w:val="21"/>
          <w:highlight w:val="none"/>
          <w:lang w:val="en-US" w:eastAsia="zh-CN"/>
        </w:rPr>
        <w:t>交存</w:t>
      </w:r>
      <w:r>
        <w:rPr>
          <w:rFonts w:hint="default" w:ascii="宋体" w:hAnsi="宋体" w:eastAsia="宋体" w:cs="Times New Roman"/>
          <w:bCs/>
          <w:color w:val="auto"/>
          <w:szCs w:val="21"/>
          <w:highlight w:val="none"/>
          <w:lang w:val="en-US" w:eastAsia="zh-CN"/>
        </w:rPr>
        <w:t>功能,业主无需到现场即可完成维修资金的</w:t>
      </w:r>
      <w:r>
        <w:rPr>
          <w:rFonts w:hint="eastAsia" w:ascii="宋体" w:hAnsi="宋体" w:cs="Times New Roman"/>
          <w:bCs/>
          <w:color w:val="auto"/>
          <w:szCs w:val="21"/>
          <w:highlight w:val="none"/>
          <w:lang w:val="en-US" w:eastAsia="zh-CN"/>
        </w:rPr>
        <w:t>交存</w:t>
      </w:r>
      <w:r>
        <w:rPr>
          <w:rFonts w:hint="default" w:ascii="宋体" w:hAnsi="宋体" w:eastAsia="宋体" w:cs="Times New Roman"/>
          <w:bCs/>
          <w:color w:val="auto"/>
          <w:szCs w:val="21"/>
          <w:highlight w:val="none"/>
          <w:lang w:val="en-US" w:eastAsia="zh-CN"/>
        </w:rPr>
        <w:t>,极大地方便了业主。此外,系统还提供了电子票据下载和过户电子证明下载服务,进一步简化了业务办理流程,提升了政务服务水平。这些线上服务的推出,不仅提高了业务办理的便捷性和效率,也增强了业主对政务服务的满意度。</w:t>
      </w:r>
    </w:p>
    <w:p w14:paraId="5B6786A8">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郴州市作为湖南省的重要城市,物业专项维修资金的管理规模日益扩大</w:t>
      </w:r>
      <w:r>
        <w:rPr>
          <w:rFonts w:hint="eastAsia" w:ascii="宋体" w:hAnsi="宋体" w:eastAsia="宋体" w:cs="Times New Roman"/>
          <w:bCs/>
          <w:color w:val="auto"/>
          <w:szCs w:val="21"/>
          <w:highlight w:val="none"/>
          <w:lang w:val="en-US" w:eastAsia="zh-CN"/>
        </w:rPr>
        <w:t>，</w:t>
      </w:r>
      <w:r>
        <w:rPr>
          <w:rFonts w:hint="default" w:ascii="宋体" w:hAnsi="宋体" w:eastAsia="宋体" w:cs="Times New Roman"/>
          <w:bCs/>
          <w:color w:val="auto"/>
          <w:szCs w:val="21"/>
          <w:highlight w:val="none"/>
          <w:lang w:val="en-US" w:eastAsia="zh-CN"/>
        </w:rPr>
        <w:t>管理复杂度也随之提升。当前,郴州市在物业专项维修资金管理方面面临着多重挑战:</w:t>
      </w:r>
    </w:p>
    <w:p w14:paraId="618A145E">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首先,资金规模快速增长带来的管理压力。随着新建楼盘的不断增加,物业专项维修资金的归集量急剧上升,如何高效、准确地管理这笔巨额资金,确保其专款专用,成为亟待解决的问题。传统的手工管理方式已难以满足当前的管理需求,亟须通过信息化手段提升管理效率。</w:t>
      </w:r>
    </w:p>
    <w:p w14:paraId="136296BC">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其次,信息透明度与业主参与度不足。业主对物业专项维修资金的使用情况缺乏有效的查询和监督渠道,导致信息不对称,容易引发业主与物业之间的矛盾和纠纷。如何增强资金管理的透明度,提升业主的参与度和满意度,是当前管理中的一大难题。</w:t>
      </w:r>
    </w:p>
    <w:p w14:paraId="1E57DDEA">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再者,系统功能不完善与数据孤岛现象。现有的物业</w:t>
      </w:r>
      <w:r>
        <w:rPr>
          <w:rFonts w:hint="eastAsia" w:ascii="宋体" w:hAnsi="宋体" w:cs="Times New Roman"/>
          <w:bCs/>
          <w:color w:val="auto"/>
          <w:szCs w:val="21"/>
          <w:highlight w:val="none"/>
          <w:lang w:val="en-US" w:eastAsia="zh-CN"/>
        </w:rPr>
        <w:t>专项</w:t>
      </w:r>
      <w:r>
        <w:rPr>
          <w:rFonts w:hint="default" w:ascii="宋体" w:hAnsi="宋体" w:eastAsia="宋体" w:cs="Times New Roman"/>
          <w:bCs/>
          <w:color w:val="auto"/>
          <w:szCs w:val="21"/>
          <w:highlight w:val="none"/>
          <w:lang w:val="en-US" w:eastAsia="zh-CN"/>
        </w:rPr>
        <w:t>维修资金管理系统在功能上存在局限性,如缺乏催缴提醒、结算金额冻结、统计数据筛查等关键功能,导致管理效率低下。同时,由于历史原因,系统中存在大量数据孤岛,不同系统之间的数据无法有效共享和整合,影响了数据的准确性和完整性。此外,随着“互联网+”趋势的深入发展,业主对线上服务的需求日益增长。如何顺应这一趋势,推出更加便捷、高效的线上服务平台,满足业主的多元化需求,也是郴州市物业专项维修资金管理面临的重要挑战。</w:t>
      </w:r>
    </w:p>
    <w:p w14:paraId="15F53374">
      <w:pPr>
        <w:adjustRightInd w:val="0"/>
        <w:snapToGrid w:val="0"/>
        <w:spacing w:line="440" w:lineRule="exact"/>
        <w:ind w:firstLine="420" w:firstLineChars="200"/>
        <w:jc w:val="both"/>
        <w:rPr>
          <w:rFonts w:hint="default" w:ascii="宋体" w:hAnsi="宋体" w:eastAsia="宋体" w:cs="Times New Roman"/>
          <w:bCs/>
          <w:color w:val="auto"/>
          <w:szCs w:val="21"/>
          <w:highlight w:val="none"/>
          <w:lang w:val="en-US" w:eastAsia="zh-CN"/>
        </w:rPr>
      </w:pPr>
      <w:r>
        <w:rPr>
          <w:rFonts w:hint="default" w:ascii="宋体" w:hAnsi="宋体" w:eastAsia="宋体" w:cs="Times New Roman"/>
          <w:bCs/>
          <w:color w:val="auto"/>
          <w:szCs w:val="21"/>
          <w:highlight w:val="none"/>
          <w:lang w:val="en-US" w:eastAsia="zh-CN"/>
        </w:rPr>
        <w:t>国家和地方政府对物业专项维修资金管理建设提出了一系列政策要求,旨在规范资金管理流程,保障业主权益,提升管理效率和服务水平。首先,政策强调建立健全物业专项维修资金管理制度,明确资金归集、使用、管理和监督等各个环节的具体规定,确保资金专款专用,防止挪用和滥用。其次,政策要求加强信息化手段在物业专项维修资金管理中的应用,通过建设统一的管理信息系统,实现资金数据的实时更新、查询和统计分析,提高管理透明度和决策科学性。同时,政策还鼓励各地探索创新管理模式,如引入第三方专业机构参与资金管理,提升专业化水平和服务质量。此外,政策对物业专项维修资金的应急使用机制也提出了明确要求,确保在紧急情况下能够迅速响应,保障业主的生命财产安全。</w:t>
      </w:r>
    </w:p>
    <w:p w14:paraId="65BE41C9">
      <w:pPr>
        <w:numPr>
          <w:ilvl w:val="0"/>
          <w:numId w:val="1"/>
        </w:numPr>
        <w:spacing w:line="430" w:lineRule="exact"/>
        <w:ind w:left="0" w:leftChars="0" w:firstLine="0" w:firstLineChars="0"/>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lang w:val="en-US" w:eastAsia="zh-CN"/>
        </w:rPr>
        <w:t>项目建设目标</w:t>
      </w:r>
    </w:p>
    <w:p w14:paraId="7FF61AD0">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系统功能升级：①优化</w:t>
      </w:r>
      <w:r>
        <w:rPr>
          <w:rFonts w:hint="eastAsia" w:ascii="宋体" w:hAnsi="宋体" w:cs="Times New Roman"/>
          <w:bCs/>
          <w:color w:val="auto"/>
          <w:szCs w:val="21"/>
          <w:highlight w:val="none"/>
          <w:lang w:val="en-US" w:eastAsia="zh-CN"/>
        </w:rPr>
        <w:t>管理平台</w:t>
      </w:r>
      <w:r>
        <w:rPr>
          <w:rFonts w:hint="eastAsia" w:ascii="宋体" w:hAnsi="宋体" w:eastAsia="宋体" w:cs="Times New Roman"/>
          <w:bCs/>
          <w:color w:val="auto"/>
          <w:szCs w:val="21"/>
          <w:highlight w:val="none"/>
          <w:lang w:val="en-US" w:eastAsia="zh-CN"/>
        </w:rPr>
        <w:t>，完善智慧监管能力，提升维修资金精细管理水平。完成公众号办事大厅迁移、催缴预警、结算冻结、财业一体化对账、消息通知、小区线上申报、机构信用管理、设施设备全周期管控、增值收益管理、缓交闭环管理、多角色实名注册、线上投票表决及智能数据统计等功能升级改造，规范维修资金归集、使用、增值、催缴、缓交等全链条业务流程，完善安全核验机制与多级审批体系，实现业务闭环管控、精准监管，保障资金运行合规安全。②完善</w:t>
      </w:r>
      <w:r>
        <w:rPr>
          <w:rFonts w:hint="eastAsia" w:ascii="宋体" w:hAnsi="宋体" w:cs="Times New Roman"/>
          <w:bCs/>
          <w:color w:val="auto"/>
          <w:szCs w:val="21"/>
          <w:highlight w:val="none"/>
          <w:lang w:val="en-US" w:eastAsia="zh-CN"/>
        </w:rPr>
        <w:t>办事大厅</w:t>
      </w:r>
      <w:r>
        <w:rPr>
          <w:rFonts w:hint="eastAsia" w:ascii="宋体" w:hAnsi="宋体" w:eastAsia="宋体" w:cs="Times New Roman"/>
          <w:bCs/>
          <w:color w:val="auto"/>
          <w:szCs w:val="21"/>
          <w:highlight w:val="none"/>
          <w:lang w:val="en-US" w:eastAsia="zh-CN"/>
        </w:rPr>
        <w:t>，提升便民服务体验，实现维修资金全程线上办理。打通微信公众号、短信等服务渠道，支持业主信息查询、补缴提醒、投票表决等线上服务，落实信息公示与进度推送，保障业主知情权，做到业务可查、进度可视、掌上可办，减少线下跑动，提升政务服务质量与业主办事体验。</w:t>
      </w:r>
    </w:p>
    <w:p w14:paraId="539D7255">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数据清理：完成物业专项维修资金全量历史存量数据专项治理工作，以不动产登记权属数据完善房屋基础台账信息，修正补录小区、楼栋、户室、产权人、面积等基础数据，建立长效数据同步机制；以财务会计数据核对历年</w:t>
      </w:r>
      <w:r>
        <w:rPr>
          <w:rFonts w:hint="eastAsia" w:ascii="宋体" w:hAnsi="宋体" w:cs="Times New Roman"/>
          <w:bCs/>
          <w:color w:val="auto"/>
          <w:szCs w:val="21"/>
          <w:highlight w:val="none"/>
          <w:lang w:val="en-US" w:eastAsia="zh-CN"/>
        </w:rPr>
        <w:t>交存</w:t>
      </w:r>
      <w:r>
        <w:rPr>
          <w:rFonts w:hint="eastAsia" w:ascii="宋体" w:hAnsi="宋体" w:eastAsia="宋体" w:cs="Times New Roman"/>
          <w:bCs/>
          <w:color w:val="auto"/>
          <w:szCs w:val="21"/>
          <w:highlight w:val="none"/>
          <w:lang w:val="en-US" w:eastAsia="zh-CN"/>
        </w:rPr>
        <w:t>、退款、使用、分摊等业务台账，实现业务数据、财务数据、银行流水数据账账相符、精准一致，建立完整规范的分户明细台账与可追溯数据变更日志。保障基础信息真实准确、账务数据合规可查，为维修资金日常业务办理、计息核算、资金监管、阳光公示、审计核查提供扎实可靠的数据底座。</w:t>
      </w:r>
    </w:p>
    <w:p w14:paraId="6E0083B7">
      <w:pPr>
        <w:numPr>
          <w:ilvl w:val="0"/>
          <w:numId w:val="1"/>
        </w:numPr>
        <w:spacing w:line="430" w:lineRule="exact"/>
        <w:ind w:left="0" w:leftChars="0" w:firstLine="0" w:firstLineChars="0"/>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lang w:val="en-US" w:eastAsia="zh-CN"/>
        </w:rPr>
        <w:t>项目建设内容</w:t>
      </w:r>
    </w:p>
    <w:p w14:paraId="7DD14A15">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宋体" w:hAnsi="宋体" w:eastAsia="宋体" w:cs="宋体"/>
          <w:color w:val="auto"/>
          <w:highlight w:val="none"/>
          <w:lang w:val="en-US" w:eastAsia="zh-CN"/>
        </w:rPr>
      </w:pPr>
      <w:r>
        <w:rPr>
          <w:rFonts w:hint="eastAsia" w:ascii="宋体" w:hAnsi="宋体" w:cs="宋体"/>
          <w:color w:val="auto"/>
          <w:kern w:val="0"/>
          <w:sz w:val="20"/>
          <w:szCs w:val="20"/>
          <w:highlight w:val="none"/>
          <w:lang w:val="en-US" w:eastAsia="zh-CN"/>
        </w:rPr>
        <w:t>（一）</w:t>
      </w:r>
      <w:r>
        <w:rPr>
          <w:rFonts w:hint="default" w:ascii="宋体" w:hAnsi="宋体" w:eastAsia="宋体" w:cs="宋体"/>
          <w:color w:val="auto"/>
          <w:kern w:val="0"/>
          <w:sz w:val="20"/>
          <w:szCs w:val="20"/>
          <w:highlight w:val="none"/>
          <w:lang w:val="en-US" w:eastAsia="zh-CN"/>
        </w:rPr>
        <w:t>物业维修资金管理</w:t>
      </w:r>
      <w:r>
        <w:rPr>
          <w:rFonts w:hint="eastAsia" w:ascii="宋体" w:hAnsi="宋体" w:eastAsia="宋体" w:cs="宋体"/>
          <w:color w:val="auto"/>
          <w:kern w:val="0"/>
          <w:sz w:val="20"/>
          <w:szCs w:val="20"/>
          <w:highlight w:val="none"/>
          <w:lang w:val="en-US" w:eastAsia="zh-CN"/>
        </w:rPr>
        <w:t>平台功能</w:t>
      </w:r>
      <w:r>
        <w:rPr>
          <w:rFonts w:hint="default" w:ascii="宋体" w:hAnsi="宋体" w:eastAsia="宋体" w:cs="宋体"/>
          <w:color w:val="auto"/>
          <w:kern w:val="0"/>
          <w:sz w:val="20"/>
          <w:szCs w:val="20"/>
          <w:highlight w:val="none"/>
          <w:lang w:val="en-US" w:eastAsia="zh-CN"/>
        </w:rPr>
        <w:t>升级</w:t>
      </w:r>
      <w:r>
        <w:rPr>
          <w:rFonts w:hint="eastAsia" w:ascii="宋体" w:hAnsi="宋体" w:eastAsia="宋体" w:cs="宋体"/>
          <w:color w:val="auto"/>
          <w:kern w:val="0"/>
          <w:sz w:val="20"/>
          <w:szCs w:val="20"/>
          <w:highlight w:val="none"/>
          <w:lang w:val="en-US" w:eastAsia="zh-CN"/>
        </w:rPr>
        <w:t>：</w:t>
      </w:r>
    </w:p>
    <w:p w14:paraId="09289C89">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物业专项维修资金办事大厅迁移功能需求。要求将当前郴州市本级物业专项维修资金线上办事大厅整体由“郴州住建”微信公众号迁移至“郴州市住房保障服务中心”微信公众号，完成功能迁移、接口对接、数据平移、系统适配、安全校验、调试上线等全部工作，确保迁移后办事大厅功能完整、数据准确、运行稳定。</w:t>
      </w:r>
    </w:p>
    <w:p w14:paraId="7BE61641">
      <w:pPr>
        <w:adjustRightInd w:val="0"/>
        <w:snapToGrid w:val="0"/>
        <w:spacing w:line="440" w:lineRule="exact"/>
        <w:ind w:firstLine="420" w:firstLineChars="200"/>
        <w:jc w:val="left"/>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2.物业专项维修资金催缴提醒功能需求。要求平台对全量户室账户余额开展监测，当账户余额低于实缴金额30%时自动触发预警，在系统端提示经办人员，并以手机短信、微信公众号双渠道向业主发送补缴提醒通知。要求平台依托业主账户交存、使用、结余等数据，智能识别欠费风险主体，实现个性化、精准化催缴提醒。要求平台建立催缴反馈机制，支持业主完成提醒确认、欠费原因反馈等操作，并根据业主反馈动态优化催缴策略。</w:t>
      </w:r>
    </w:p>
    <w:p w14:paraId="2A63A9C4">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3.物业专项维修资金结算金额冻结功能需求。要求平台新增维修资金结算预授权冻结功能，在使用申请环节，对相关受益业主维修资金分户账待分摊余额进行冻结锁定，</w:t>
      </w:r>
      <w:r>
        <w:rPr>
          <w:rFonts w:hint="eastAsia" w:ascii="宋体" w:hAnsi="宋体" w:cs="Times New Roman"/>
          <w:bCs/>
          <w:color w:val="auto"/>
          <w:szCs w:val="21"/>
          <w:highlight w:val="none"/>
          <w:lang w:val="en-US" w:eastAsia="zh-CN"/>
        </w:rPr>
        <w:t>避免</w:t>
      </w:r>
      <w:r>
        <w:rPr>
          <w:rFonts w:hint="eastAsia" w:ascii="宋体" w:hAnsi="宋体" w:eastAsia="宋体" w:cs="Times New Roman"/>
          <w:bCs/>
          <w:color w:val="auto"/>
          <w:szCs w:val="21"/>
          <w:highlight w:val="none"/>
          <w:lang w:val="en-US" w:eastAsia="zh-CN"/>
        </w:rPr>
        <w:t>同一分户账余额被重复用于多个维修项目分摊结算，规范同一分户账多项目分摊结算流程，</w:t>
      </w:r>
      <w:r>
        <w:rPr>
          <w:rFonts w:hint="eastAsia" w:ascii="宋体" w:hAnsi="宋体" w:cs="Times New Roman"/>
          <w:bCs/>
          <w:color w:val="auto"/>
          <w:szCs w:val="21"/>
          <w:highlight w:val="none"/>
          <w:lang w:val="en-US" w:eastAsia="zh-CN"/>
        </w:rPr>
        <w:t>确保平台</w:t>
      </w:r>
      <w:r>
        <w:rPr>
          <w:rFonts w:hint="eastAsia" w:ascii="宋体" w:hAnsi="宋体" w:eastAsia="宋体" w:cs="Times New Roman"/>
          <w:bCs/>
          <w:color w:val="auto"/>
          <w:szCs w:val="21"/>
          <w:highlight w:val="none"/>
          <w:lang w:val="en-US" w:eastAsia="zh-CN"/>
        </w:rPr>
        <w:t>最终分摊金额与</w:t>
      </w:r>
      <w:r>
        <w:rPr>
          <w:rFonts w:hint="eastAsia" w:ascii="宋体" w:hAnsi="宋体" w:cs="Times New Roman"/>
          <w:bCs/>
          <w:color w:val="auto"/>
          <w:szCs w:val="21"/>
          <w:highlight w:val="none"/>
          <w:lang w:val="en-US" w:eastAsia="zh-CN"/>
        </w:rPr>
        <w:t>银行</w:t>
      </w:r>
      <w:r>
        <w:rPr>
          <w:rFonts w:hint="eastAsia" w:ascii="宋体" w:hAnsi="宋体" w:eastAsia="宋体" w:cs="Times New Roman"/>
          <w:bCs/>
          <w:color w:val="auto"/>
          <w:szCs w:val="21"/>
          <w:highlight w:val="none"/>
          <w:lang w:val="en-US" w:eastAsia="zh-CN"/>
        </w:rPr>
        <w:t>实际划拨金额完全一致，</w:t>
      </w:r>
      <w:r>
        <w:rPr>
          <w:rFonts w:hint="eastAsia" w:ascii="宋体" w:hAnsi="宋体" w:cs="Times New Roman"/>
          <w:bCs/>
          <w:color w:val="auto"/>
          <w:szCs w:val="21"/>
          <w:highlight w:val="none"/>
          <w:lang w:val="en-US" w:eastAsia="zh-CN"/>
        </w:rPr>
        <w:t>保障</w:t>
      </w:r>
      <w:r>
        <w:rPr>
          <w:rFonts w:hint="eastAsia" w:ascii="宋体" w:hAnsi="宋体" w:eastAsia="宋体" w:cs="Times New Roman"/>
          <w:bCs/>
          <w:color w:val="auto"/>
          <w:szCs w:val="21"/>
          <w:highlight w:val="none"/>
          <w:lang w:val="en-US" w:eastAsia="zh-CN"/>
        </w:rPr>
        <w:t>资金结算精准合规。</w:t>
      </w:r>
    </w:p>
    <w:p w14:paraId="6B2CB8FB">
      <w:pPr>
        <w:adjustRightInd w:val="0"/>
        <w:snapToGrid w:val="0"/>
        <w:spacing w:line="440" w:lineRule="exact"/>
        <w:ind w:firstLine="420" w:firstLineChars="200"/>
        <w:jc w:val="left"/>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4.物业专项维修资金数据统计分析功能需求。要求优化升级管理平台数据筛查、统计、分析及导出能力，针对海量维修资金</w:t>
      </w:r>
      <w:r>
        <w:rPr>
          <w:rFonts w:hint="eastAsia" w:ascii="宋体" w:hAnsi="宋体" w:cs="Times New Roman"/>
          <w:bCs/>
          <w:color w:val="auto"/>
          <w:szCs w:val="21"/>
          <w:highlight w:val="none"/>
          <w:lang w:val="en-US" w:eastAsia="zh-CN"/>
        </w:rPr>
        <w:t>基础数据和</w:t>
      </w:r>
      <w:r>
        <w:rPr>
          <w:rFonts w:hint="eastAsia" w:ascii="宋体" w:hAnsi="宋体" w:eastAsia="宋体" w:cs="Times New Roman"/>
          <w:bCs/>
          <w:color w:val="auto"/>
          <w:szCs w:val="21"/>
          <w:highlight w:val="none"/>
          <w:lang w:val="en-US" w:eastAsia="zh-CN"/>
        </w:rPr>
        <w:t>业务数据实现高效筛选、精准定位、快速查询与批量导出功能。平台需支持多维度、智能化筛查条件弹性配置，实现快速过滤、提取、汇总所需数据。</w:t>
      </w:r>
    </w:p>
    <w:p w14:paraId="1632C372">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5.物业专项维修资金财业一体化功能需求。</w:t>
      </w:r>
      <w:r>
        <w:rPr>
          <w:rFonts w:hint="eastAsia" w:ascii="宋体" w:hAnsi="宋体" w:cs="Times New Roman"/>
          <w:bCs/>
          <w:color w:val="auto"/>
          <w:szCs w:val="21"/>
          <w:highlight w:val="none"/>
          <w:lang w:val="en-US" w:eastAsia="zh-CN"/>
        </w:rPr>
        <w:t>要求</w:t>
      </w:r>
      <w:r>
        <w:rPr>
          <w:rFonts w:hint="eastAsia" w:ascii="宋体" w:hAnsi="宋体" w:eastAsia="宋体" w:cs="Times New Roman"/>
          <w:bCs/>
          <w:color w:val="auto"/>
          <w:szCs w:val="21"/>
          <w:highlight w:val="none"/>
          <w:lang w:val="en-US" w:eastAsia="zh-CN"/>
        </w:rPr>
        <w:t>实现物业专项维修资金管理平台与财务系统标准化对接、互联互通及实时数据同步，构建业务、财务、银行三方对账体系，建立常态化、自动化、规范化三方对账核验机制。确保资金归集、使用拨付、增值收益、利息派息等全流程业务数据，与</w:t>
      </w:r>
      <w:r>
        <w:rPr>
          <w:rFonts w:hint="eastAsia" w:ascii="宋体" w:hAnsi="宋体" w:cs="Times New Roman"/>
          <w:bCs/>
          <w:color w:val="auto"/>
          <w:szCs w:val="21"/>
          <w:highlight w:val="none"/>
          <w:lang w:val="en-US" w:eastAsia="zh-CN"/>
        </w:rPr>
        <w:t>会计核算</w:t>
      </w:r>
      <w:r>
        <w:rPr>
          <w:rFonts w:hint="eastAsia" w:ascii="宋体" w:hAnsi="宋体" w:eastAsia="宋体" w:cs="Times New Roman"/>
          <w:bCs/>
          <w:color w:val="auto"/>
          <w:szCs w:val="21"/>
          <w:highlight w:val="none"/>
          <w:lang w:val="en-US" w:eastAsia="zh-CN"/>
        </w:rPr>
        <w:t>数据、银行流水数据保持一致；当三方数据出现差异时系统自动预警提示，便于及时核查整改。</w:t>
      </w:r>
      <w:r>
        <w:rPr>
          <w:rFonts w:hint="eastAsia" w:ascii="宋体" w:hAnsi="宋体" w:cs="Times New Roman"/>
          <w:bCs/>
          <w:color w:val="auto"/>
          <w:szCs w:val="21"/>
          <w:highlight w:val="none"/>
          <w:lang w:val="en-US" w:eastAsia="zh-CN"/>
        </w:rPr>
        <w:t>完善</w:t>
      </w:r>
      <w:r>
        <w:rPr>
          <w:rFonts w:hint="eastAsia" w:ascii="宋体" w:hAnsi="宋体" w:eastAsia="宋体" w:cs="Times New Roman"/>
          <w:bCs/>
          <w:color w:val="auto"/>
          <w:szCs w:val="21"/>
          <w:highlight w:val="none"/>
          <w:lang w:val="en-US" w:eastAsia="zh-CN"/>
        </w:rPr>
        <w:t>资金核算管控，消除财业数据脱节问题，夯实资金监管基础。</w:t>
      </w:r>
    </w:p>
    <w:p w14:paraId="3BE54FAA">
      <w:pPr>
        <w:adjustRightInd w:val="0"/>
        <w:snapToGrid w:val="0"/>
        <w:spacing w:line="440" w:lineRule="exact"/>
        <w:ind w:firstLine="420" w:firstLineChars="200"/>
        <w:jc w:val="left"/>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6.物业专项维修资金消息通知功能需求。要求完善管理平台消息智能推送功能，针对维修资金各项业务办理进度、审核状态、办结结果以及业主分户账资金变动等关键信息，通过手机短信、微信公众号双渠道，实时推送至对应业务申请人及相关业主，实现业务动态全程可追溯、可查询，提升业务办理透明度与业主服务体验。</w:t>
      </w:r>
    </w:p>
    <w:p w14:paraId="2992C971">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7.物业专项维修资金使用在线申请功能需求。</w:t>
      </w:r>
      <w:r>
        <w:rPr>
          <w:rFonts w:hint="eastAsia" w:ascii="宋体" w:hAnsi="宋体" w:cs="Times New Roman"/>
          <w:bCs/>
          <w:color w:val="auto"/>
          <w:szCs w:val="21"/>
          <w:highlight w:val="none"/>
          <w:lang w:val="en-US" w:eastAsia="zh-CN"/>
        </w:rPr>
        <w:t>要求管理平台</w:t>
      </w:r>
      <w:r>
        <w:rPr>
          <w:rFonts w:hint="eastAsia" w:ascii="宋体" w:hAnsi="宋体" w:eastAsia="宋体" w:cs="Times New Roman"/>
          <w:bCs/>
          <w:color w:val="auto"/>
          <w:szCs w:val="21"/>
          <w:highlight w:val="none"/>
          <w:lang w:val="en-US" w:eastAsia="zh-CN"/>
        </w:rPr>
        <w:t>实现维修资金使用申请权限下沉至</w:t>
      </w:r>
      <w:r>
        <w:rPr>
          <w:rFonts w:hint="eastAsia" w:ascii="宋体" w:hAnsi="宋体" w:cs="Times New Roman"/>
          <w:bCs/>
          <w:color w:val="auto"/>
          <w:szCs w:val="21"/>
          <w:highlight w:val="none"/>
          <w:lang w:val="en-US" w:eastAsia="zh-CN"/>
        </w:rPr>
        <w:t>物业</w:t>
      </w:r>
      <w:r>
        <w:rPr>
          <w:rFonts w:hint="eastAsia" w:ascii="宋体" w:hAnsi="宋体" w:eastAsia="宋体" w:cs="Times New Roman"/>
          <w:bCs/>
          <w:color w:val="auto"/>
          <w:szCs w:val="21"/>
          <w:highlight w:val="none"/>
          <w:lang w:val="en-US" w:eastAsia="zh-CN"/>
        </w:rPr>
        <w:t>小区层级，搭建独立的小区账号管理模块，为各小区配置专属业务申请账号，实现小区端自主申报业务。支持申请人按照标准化业务流程，通过管理平台线上提交维修资金使用申请，并完整上传项目申报所需资料。管理端支持工作人员对小区申报业务开展线上受理、多级审核、资金划转、资料归档等全流程电子化闭环办理，全面实现维修资金使用业务无纸化、线上化、规范化办理。投标人须无偿配合</w:t>
      </w:r>
      <w:r>
        <w:rPr>
          <w:rFonts w:hint="eastAsia" w:ascii="宋体" w:hAnsi="宋体" w:cs="Times New Roman"/>
          <w:bCs/>
          <w:color w:val="auto"/>
          <w:szCs w:val="21"/>
          <w:highlight w:val="none"/>
          <w:lang w:val="en-US" w:eastAsia="zh-CN"/>
        </w:rPr>
        <w:t>采购人</w:t>
      </w:r>
      <w:r>
        <w:rPr>
          <w:rFonts w:hint="eastAsia" w:ascii="宋体" w:hAnsi="宋体" w:eastAsia="宋体" w:cs="Times New Roman"/>
          <w:bCs/>
          <w:color w:val="auto"/>
          <w:szCs w:val="21"/>
          <w:highlight w:val="none"/>
          <w:lang w:val="en-US" w:eastAsia="zh-CN"/>
        </w:rPr>
        <w:t>后续规范</w:t>
      </w:r>
      <w:r>
        <w:rPr>
          <w:rFonts w:hint="eastAsia" w:ascii="宋体" w:hAnsi="宋体" w:cs="Times New Roman"/>
          <w:bCs/>
          <w:color w:val="auto"/>
          <w:szCs w:val="21"/>
          <w:highlight w:val="none"/>
          <w:lang w:val="en-US" w:eastAsia="zh-CN"/>
        </w:rPr>
        <w:t>使用</w:t>
      </w:r>
      <w:r>
        <w:rPr>
          <w:rFonts w:hint="eastAsia" w:ascii="宋体" w:hAnsi="宋体" w:eastAsia="宋体" w:cs="Times New Roman"/>
          <w:bCs/>
          <w:color w:val="auto"/>
          <w:szCs w:val="21"/>
          <w:highlight w:val="none"/>
          <w:lang w:val="en-US" w:eastAsia="zh-CN"/>
        </w:rPr>
        <w:t>业务、</w:t>
      </w:r>
      <w:r>
        <w:rPr>
          <w:rFonts w:hint="eastAsia" w:ascii="宋体" w:hAnsi="宋体" w:cs="Times New Roman"/>
          <w:bCs/>
          <w:color w:val="auto"/>
          <w:szCs w:val="21"/>
          <w:highlight w:val="none"/>
          <w:lang w:val="en-US" w:eastAsia="zh-CN"/>
        </w:rPr>
        <w:t>优化</w:t>
      </w:r>
      <w:r>
        <w:rPr>
          <w:rFonts w:hint="eastAsia" w:ascii="宋体" w:hAnsi="宋体" w:eastAsia="宋体" w:cs="Times New Roman"/>
          <w:bCs/>
          <w:color w:val="auto"/>
          <w:szCs w:val="21"/>
          <w:highlight w:val="none"/>
          <w:lang w:val="en-US" w:eastAsia="zh-CN"/>
        </w:rPr>
        <w:t>办事流程、</w:t>
      </w:r>
      <w:r>
        <w:rPr>
          <w:rFonts w:hint="eastAsia" w:ascii="宋体" w:hAnsi="宋体" w:cs="Times New Roman"/>
          <w:bCs/>
          <w:color w:val="auto"/>
          <w:szCs w:val="21"/>
          <w:highlight w:val="none"/>
          <w:lang w:val="en-US" w:eastAsia="zh-CN"/>
        </w:rPr>
        <w:t>调整</w:t>
      </w:r>
      <w:r>
        <w:rPr>
          <w:rFonts w:hint="eastAsia" w:ascii="宋体" w:hAnsi="宋体" w:eastAsia="宋体" w:cs="Times New Roman"/>
          <w:bCs/>
          <w:color w:val="auto"/>
          <w:szCs w:val="21"/>
          <w:highlight w:val="none"/>
          <w:lang w:val="en-US" w:eastAsia="zh-CN"/>
        </w:rPr>
        <w:t>审批环节的需求，提供免费迭代升级与适配调整服务，保障系统功能持续贴合最新业务管理要求。</w:t>
      </w:r>
    </w:p>
    <w:p w14:paraId="4E779123">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8.机构及信用管理功能需求。要求将维修资金使用业务全过程涉及的造价咨询、检测机构、维修单位等机构统一纳入平台实施信息化集中管理，搭建规范化的机构备选资源库。要求建立健全机构动态信用评价与考核管理体系，对入驻机构的资质信息、服务履历、项目业绩、服务质量、履约情况进行实时记录与动态考评，实现机构准入、考核、退出全流程管控。</w:t>
      </w:r>
    </w:p>
    <w:p w14:paraId="11F00103">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9.物业小区设施设备管理功能需求。要求结合小区维修资金使用的业务场景，搭建小区共用设施设备信息数据库，完整归集小区各类共用设施设备基础台账信息，全程记录设施设备日常保养、故障维修、更新改造等全周期历史数据，实现</w:t>
      </w:r>
      <w:r>
        <w:rPr>
          <w:rFonts w:hint="eastAsia" w:ascii="宋体" w:hAnsi="宋体" w:cs="Times New Roman"/>
          <w:bCs/>
          <w:color w:val="auto"/>
          <w:szCs w:val="21"/>
          <w:highlight w:val="none"/>
          <w:lang w:val="en-US" w:eastAsia="zh-CN"/>
        </w:rPr>
        <w:t>共用</w:t>
      </w:r>
      <w:r>
        <w:rPr>
          <w:rFonts w:hint="eastAsia" w:ascii="宋体" w:hAnsi="宋体" w:eastAsia="宋体" w:cs="Times New Roman"/>
          <w:bCs/>
          <w:color w:val="auto"/>
          <w:szCs w:val="21"/>
          <w:highlight w:val="none"/>
          <w:lang w:val="en-US" w:eastAsia="zh-CN"/>
        </w:rPr>
        <w:t>设施设备全生命周期数字化、信息化管控。要求支持多维度、多条件的数据查询、统计与分析功能，为设施设备维修、资金使用决策提供数据支撑。</w:t>
      </w:r>
    </w:p>
    <w:p w14:paraId="7E1B3E8F">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10.物业专项维修资金增值收益管理功能需求。要求搭建完整、规范的维修资金增值收益专项管理体系，有效衔接平台资金归集模块与账户管理模块，全面实现维修资金增值收益全流程闭环规范化管理。功能需覆盖增值收益账户统一管控、收益规则执行、收益精准分配、收益台账记录、收益数据汇总统计与智能分析等核心业务，实现维修资金增值安全合规、分配公开透明、全程追溯监管。</w:t>
      </w:r>
    </w:p>
    <w:p w14:paraId="4FC46B3A">
      <w:pPr>
        <w:adjustRightInd w:val="0"/>
        <w:snapToGrid w:val="0"/>
        <w:spacing w:line="440" w:lineRule="exact"/>
        <w:ind w:firstLine="420" w:firstLineChars="200"/>
        <w:jc w:val="left"/>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11.物业专项维修资金缓交管理功能需求。要求实现开发企业维修资金缓交业务的全生命周期信息化闭环管理，全面规范缓交申请登记、过程动态管控、到期预警提醒、核销办结归档等全套业务流程。</w:t>
      </w:r>
      <w:r>
        <w:rPr>
          <w:rFonts w:hint="eastAsia" w:ascii="宋体" w:hAnsi="宋体" w:cs="Times New Roman"/>
          <w:bCs/>
          <w:color w:val="auto"/>
          <w:szCs w:val="21"/>
          <w:highlight w:val="none"/>
          <w:lang w:val="en-US" w:eastAsia="zh-CN"/>
        </w:rPr>
        <w:t>要求</w:t>
      </w:r>
      <w:r>
        <w:rPr>
          <w:rFonts w:hint="eastAsia" w:ascii="宋体" w:hAnsi="宋体" w:eastAsia="宋体" w:cs="Times New Roman"/>
          <w:bCs/>
          <w:color w:val="auto"/>
          <w:szCs w:val="21"/>
          <w:highlight w:val="none"/>
          <w:lang w:val="en-US" w:eastAsia="zh-CN"/>
        </w:rPr>
        <w:t>标准化固化</w:t>
      </w:r>
      <w:r>
        <w:rPr>
          <w:rFonts w:hint="eastAsia" w:ascii="宋体" w:hAnsi="宋体" w:cs="Times New Roman"/>
          <w:bCs/>
          <w:color w:val="auto"/>
          <w:szCs w:val="21"/>
          <w:highlight w:val="none"/>
          <w:lang w:val="en-US" w:eastAsia="zh-CN"/>
        </w:rPr>
        <w:t>交存</w:t>
      </w:r>
      <w:r>
        <w:rPr>
          <w:rFonts w:hint="eastAsia" w:ascii="宋体" w:hAnsi="宋体" w:eastAsia="宋体" w:cs="Times New Roman"/>
          <w:bCs/>
          <w:color w:val="auto"/>
          <w:szCs w:val="21"/>
          <w:highlight w:val="none"/>
          <w:lang w:val="en-US" w:eastAsia="zh-CN"/>
        </w:rPr>
        <w:t>资金批量转户、分户分摊计算规则，自动精准完成</w:t>
      </w:r>
      <w:r>
        <w:rPr>
          <w:rFonts w:hint="eastAsia" w:ascii="宋体" w:hAnsi="宋体" w:cs="Times New Roman"/>
          <w:bCs/>
          <w:color w:val="auto"/>
          <w:szCs w:val="21"/>
          <w:highlight w:val="none"/>
          <w:lang w:val="en-US" w:eastAsia="zh-CN"/>
        </w:rPr>
        <w:t>交存</w:t>
      </w:r>
      <w:r>
        <w:rPr>
          <w:rFonts w:hint="eastAsia" w:ascii="宋体" w:hAnsi="宋体" w:eastAsia="宋体" w:cs="Times New Roman"/>
          <w:bCs/>
          <w:color w:val="auto"/>
          <w:szCs w:val="21"/>
          <w:highlight w:val="none"/>
          <w:lang w:val="en-US" w:eastAsia="zh-CN"/>
        </w:rPr>
        <w:t>金额分户分摊核算，确保分摊数据精准无误</w:t>
      </w:r>
      <w:r>
        <w:rPr>
          <w:rFonts w:hint="default" w:ascii="宋体" w:hAnsi="宋体" w:eastAsia="宋体"/>
          <w:bCs/>
          <w:color w:val="auto"/>
          <w:szCs w:val="21"/>
          <w:highlight w:val="none"/>
          <w:lang w:val="en-US" w:eastAsia="zh-CN"/>
        </w:rPr>
        <w:t>。</w:t>
      </w:r>
      <w:r>
        <w:rPr>
          <w:rFonts w:hint="eastAsia" w:ascii="宋体" w:hAnsi="宋体" w:eastAsia="宋体" w:cs="Times New Roman"/>
          <w:bCs/>
          <w:color w:val="auto"/>
          <w:szCs w:val="21"/>
          <w:highlight w:val="none"/>
          <w:lang w:val="en-US" w:eastAsia="zh-CN"/>
        </w:rPr>
        <w:t>要求配套完善的缓交业务查询与智能统计分析功能，支持按小区、楼栋、开发企业、缓交时段、缓交金额、办结状态等多维度精准查询、筛选、汇总、导出台账数据，可自动生成各类缓交业务统计报表，直观展示缓交总量、剩余缓交额度、办结进度等核心数据。</w:t>
      </w:r>
    </w:p>
    <w:p w14:paraId="7645FF84">
      <w:pPr>
        <w:adjustRightInd w:val="0"/>
        <w:snapToGrid w:val="0"/>
        <w:spacing w:line="440" w:lineRule="exact"/>
        <w:ind w:firstLine="420" w:firstLineChars="200"/>
        <w:jc w:val="left"/>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（二）</w:t>
      </w:r>
      <w:r>
        <w:rPr>
          <w:rFonts w:hint="default" w:ascii="宋体" w:hAnsi="宋体" w:eastAsia="宋体" w:cs="Times New Roman"/>
          <w:bCs/>
          <w:color w:val="auto"/>
          <w:szCs w:val="21"/>
          <w:highlight w:val="none"/>
          <w:lang w:val="en-US" w:eastAsia="zh-CN"/>
        </w:rPr>
        <w:t>物业维修资金线上服务平台升级</w:t>
      </w:r>
      <w:r>
        <w:rPr>
          <w:rFonts w:hint="eastAsia" w:ascii="宋体" w:hAnsi="宋体" w:eastAsia="宋体" w:cs="Times New Roman"/>
          <w:bCs/>
          <w:color w:val="auto"/>
          <w:szCs w:val="21"/>
          <w:highlight w:val="none"/>
          <w:lang w:val="en-US" w:eastAsia="zh-CN"/>
        </w:rPr>
        <w:t>：</w:t>
      </w:r>
    </w:p>
    <w:p w14:paraId="73CD920F">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1.物业专项维修资金用户注册功能需求。</w:t>
      </w:r>
      <w:r>
        <w:rPr>
          <w:rFonts w:hint="eastAsia" w:ascii="宋体" w:hAnsi="宋体" w:cs="Times New Roman"/>
          <w:bCs/>
          <w:color w:val="auto"/>
          <w:szCs w:val="21"/>
          <w:highlight w:val="none"/>
          <w:lang w:val="en-US" w:eastAsia="zh-CN"/>
        </w:rPr>
        <w:t>要求</w:t>
      </w:r>
      <w:r>
        <w:rPr>
          <w:rFonts w:hint="eastAsia" w:ascii="宋体" w:hAnsi="宋体" w:eastAsia="宋体" w:cs="Times New Roman"/>
          <w:bCs/>
          <w:color w:val="auto"/>
          <w:szCs w:val="21"/>
          <w:highlight w:val="none"/>
          <w:lang w:val="en-US" w:eastAsia="zh-CN"/>
        </w:rPr>
        <w:t>全面升级优化平台用户注册及身份核验体系，新增法人及非法人组织业主专属注册角色与账号管理模块。支持法人及非法人组织业主线上完成账号注册、信息备案、业务授权等全流程操作，可授权经办人员办理资金交存、</w:t>
      </w:r>
      <w:r>
        <w:rPr>
          <w:rFonts w:hint="eastAsia" w:ascii="宋体" w:hAnsi="宋体" w:cs="Times New Roman"/>
          <w:bCs/>
          <w:color w:val="auto"/>
          <w:szCs w:val="21"/>
          <w:highlight w:val="none"/>
          <w:lang w:val="en-US" w:eastAsia="zh-CN"/>
        </w:rPr>
        <w:t>使用</w:t>
      </w:r>
      <w:r>
        <w:rPr>
          <w:rFonts w:hint="eastAsia" w:ascii="宋体" w:hAnsi="宋体" w:eastAsia="宋体" w:cs="Times New Roman"/>
          <w:bCs/>
          <w:color w:val="auto"/>
          <w:szCs w:val="21"/>
          <w:highlight w:val="none"/>
          <w:lang w:val="en-US" w:eastAsia="zh-CN"/>
        </w:rPr>
        <w:t>投票等相关业务。同时全面优化自然人业主、</w:t>
      </w:r>
      <w:r>
        <w:rPr>
          <w:rFonts w:hint="eastAsia" w:ascii="宋体" w:hAnsi="宋体" w:cs="Times New Roman"/>
          <w:bCs/>
          <w:color w:val="auto"/>
          <w:szCs w:val="21"/>
          <w:highlight w:val="none"/>
          <w:lang w:val="en-US" w:eastAsia="zh-CN"/>
        </w:rPr>
        <w:t>授权经办人</w:t>
      </w:r>
      <w:r>
        <w:rPr>
          <w:rFonts w:hint="eastAsia" w:ascii="宋体" w:hAnsi="宋体" w:eastAsia="宋体" w:cs="Times New Roman"/>
          <w:bCs/>
          <w:color w:val="auto"/>
          <w:szCs w:val="21"/>
          <w:highlight w:val="none"/>
          <w:lang w:val="en-US" w:eastAsia="zh-CN"/>
        </w:rPr>
        <w:t>的注册核验流程，引入人脸活体比对技术，全面提升平台用户注册的真实性、安全性与规范性。</w:t>
      </w:r>
    </w:p>
    <w:p w14:paraId="72536581">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2.物业专项维修资金使用在线投票表决功能需求。要求对原有在线投票表决模块进行迭代升级，新增法人及非法人组织业主线上投票权限，保障其可正常参与小区维修资金使用事项线上表决。完善投票身份核验机制，采用房产权属信息校验与人脸活体比对双重认证模式，精准核验投票人身份，确保投票主体真实、投票真实。增设物业服务</w:t>
      </w:r>
      <w:r>
        <w:rPr>
          <w:rFonts w:hint="eastAsia" w:ascii="宋体" w:hAnsi="宋体" w:cs="Times New Roman"/>
          <w:bCs/>
          <w:color w:val="auto"/>
          <w:szCs w:val="21"/>
          <w:highlight w:val="none"/>
          <w:lang w:val="en-US" w:eastAsia="zh-CN"/>
        </w:rPr>
        <w:t>人</w:t>
      </w:r>
      <w:r>
        <w:rPr>
          <w:rFonts w:hint="eastAsia" w:ascii="宋体" w:hAnsi="宋体" w:eastAsia="宋体" w:cs="Times New Roman"/>
          <w:bCs/>
          <w:color w:val="auto"/>
          <w:szCs w:val="21"/>
          <w:highlight w:val="none"/>
          <w:lang w:val="en-US" w:eastAsia="zh-CN"/>
        </w:rPr>
        <w:t>、业主委员会的投票提醒催办、数据查询与统计功能，并按管理需求开放对应权限，便于实时查看投票进度、表决明细及最终结果，缩短整体表决周期。</w:t>
      </w:r>
    </w:p>
    <w:p w14:paraId="26F77B13">
      <w:pPr>
        <w:adjustRightInd w:val="0"/>
        <w:snapToGrid w:val="0"/>
        <w:spacing w:line="440" w:lineRule="exact"/>
        <w:ind w:firstLine="420" w:firstLineChars="200"/>
        <w:jc w:val="left"/>
        <w:rPr>
          <w:rFonts w:hint="default" w:ascii="宋体" w:hAnsi="宋体" w:eastAsia="宋体" w:cs="Times New Roman"/>
          <w:bCs/>
          <w:color w:val="auto"/>
          <w:szCs w:val="21"/>
          <w:highlight w:val="none"/>
          <w:lang w:val="en" w:eastAsia="zh-CN"/>
        </w:rPr>
      </w:pPr>
      <w:r>
        <w:rPr>
          <w:rFonts w:hint="eastAsia" w:ascii="宋体" w:hAnsi="宋体" w:cs="Times New Roman"/>
          <w:bCs/>
          <w:color w:val="auto"/>
          <w:szCs w:val="21"/>
          <w:highlight w:val="none"/>
          <w:lang w:val="en-US" w:eastAsia="zh-CN"/>
        </w:rPr>
        <w:t>（三）</w:t>
      </w:r>
      <w:r>
        <w:rPr>
          <w:rFonts w:hint="default" w:ascii="宋体" w:hAnsi="宋体" w:eastAsia="宋体" w:cs="Times New Roman"/>
          <w:bCs/>
          <w:color w:val="auto"/>
          <w:szCs w:val="21"/>
          <w:highlight w:val="none"/>
          <w:lang w:val="en-US" w:eastAsia="zh-CN"/>
        </w:rPr>
        <w:t>物业</w:t>
      </w:r>
      <w:r>
        <w:rPr>
          <w:rFonts w:hint="eastAsia" w:ascii="宋体" w:hAnsi="宋体" w:eastAsia="宋体" w:cs="Times New Roman"/>
          <w:bCs/>
          <w:color w:val="auto"/>
          <w:szCs w:val="21"/>
          <w:highlight w:val="none"/>
          <w:lang w:val="en-US" w:eastAsia="zh-CN"/>
        </w:rPr>
        <w:t>专项</w:t>
      </w:r>
      <w:r>
        <w:rPr>
          <w:rFonts w:hint="default" w:ascii="宋体" w:hAnsi="宋体" w:eastAsia="宋体" w:cs="Times New Roman"/>
          <w:bCs/>
          <w:color w:val="auto"/>
          <w:szCs w:val="21"/>
          <w:highlight w:val="none"/>
          <w:lang w:val="en-US" w:eastAsia="zh-CN"/>
        </w:rPr>
        <w:t>维修资金数据清理</w:t>
      </w:r>
      <w:r>
        <w:rPr>
          <w:rFonts w:hint="default" w:ascii="宋体" w:hAnsi="宋体" w:eastAsia="宋体" w:cs="Times New Roman"/>
          <w:bCs/>
          <w:color w:val="auto"/>
          <w:szCs w:val="21"/>
          <w:highlight w:val="none"/>
          <w:lang w:val="en" w:eastAsia="zh-CN"/>
        </w:rPr>
        <w:t>:</w:t>
      </w:r>
    </w:p>
    <w:p w14:paraId="71D0ECD0">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物业专项维修资金历史数据清理功能需求。要求对物业专项维修资金管理平台全部存量历史数据实施全面梳理、交叉核验、错误修正及标准化规整</w:t>
      </w:r>
      <w:r>
        <w:rPr>
          <w:rFonts w:hint="eastAsia" w:ascii="宋体" w:hAnsi="宋体" w:cs="Times New Roman"/>
          <w:bCs/>
          <w:color w:val="auto"/>
          <w:szCs w:val="21"/>
          <w:highlight w:val="none"/>
          <w:lang w:val="en-US" w:eastAsia="zh-CN"/>
        </w:rPr>
        <w:t>。中标供应商须自行对接本项目平台原建设单位及各相关外部单位，自主协调完成维修资金历史数据、权威基础数据的调取获取工作，从两大维度开展全量历史数据专项清理；数据清理完成后，中标供应商需按照现有物业专项维修资金管理平台统一数据标准，配合平台原建设单位完成清理后标准化数据的导入入库全流程以及完成管理平台与不动产登记系统直接对接数据实时共享等工作，由此产生的协调成本、人工、技术等全部相关费用均包含在投标总报价内，采购人不再另行支付任何费用。</w:t>
      </w:r>
      <w:r>
        <w:rPr>
          <w:rFonts w:hint="eastAsia" w:ascii="宋体" w:hAnsi="宋体" w:eastAsia="宋体" w:cs="Times New Roman"/>
          <w:bCs/>
          <w:color w:val="auto"/>
          <w:szCs w:val="21"/>
          <w:highlight w:val="none"/>
          <w:lang w:val="en-US" w:eastAsia="zh-CN"/>
        </w:rPr>
        <w:t>一是以不动产登记现势权属数据为基准，对平台内小区、楼栋、单元、户室、产权人、建筑面积、房屋用途等全套房屋基础信息逐一比对校验，针对缺失、错误、冗余、不一致的房屋基础信息进行逐条补录、修正与标准化整改，统一房屋数据标准，确保平台内房屋基础数据与不动产登记数据源头一致、真实准确。同步</w:t>
      </w:r>
      <w:r>
        <w:rPr>
          <w:rFonts w:hint="eastAsia" w:ascii="宋体" w:hAnsi="宋体" w:cs="Times New Roman"/>
          <w:bCs/>
          <w:color w:val="auto"/>
          <w:szCs w:val="21"/>
          <w:highlight w:val="none"/>
          <w:lang w:val="en-US" w:eastAsia="zh-CN"/>
        </w:rPr>
        <w:t>完成维修资金管理平台与市不动产登记系统的对接互通、数据共享与动态同步，</w:t>
      </w:r>
      <w:r>
        <w:rPr>
          <w:rFonts w:hint="eastAsia" w:ascii="宋体" w:hAnsi="宋体" w:eastAsia="宋体" w:cs="Times New Roman"/>
          <w:bCs/>
          <w:color w:val="auto"/>
          <w:szCs w:val="21"/>
          <w:highlight w:val="none"/>
          <w:lang w:val="en-US" w:eastAsia="zh-CN"/>
        </w:rPr>
        <w:t>实现后续新增、变更房屋信息</w:t>
      </w:r>
      <w:r>
        <w:rPr>
          <w:rFonts w:hint="eastAsia" w:ascii="宋体" w:hAnsi="宋体" w:cs="Times New Roman"/>
          <w:bCs/>
          <w:color w:val="auto"/>
          <w:szCs w:val="21"/>
          <w:highlight w:val="none"/>
          <w:lang w:val="en-US" w:eastAsia="zh-CN"/>
        </w:rPr>
        <w:t>自动</w:t>
      </w:r>
      <w:r>
        <w:rPr>
          <w:rFonts w:hint="eastAsia" w:ascii="宋体" w:hAnsi="宋体" w:eastAsia="宋体" w:cs="Times New Roman"/>
          <w:bCs/>
          <w:color w:val="auto"/>
          <w:szCs w:val="21"/>
          <w:highlight w:val="none"/>
          <w:lang w:val="en-US" w:eastAsia="zh-CN"/>
        </w:rPr>
        <w:t>同步匹配</w:t>
      </w:r>
      <w:r>
        <w:rPr>
          <w:rFonts w:hint="eastAsia" w:ascii="宋体" w:hAnsi="宋体" w:cs="Times New Roman"/>
          <w:bCs/>
          <w:color w:val="auto"/>
          <w:szCs w:val="21"/>
          <w:highlight w:val="none"/>
          <w:lang w:val="en-US" w:eastAsia="zh-CN"/>
        </w:rPr>
        <w:t>、实时更新</w:t>
      </w:r>
      <w:r>
        <w:rPr>
          <w:rFonts w:hint="eastAsia" w:ascii="宋体" w:hAnsi="宋体" w:eastAsia="宋体" w:cs="Times New Roman"/>
          <w:bCs/>
          <w:color w:val="auto"/>
          <w:szCs w:val="21"/>
          <w:highlight w:val="none"/>
          <w:lang w:val="en-US" w:eastAsia="zh-CN"/>
        </w:rPr>
        <w:t>，长期</w:t>
      </w:r>
      <w:r>
        <w:rPr>
          <w:rFonts w:hint="eastAsia" w:ascii="宋体" w:hAnsi="宋体" w:cs="Times New Roman"/>
          <w:bCs/>
          <w:color w:val="auto"/>
          <w:szCs w:val="21"/>
          <w:highlight w:val="none"/>
          <w:lang w:val="en-US" w:eastAsia="zh-CN"/>
        </w:rPr>
        <w:t>保持</w:t>
      </w:r>
      <w:r>
        <w:rPr>
          <w:rFonts w:hint="eastAsia" w:ascii="宋体" w:hAnsi="宋体" w:eastAsia="宋体" w:cs="Times New Roman"/>
          <w:bCs/>
          <w:color w:val="auto"/>
          <w:szCs w:val="21"/>
          <w:highlight w:val="none"/>
          <w:lang w:val="en-US" w:eastAsia="zh-CN"/>
        </w:rPr>
        <w:t>两边数据统一、一致。二是以物业专项维修资金财务会计凭证、会计账目为基准，全面核查平台历年资金交存、退款、使用、划拨、分摊等全链条业务记录，对存在差额、漏录、错配、对账不符的业务数据逐项溯源修正、补充完善，实现平台业务数据与财务会计数据一一对应、账账相符，全面提升平台历史数据的完整性、准确性、一致性。数据清理全程需保留清理日志记录和溯源机制，实现所有数据清理操作、数据变更行为可全程追溯、可核查，满足维修资金监管核查工作要求。</w:t>
      </w:r>
    </w:p>
    <w:p w14:paraId="5312CC45">
      <w:pPr>
        <w:adjustRightInd w:val="0"/>
        <w:snapToGrid w:val="0"/>
        <w:spacing w:line="440" w:lineRule="exact"/>
        <w:ind w:firstLine="420" w:firstLineChars="200"/>
        <w:jc w:val="left"/>
        <w:rPr>
          <w:rFonts w:hint="eastAsia" w:ascii="宋体" w:hAnsi="宋体" w:eastAsia="宋体" w:cs="Times New Roman"/>
          <w:bCs/>
          <w:color w:val="auto"/>
          <w:szCs w:val="21"/>
          <w:highlight w:val="none"/>
          <w:lang w:val="en" w:eastAsia="zh-CN"/>
        </w:rPr>
      </w:pPr>
      <w:r>
        <w:rPr>
          <w:rFonts w:hint="eastAsia" w:ascii="宋体" w:hAnsi="宋体" w:cs="Times New Roman"/>
          <w:bCs/>
          <w:color w:val="auto"/>
          <w:szCs w:val="21"/>
          <w:highlight w:val="none"/>
          <w:lang w:val="en" w:eastAsia="zh-CN"/>
        </w:rPr>
        <w:t>（四）</w:t>
      </w:r>
      <w:r>
        <w:rPr>
          <w:rFonts w:hint="eastAsia" w:ascii="宋体" w:hAnsi="宋体" w:eastAsia="宋体" w:cs="Times New Roman"/>
          <w:bCs/>
          <w:color w:val="auto"/>
          <w:szCs w:val="21"/>
          <w:highlight w:val="none"/>
          <w:lang w:val="en" w:eastAsia="zh-CN"/>
        </w:rPr>
        <w:t>第三方服务：</w:t>
      </w:r>
    </w:p>
    <w:p w14:paraId="35568F60">
      <w:pPr>
        <w:adjustRightInd w:val="0"/>
        <w:snapToGrid w:val="0"/>
        <w:spacing w:line="440" w:lineRule="exact"/>
        <w:ind w:firstLine="420" w:firstLineChars="200"/>
        <w:jc w:val="left"/>
        <w:rPr>
          <w:rFonts w:hint="eastAsia" w:ascii="宋体" w:hAnsi="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1.信息化创新功能需求。要求针对物业专项维修资金管理平台按信息化创新有关要求与业务运行现状进行适配</w:t>
      </w:r>
      <w:r>
        <w:rPr>
          <w:rFonts w:hint="eastAsia" w:ascii="宋体" w:hAnsi="宋体" w:cs="Times New Roman"/>
          <w:bCs/>
          <w:color w:val="auto"/>
          <w:szCs w:val="21"/>
          <w:highlight w:val="none"/>
          <w:lang w:val="en-US" w:eastAsia="zh-CN"/>
        </w:rPr>
        <w:t>改造</w:t>
      </w:r>
      <w:r>
        <w:rPr>
          <w:rFonts w:hint="eastAsia" w:ascii="宋体" w:hAnsi="宋体" w:eastAsia="宋体" w:cs="Times New Roman"/>
          <w:bCs/>
          <w:color w:val="auto"/>
          <w:szCs w:val="21"/>
          <w:highlight w:val="none"/>
          <w:lang w:val="en-US" w:eastAsia="zh-CN"/>
        </w:rPr>
        <w:t>，依据国家、省及市政务服务项目建设规范，开展平台信息化创新建设。首先是应用系统的信创迁移适配</w:t>
      </w:r>
      <w:r>
        <w:rPr>
          <w:rFonts w:hint="eastAsia" w:ascii="宋体" w:hAnsi="宋体" w:cs="Times New Roman"/>
          <w:bCs/>
          <w:color w:val="auto"/>
          <w:szCs w:val="21"/>
          <w:highlight w:val="none"/>
          <w:lang w:val="en-US" w:eastAsia="zh-CN"/>
        </w:rPr>
        <w:t>改造</w:t>
      </w:r>
      <w:r>
        <w:rPr>
          <w:rFonts w:hint="eastAsia" w:ascii="宋体" w:hAnsi="宋体" w:eastAsia="宋体" w:cs="Times New Roman"/>
          <w:bCs/>
          <w:color w:val="auto"/>
          <w:szCs w:val="21"/>
          <w:highlight w:val="none"/>
          <w:lang w:val="en-US" w:eastAsia="zh-CN"/>
        </w:rPr>
        <w:t>，包括应用信创数据库适配</w:t>
      </w:r>
      <w:r>
        <w:rPr>
          <w:rFonts w:hint="eastAsia" w:ascii="宋体" w:hAnsi="宋体" w:cs="Times New Roman"/>
          <w:bCs/>
          <w:color w:val="auto"/>
          <w:szCs w:val="21"/>
          <w:highlight w:val="none"/>
          <w:lang w:val="en-US" w:eastAsia="zh-CN"/>
        </w:rPr>
        <w:t>改造</w:t>
      </w:r>
      <w:r>
        <w:rPr>
          <w:rFonts w:hint="eastAsia" w:ascii="宋体" w:hAnsi="宋体" w:eastAsia="宋体" w:cs="Times New Roman"/>
          <w:bCs/>
          <w:color w:val="auto"/>
          <w:szCs w:val="21"/>
          <w:highlight w:val="none"/>
          <w:lang w:val="en-US" w:eastAsia="zh-CN"/>
        </w:rPr>
        <w:t>、应用信创中间件适配</w:t>
      </w:r>
      <w:r>
        <w:rPr>
          <w:rFonts w:hint="eastAsia" w:ascii="宋体" w:hAnsi="宋体" w:cs="Times New Roman"/>
          <w:bCs/>
          <w:color w:val="auto"/>
          <w:szCs w:val="21"/>
          <w:highlight w:val="none"/>
          <w:lang w:val="en-US" w:eastAsia="zh-CN"/>
        </w:rPr>
        <w:t>改造</w:t>
      </w:r>
      <w:r>
        <w:rPr>
          <w:rFonts w:hint="eastAsia" w:ascii="宋体" w:hAnsi="宋体" w:eastAsia="宋体" w:cs="Times New Roman"/>
          <w:bCs/>
          <w:color w:val="auto"/>
          <w:szCs w:val="21"/>
          <w:highlight w:val="none"/>
          <w:lang w:val="en-US" w:eastAsia="zh-CN"/>
        </w:rPr>
        <w:t>、 应用依赖的中间件信创平台适配</w:t>
      </w:r>
      <w:r>
        <w:rPr>
          <w:rFonts w:hint="eastAsia" w:ascii="宋体" w:hAnsi="宋体" w:cs="Times New Roman"/>
          <w:bCs/>
          <w:color w:val="auto"/>
          <w:szCs w:val="21"/>
          <w:highlight w:val="none"/>
          <w:lang w:val="en-US" w:eastAsia="zh-CN"/>
        </w:rPr>
        <w:t>改造</w:t>
      </w:r>
      <w:r>
        <w:rPr>
          <w:rFonts w:hint="eastAsia" w:ascii="宋体" w:hAnsi="宋体" w:eastAsia="宋体" w:cs="Times New Roman"/>
          <w:bCs/>
          <w:color w:val="auto"/>
          <w:szCs w:val="21"/>
          <w:highlight w:val="none"/>
          <w:lang w:val="en-US" w:eastAsia="zh-CN"/>
        </w:rPr>
        <w:t>、应用服务接口及数据交换改造、终端浏览器和外设的信创适配</w:t>
      </w:r>
      <w:r>
        <w:rPr>
          <w:rFonts w:hint="eastAsia" w:ascii="宋体" w:hAnsi="宋体" w:cs="Times New Roman"/>
          <w:bCs/>
          <w:color w:val="auto"/>
          <w:szCs w:val="21"/>
          <w:highlight w:val="none"/>
          <w:lang w:val="en-US" w:eastAsia="zh-CN"/>
        </w:rPr>
        <w:t>等</w:t>
      </w:r>
      <w:r>
        <w:rPr>
          <w:rFonts w:hint="eastAsia" w:ascii="宋体" w:hAnsi="宋体" w:eastAsia="宋体" w:cs="Times New Roman"/>
          <w:bCs/>
          <w:color w:val="auto"/>
          <w:szCs w:val="21"/>
          <w:highlight w:val="none"/>
          <w:lang w:val="en-US" w:eastAsia="zh-CN"/>
        </w:rPr>
        <w:t>，</w:t>
      </w:r>
      <w:r>
        <w:rPr>
          <w:rFonts w:hint="eastAsia" w:ascii="宋体" w:hAnsi="宋体" w:cs="Times New Roman"/>
          <w:bCs/>
          <w:color w:val="auto"/>
          <w:szCs w:val="21"/>
          <w:highlight w:val="none"/>
          <w:lang w:val="en-US" w:eastAsia="zh-CN"/>
        </w:rPr>
        <w:t>要求</w:t>
      </w:r>
      <w:r>
        <w:rPr>
          <w:rFonts w:hint="eastAsia" w:ascii="宋体" w:hAnsi="宋体" w:eastAsia="宋体" w:cs="Times New Roman"/>
          <w:bCs/>
          <w:color w:val="auto"/>
          <w:szCs w:val="21"/>
          <w:highlight w:val="none"/>
          <w:lang w:val="en-US" w:eastAsia="zh-CN"/>
        </w:rPr>
        <w:t>信创适配</w:t>
      </w:r>
      <w:r>
        <w:rPr>
          <w:rFonts w:hint="eastAsia" w:ascii="宋体" w:hAnsi="宋体" w:cs="Times New Roman"/>
          <w:bCs/>
          <w:color w:val="auto"/>
          <w:szCs w:val="21"/>
          <w:highlight w:val="none"/>
          <w:lang w:val="en-US" w:eastAsia="zh-CN"/>
        </w:rPr>
        <w:t>改造</w:t>
      </w:r>
      <w:r>
        <w:rPr>
          <w:rFonts w:hint="eastAsia" w:ascii="宋体" w:hAnsi="宋体" w:eastAsia="宋体" w:cs="Times New Roman"/>
          <w:bCs/>
          <w:color w:val="auto"/>
          <w:szCs w:val="21"/>
          <w:highlight w:val="none"/>
          <w:lang w:val="en-US" w:eastAsia="zh-CN"/>
        </w:rPr>
        <w:t>必须保证不影响系统业务的正常运行，保证使用效果；其次是国产数据库适配及数据迁移，数据迁移的对象包括结构化数据和非结构化数据的迁移，迁移工作包括数据迁移流程、计划以及应急预案的制定，数据迁移设计、数据迁移前备份、数据迁移实验以及数据迁移后测试等，</w:t>
      </w:r>
      <w:r>
        <w:rPr>
          <w:rFonts w:hint="eastAsia" w:ascii="宋体" w:hAnsi="宋体" w:cs="Times New Roman"/>
          <w:bCs/>
          <w:color w:val="auto"/>
          <w:szCs w:val="21"/>
          <w:highlight w:val="none"/>
          <w:lang w:val="en-US" w:eastAsia="zh-CN"/>
        </w:rPr>
        <w:t>要求</w:t>
      </w:r>
      <w:r>
        <w:rPr>
          <w:rFonts w:hint="eastAsia" w:ascii="宋体" w:hAnsi="宋体" w:eastAsia="宋体" w:cs="Times New Roman"/>
          <w:bCs/>
          <w:color w:val="auto"/>
          <w:szCs w:val="21"/>
          <w:highlight w:val="none"/>
          <w:lang w:val="en-US" w:eastAsia="zh-CN"/>
        </w:rPr>
        <w:t>应用系统数据迁移必须保证数据的完整、准确、一致、及时</w:t>
      </w:r>
      <w:r>
        <w:rPr>
          <w:rFonts w:hint="eastAsia" w:ascii="宋体" w:hAnsi="宋体" w:cs="Times New Roman"/>
          <w:bCs/>
          <w:color w:val="auto"/>
          <w:szCs w:val="21"/>
          <w:highlight w:val="none"/>
          <w:lang w:val="en-US" w:eastAsia="zh-CN"/>
        </w:rPr>
        <w:t>；</w:t>
      </w:r>
      <w:r>
        <w:rPr>
          <w:rFonts w:hint="eastAsia" w:ascii="宋体" w:hAnsi="宋体" w:eastAsia="宋体" w:cs="Times New Roman"/>
          <w:bCs/>
          <w:color w:val="auto"/>
          <w:szCs w:val="21"/>
          <w:highlight w:val="none"/>
          <w:lang w:val="en-US" w:eastAsia="zh-CN"/>
        </w:rPr>
        <w:t>最后是国产终端适配，</w:t>
      </w:r>
      <w:r>
        <w:rPr>
          <w:rFonts w:hint="eastAsia" w:ascii="宋体" w:hAnsi="宋体" w:cs="Times New Roman"/>
          <w:bCs/>
          <w:color w:val="auto"/>
          <w:szCs w:val="21"/>
          <w:highlight w:val="none"/>
          <w:lang w:val="en-US" w:eastAsia="zh-CN"/>
        </w:rPr>
        <w:t>要求</w:t>
      </w:r>
      <w:r>
        <w:rPr>
          <w:rFonts w:hint="eastAsia" w:ascii="宋体" w:hAnsi="宋体" w:eastAsia="宋体" w:cs="Times New Roman"/>
          <w:bCs/>
          <w:color w:val="auto"/>
          <w:szCs w:val="21"/>
          <w:highlight w:val="none"/>
          <w:lang w:val="en-US" w:eastAsia="zh-CN"/>
        </w:rPr>
        <w:t>保障业务系统在国产终端环境下正常运行，应用系统必须支持在国产办，公电脑、国产浏览器下的正常访问，</w:t>
      </w:r>
      <w:r>
        <w:rPr>
          <w:rFonts w:hint="eastAsia" w:ascii="宋体" w:hAnsi="宋体" w:cs="Times New Roman"/>
          <w:bCs/>
          <w:color w:val="auto"/>
          <w:szCs w:val="21"/>
          <w:highlight w:val="none"/>
          <w:lang w:val="en-US" w:eastAsia="zh-CN"/>
        </w:rPr>
        <w:t>投标人</w:t>
      </w:r>
      <w:r>
        <w:rPr>
          <w:rFonts w:hint="eastAsia" w:ascii="宋体" w:hAnsi="宋体" w:eastAsia="宋体" w:cs="Times New Roman"/>
          <w:bCs/>
          <w:color w:val="auto"/>
          <w:szCs w:val="21"/>
          <w:highlight w:val="none"/>
          <w:lang w:val="en-US" w:eastAsia="zh-CN"/>
        </w:rPr>
        <w:t>在应用系统开发时，需要重点考虑系统页面的国产化适配，使用适用于国产化环境的插件、组件等</w:t>
      </w:r>
      <w:r>
        <w:rPr>
          <w:rFonts w:hint="eastAsia" w:ascii="宋体" w:hAnsi="宋体" w:cs="Times New Roman"/>
          <w:bCs/>
          <w:color w:val="auto"/>
          <w:szCs w:val="21"/>
          <w:highlight w:val="none"/>
          <w:lang w:val="en-US" w:eastAsia="zh-CN"/>
        </w:rPr>
        <w:t>。本次项目信息化创新建设全过程产生的协调成本、人工、技术、软硬件购置及配套等一切相关费用均包含在投标总报价内，采购人不再另行支付任何费用。</w:t>
      </w:r>
    </w:p>
    <w:p w14:paraId="49495B95">
      <w:pPr>
        <w:adjustRightInd w:val="0"/>
        <w:snapToGrid w:val="0"/>
        <w:spacing w:line="440" w:lineRule="exact"/>
        <w:ind w:firstLine="420" w:firstLineChars="200"/>
        <w:jc w:val="left"/>
        <w:rPr>
          <w:rFonts w:hint="eastAsia" w:ascii="宋体" w:hAnsi="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2.</w:t>
      </w:r>
      <w:r>
        <w:rPr>
          <w:rFonts w:hint="eastAsia" w:ascii="宋体" w:hAnsi="宋体" w:eastAsia="宋体" w:cs="Times New Roman"/>
          <w:bCs/>
          <w:color w:val="auto"/>
          <w:szCs w:val="21"/>
          <w:highlight w:val="none"/>
          <w:lang w:val="en-US" w:eastAsia="zh-CN"/>
        </w:rPr>
        <w:t>账户余额低于30%预警</w:t>
      </w:r>
      <w:r>
        <w:rPr>
          <w:rFonts w:hint="eastAsia" w:ascii="宋体" w:hAnsi="宋体" w:cs="Times New Roman"/>
          <w:bCs/>
          <w:color w:val="auto"/>
          <w:szCs w:val="21"/>
          <w:highlight w:val="none"/>
          <w:lang w:val="en-US" w:eastAsia="zh-CN"/>
        </w:rPr>
        <w:t>、以及业务消息通知等短信发送服务需求。要求根据</w:t>
      </w:r>
      <w:r>
        <w:rPr>
          <w:rFonts w:hint="eastAsia" w:ascii="宋体" w:hAnsi="宋体" w:eastAsia="宋体" w:cs="Times New Roman"/>
          <w:bCs/>
          <w:color w:val="auto"/>
          <w:szCs w:val="21"/>
          <w:highlight w:val="none"/>
          <w:lang w:val="en-US" w:eastAsia="zh-CN"/>
        </w:rPr>
        <w:t>系统平台</w:t>
      </w:r>
      <w:r>
        <w:rPr>
          <w:rFonts w:hint="eastAsia" w:ascii="宋体" w:hAnsi="宋体" w:cs="Times New Roman"/>
          <w:bCs/>
          <w:color w:val="auto"/>
          <w:szCs w:val="21"/>
          <w:highlight w:val="none"/>
          <w:lang w:val="en-US" w:eastAsia="zh-CN"/>
        </w:rPr>
        <w:t>3年免费</w:t>
      </w:r>
      <w:r>
        <w:rPr>
          <w:rFonts w:hint="eastAsia" w:ascii="宋体" w:hAnsi="宋体" w:eastAsia="宋体" w:cs="Times New Roman"/>
          <w:bCs/>
          <w:color w:val="auto"/>
          <w:szCs w:val="21"/>
          <w:highlight w:val="none"/>
          <w:lang w:val="en-US" w:eastAsia="zh-CN"/>
        </w:rPr>
        <w:t>运维期内维修资金账户余额低于30%预警业主账户数量规模</w:t>
      </w:r>
      <w:r>
        <w:rPr>
          <w:rFonts w:hint="eastAsia" w:ascii="宋体" w:hAnsi="宋体" w:cs="Times New Roman"/>
          <w:bCs/>
          <w:color w:val="auto"/>
          <w:szCs w:val="21"/>
          <w:highlight w:val="none"/>
          <w:lang w:val="en-US" w:eastAsia="zh-CN"/>
        </w:rPr>
        <w:t>与系统业务消息通知短信总量评估情况</w:t>
      </w:r>
      <w:r>
        <w:rPr>
          <w:rFonts w:hint="eastAsia" w:ascii="宋体" w:hAnsi="宋体" w:eastAsia="宋体" w:cs="Times New Roman"/>
          <w:bCs/>
          <w:color w:val="auto"/>
          <w:szCs w:val="21"/>
          <w:highlight w:val="none"/>
          <w:lang w:val="en-US" w:eastAsia="zh-CN"/>
        </w:rPr>
        <w:t>，</w:t>
      </w:r>
      <w:r>
        <w:rPr>
          <w:rFonts w:hint="eastAsia" w:ascii="宋体" w:hAnsi="宋体" w:cs="Times New Roman"/>
          <w:bCs/>
          <w:color w:val="auto"/>
          <w:szCs w:val="21"/>
          <w:highlight w:val="none"/>
          <w:lang w:val="en-US" w:eastAsia="zh-CN"/>
        </w:rPr>
        <w:t>投标人</w:t>
      </w:r>
      <w:r>
        <w:rPr>
          <w:rFonts w:hint="eastAsia" w:ascii="宋体" w:hAnsi="宋体" w:eastAsia="宋体" w:cs="Times New Roman"/>
          <w:bCs/>
          <w:color w:val="auto"/>
          <w:szCs w:val="21"/>
          <w:highlight w:val="none"/>
          <w:lang w:val="en-US" w:eastAsia="zh-CN"/>
        </w:rPr>
        <w:t>制定短信发送额度配置计划，</w:t>
      </w:r>
      <w:r>
        <w:rPr>
          <w:rFonts w:hint="eastAsia" w:ascii="宋体" w:hAnsi="宋体" w:cs="Times New Roman"/>
          <w:bCs/>
          <w:color w:val="auto"/>
          <w:szCs w:val="21"/>
          <w:highlight w:val="none"/>
          <w:lang w:val="en-US" w:eastAsia="zh-CN"/>
        </w:rPr>
        <w:t>并依据短信额度配置计划购买短信发送服务，</w:t>
      </w:r>
      <w:r>
        <w:rPr>
          <w:rFonts w:hint="eastAsia" w:ascii="宋体" w:hAnsi="宋体" w:eastAsia="宋体" w:cs="Times New Roman"/>
          <w:bCs/>
          <w:color w:val="auto"/>
          <w:szCs w:val="21"/>
          <w:highlight w:val="none"/>
          <w:lang w:val="en-US" w:eastAsia="zh-CN"/>
        </w:rPr>
        <w:t>确保</w:t>
      </w:r>
      <w:r>
        <w:rPr>
          <w:rFonts w:hint="eastAsia" w:ascii="宋体" w:hAnsi="宋体" w:cs="Times New Roman"/>
          <w:bCs/>
          <w:color w:val="auto"/>
          <w:szCs w:val="21"/>
          <w:highlight w:val="none"/>
          <w:lang w:val="en-US" w:eastAsia="zh-CN"/>
        </w:rPr>
        <w:t>30%</w:t>
      </w:r>
      <w:r>
        <w:rPr>
          <w:rFonts w:hint="eastAsia" w:ascii="宋体" w:hAnsi="宋体" w:eastAsia="宋体" w:cs="Times New Roman"/>
          <w:bCs/>
          <w:color w:val="auto"/>
          <w:szCs w:val="21"/>
          <w:highlight w:val="none"/>
          <w:lang w:val="en-US" w:eastAsia="zh-CN"/>
        </w:rPr>
        <w:t>预警短信</w:t>
      </w:r>
      <w:r>
        <w:rPr>
          <w:rFonts w:hint="eastAsia" w:ascii="宋体" w:hAnsi="宋体" w:cs="Times New Roman"/>
          <w:bCs/>
          <w:color w:val="auto"/>
          <w:szCs w:val="21"/>
          <w:highlight w:val="none"/>
          <w:lang w:val="en-US" w:eastAsia="zh-CN"/>
        </w:rPr>
        <w:t>与系统业务消息通知短信</w:t>
      </w:r>
      <w:r>
        <w:rPr>
          <w:rFonts w:hint="eastAsia" w:ascii="宋体" w:hAnsi="宋体" w:eastAsia="宋体" w:cs="Times New Roman"/>
          <w:bCs/>
          <w:color w:val="auto"/>
          <w:szCs w:val="21"/>
          <w:highlight w:val="none"/>
          <w:lang w:val="en-US" w:eastAsia="zh-CN"/>
        </w:rPr>
        <w:t>能</w:t>
      </w:r>
      <w:r>
        <w:rPr>
          <w:rFonts w:hint="eastAsia" w:ascii="宋体" w:hAnsi="宋体" w:cs="Times New Roman"/>
          <w:bCs/>
          <w:color w:val="auto"/>
          <w:szCs w:val="21"/>
          <w:highlight w:val="none"/>
          <w:lang w:val="en-US" w:eastAsia="zh-CN"/>
        </w:rPr>
        <w:t>保量</w:t>
      </w:r>
      <w:r>
        <w:rPr>
          <w:rFonts w:hint="eastAsia" w:ascii="宋体" w:hAnsi="宋体" w:eastAsia="宋体" w:cs="Times New Roman"/>
          <w:bCs/>
          <w:color w:val="auto"/>
          <w:szCs w:val="21"/>
          <w:highlight w:val="none"/>
          <w:lang w:val="en-US" w:eastAsia="zh-CN"/>
        </w:rPr>
        <w:t>及时发送。</w:t>
      </w:r>
      <w:r>
        <w:rPr>
          <w:rFonts w:hint="eastAsia" w:ascii="宋体" w:hAnsi="宋体" w:cs="Times New Roman"/>
          <w:bCs/>
          <w:color w:val="auto"/>
          <w:szCs w:val="21"/>
          <w:highlight w:val="none"/>
          <w:lang w:val="en-US" w:eastAsia="zh-CN"/>
        </w:rPr>
        <w:t>以上项目短信发送服务过程中涉及的人工、技术、短信资费等一切相关费用均包含在投标总报价内，采购人不再另行支付任何费用。</w:t>
      </w:r>
    </w:p>
    <w:p w14:paraId="2261CBC8">
      <w:pPr>
        <w:adjustRightInd w:val="0"/>
        <w:snapToGrid w:val="0"/>
        <w:spacing w:line="440" w:lineRule="exact"/>
        <w:jc w:val="left"/>
        <w:rPr>
          <w:rFonts w:hint="default" w:ascii="宋体" w:hAnsi="宋体" w:eastAsia="宋体" w:cs="Times New Roman"/>
          <w:bCs/>
          <w:color w:val="auto"/>
          <w:szCs w:val="21"/>
          <w:highlight w:val="none"/>
          <w:lang w:val="en-US" w:eastAsia="zh-CN"/>
        </w:rPr>
      </w:pPr>
    </w:p>
    <w:p w14:paraId="0D858098">
      <w:pPr>
        <w:numPr>
          <w:ilvl w:val="0"/>
          <w:numId w:val="1"/>
        </w:numPr>
        <w:spacing w:line="430" w:lineRule="exact"/>
        <w:ind w:left="0" w:leftChars="0" w:firstLine="0" w:firstLineChars="0"/>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项目实施要求</w:t>
      </w:r>
    </w:p>
    <w:p w14:paraId="2C4FE3CF">
      <w:pPr>
        <w:spacing w:line="430" w:lineRule="exact"/>
        <w:ind w:firstLine="422" w:firstLineChars="200"/>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1</w:t>
      </w:r>
      <w:r>
        <w:rPr>
          <w:rFonts w:hint="eastAsia" w:ascii="宋体" w:hAnsi="宋体" w:cs="Times New Roman"/>
          <w:b/>
          <w:bCs/>
          <w:color w:val="auto"/>
          <w:szCs w:val="21"/>
          <w:highlight w:val="none"/>
          <w:lang w:val="en-US" w:eastAsia="zh-CN"/>
        </w:rPr>
        <w:t>.</w:t>
      </w:r>
      <w:r>
        <w:rPr>
          <w:rFonts w:ascii="宋体" w:hAnsi="宋体" w:eastAsia="宋体" w:cs="Times New Roman"/>
          <w:b/>
          <w:bCs/>
          <w:color w:val="auto"/>
          <w:szCs w:val="21"/>
          <w:highlight w:val="none"/>
        </w:rPr>
        <w:t>项目管理要求</w:t>
      </w:r>
    </w:p>
    <w:p w14:paraId="0FE8493A">
      <w:pPr>
        <w:spacing w:line="430" w:lineRule="exact"/>
        <w:ind w:firstLine="420" w:firstLineChars="200"/>
        <w:rPr>
          <w:rFonts w:hint="eastAsia" w:ascii="宋体" w:hAnsi="宋体" w:eastAsia="宋体" w:cs="Times New Roman"/>
          <w:color w:val="auto"/>
          <w:highlight w:val="none"/>
        </w:rPr>
      </w:pPr>
      <w:r>
        <w:rPr>
          <w:rFonts w:hint="eastAsia" w:ascii="宋体" w:hAnsi="宋体" w:eastAsia="宋体" w:cs="Times New Roman"/>
          <w:color w:val="auto"/>
          <w:highlight w:val="none"/>
        </w:rPr>
        <w:t>1.1</w:t>
      </w:r>
      <w:r>
        <w:rPr>
          <w:rFonts w:ascii="宋体" w:hAnsi="宋体" w:eastAsia="宋体" w:cs="Times New Roman"/>
          <w:color w:val="auto"/>
          <w:highlight w:val="none"/>
        </w:rPr>
        <w:t>投标人应</w:t>
      </w:r>
      <w:r>
        <w:rPr>
          <w:rFonts w:hint="eastAsia" w:ascii="宋体" w:hAnsi="宋体" w:eastAsia="宋体" w:cs="Times New Roman"/>
          <w:color w:val="auto"/>
          <w:highlight w:val="none"/>
          <w:lang w:eastAsia="zh-CN"/>
        </w:rPr>
        <w:t>具备专业技术团队，负责该项目技术团队组成成员须包含</w:t>
      </w:r>
      <w:r>
        <w:rPr>
          <w:rFonts w:ascii="宋体" w:hAnsi="宋体" w:eastAsia="宋体" w:cs="Times New Roman"/>
          <w:color w:val="auto"/>
          <w:highlight w:val="none"/>
        </w:rPr>
        <w:t>软件研发、系统集成、</w:t>
      </w:r>
      <w:r>
        <w:rPr>
          <w:rFonts w:hint="eastAsia" w:ascii="宋体" w:hAnsi="宋体" w:eastAsia="宋体" w:cs="Times New Roman"/>
          <w:color w:val="auto"/>
          <w:highlight w:val="none"/>
          <w:lang w:eastAsia="zh-CN"/>
        </w:rPr>
        <w:t>数据治理、</w:t>
      </w:r>
      <w:r>
        <w:rPr>
          <w:rFonts w:ascii="宋体" w:hAnsi="宋体" w:eastAsia="宋体" w:cs="Times New Roman"/>
          <w:color w:val="auto"/>
          <w:highlight w:val="none"/>
        </w:rPr>
        <w:t>项目管理等</w:t>
      </w:r>
      <w:r>
        <w:rPr>
          <w:rFonts w:hint="eastAsia" w:ascii="宋体" w:hAnsi="宋体" w:eastAsia="宋体" w:cs="Times New Roman"/>
          <w:color w:val="auto"/>
          <w:highlight w:val="none"/>
          <w:lang w:eastAsia="zh-CN"/>
        </w:rPr>
        <w:t>领域技术人员</w:t>
      </w:r>
      <w:r>
        <w:rPr>
          <w:rFonts w:ascii="宋体" w:hAnsi="宋体" w:eastAsia="宋体" w:cs="Times New Roman"/>
          <w:color w:val="auto"/>
          <w:highlight w:val="none"/>
        </w:rPr>
        <w:t>。严格遵循项目管理标准规范，制定项目计划，</w:t>
      </w:r>
      <w:r>
        <w:rPr>
          <w:rFonts w:hint="eastAsia" w:ascii="宋体" w:hAnsi="宋体" w:eastAsia="宋体" w:cs="Times New Roman"/>
          <w:color w:val="auto"/>
          <w:highlight w:val="none"/>
          <w:lang w:eastAsia="zh-CN"/>
        </w:rPr>
        <w:t>定期汇报项目进展情况，</w:t>
      </w:r>
      <w:r>
        <w:rPr>
          <w:rFonts w:ascii="宋体" w:hAnsi="宋体" w:eastAsia="宋体" w:cs="Times New Roman"/>
          <w:color w:val="auto"/>
          <w:highlight w:val="none"/>
        </w:rPr>
        <w:t>确保项目</w:t>
      </w:r>
      <w:r>
        <w:rPr>
          <w:rFonts w:hint="eastAsia" w:ascii="宋体" w:hAnsi="宋体" w:eastAsia="宋体" w:cs="Times New Roman"/>
          <w:color w:val="auto"/>
          <w:highlight w:val="none"/>
          <w:lang w:eastAsia="zh-CN"/>
        </w:rPr>
        <w:t>建设成果如期交付</w:t>
      </w:r>
      <w:r>
        <w:rPr>
          <w:rFonts w:ascii="宋体" w:hAnsi="宋体" w:eastAsia="宋体" w:cs="Times New Roman"/>
          <w:color w:val="auto"/>
          <w:highlight w:val="none"/>
        </w:rPr>
        <w:t>。</w:t>
      </w:r>
    </w:p>
    <w:p w14:paraId="1E7C78EE">
      <w:pPr>
        <w:spacing w:line="430" w:lineRule="exact"/>
        <w:ind w:firstLine="420" w:firstLineChars="200"/>
        <w:rPr>
          <w:rFonts w:hint="eastAsia" w:ascii="宋体" w:hAnsi="宋体" w:eastAsia="宋体" w:cs="Times New Roman"/>
          <w:color w:val="auto"/>
          <w:spacing w:val="-2"/>
          <w:highlight w:val="none"/>
        </w:rPr>
      </w:pPr>
      <w:r>
        <w:rPr>
          <w:rFonts w:hint="eastAsia" w:ascii="宋体" w:hAnsi="宋体" w:eastAsia="宋体" w:cs="Times New Roman"/>
          <w:color w:val="auto"/>
          <w:highlight w:val="none"/>
        </w:rPr>
        <w:t>1.2</w:t>
      </w:r>
      <w:r>
        <w:rPr>
          <w:rFonts w:hint="eastAsia" w:ascii="宋体" w:hAnsi="宋体" w:eastAsia="宋体" w:cs="Times New Roman"/>
          <w:color w:val="auto"/>
          <w:spacing w:val="-2"/>
          <w:highlight w:val="none"/>
        </w:rPr>
        <w:t xml:space="preserve"> 驻场服务人员：中标人须安排专职驻场工程师在郴州市住房保障服务中心提供现场技术服务，驻场工作时间为法定工作日正常上班时段（与采购人办公时间同步）；非工作日、夜间、节假日实行远程 7×24 小时技术响应，紧急故障承诺 4 小时内抵达现场处置。郴州市住房保障服务中心提供驻场办公场地，投标人须提供驻场人员简历、联系方式；驻场人员须严格遵守郴州市住房保障服务中心各项内部管理制度，采购人有权对履职不到位的驻场人员提出更换建议，中标人须在 3 个工作日内调配同等资质人员替换。</w:t>
      </w:r>
    </w:p>
    <w:p w14:paraId="034BD881">
      <w:pPr>
        <w:spacing w:line="430" w:lineRule="exact"/>
        <w:ind w:firstLine="422" w:firstLineChars="200"/>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w:t>
      </w:r>
      <w:r>
        <w:rPr>
          <w:rFonts w:hint="eastAsia" w:ascii="宋体" w:hAnsi="宋体" w:cs="Times New Roman"/>
          <w:b/>
          <w:bCs/>
          <w:color w:val="auto"/>
          <w:szCs w:val="21"/>
          <w:highlight w:val="none"/>
          <w:lang w:val="en-US" w:eastAsia="zh-CN"/>
        </w:rPr>
        <w:t>.</w:t>
      </w:r>
      <w:r>
        <w:rPr>
          <w:rFonts w:hint="eastAsia" w:ascii="宋体" w:hAnsi="宋体" w:eastAsia="宋体" w:cs="Times New Roman"/>
          <w:b/>
          <w:bCs/>
          <w:color w:val="auto"/>
          <w:szCs w:val="21"/>
          <w:highlight w:val="none"/>
        </w:rPr>
        <w:t>项目实施要求</w:t>
      </w:r>
    </w:p>
    <w:p w14:paraId="1A3EF727">
      <w:pPr>
        <w:spacing w:line="43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严格遵循国家及行业相关技术要求与规范，根据项目需求制定精细化项目实施方案和计划，投标方所交付的项目成果，必须全面满足采购文件明确的各项技术要求与规定。针对系统升级部分</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投标人需全流程覆盖需求分析、架构设计、功能开发、多维度测试及全周期技术支持工作；依据既定部署方案完成系统软件的安装调试，并严格按照招标文件约定范围交付软件相关需求成果。针对数据清理部分，投标人需按照项目实施方案、项目需求及行业规范收集、统计、梳理所需清理的历史数据及档案，并严格按照招标文件约定范围交付数据清理成果。针对项目中要求的第三方服务（包括但不限于预警提醒以及业务消息通知等短信发送、旧系统信创改造），投标人需遵循国家、省市有关技术要求和行业规范，并结合项目实际需求，并严格按照招标文件约定范围交付第三方服务成果。</w:t>
      </w:r>
    </w:p>
    <w:p w14:paraId="251923F7">
      <w:pPr>
        <w:spacing w:line="430" w:lineRule="exact"/>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本项目全部建设内容，包括平台功能升级改造、历史存量数据清理、第三方配套服务部署等工作，均须依托现有物业专项维修资金管理平台技术架构、功能模块、业务数据库、安全防护体系及内外交互接口等进行实施，不得脱离管理平台整体架构进行独立重建、另行部署。</w:t>
      </w:r>
    </w:p>
    <w:p w14:paraId="56CFE34D">
      <w:pPr>
        <w:spacing w:line="430" w:lineRule="exact"/>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本项目实施所需现有物业专项维修资金管理平台的源代码查阅调用、系统框架复用、接口调用权限、数据库访问权限、业务数据开放权限、网络权限开通、软硬件资源调用及相关技术协调对接工作，均由中标单位自行负责与管理平台原建设单位沟通对接、完成办理。由此产生的全部对接协调成本、技术改造费用、服务费用及相关风险与法律责任，均由中标单位全权负责、自行承担，采购人不再另行支付额外费用。</w:t>
      </w:r>
    </w:p>
    <w:p w14:paraId="30DCE251">
      <w:pPr>
        <w:spacing w:line="430" w:lineRule="exact"/>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本项目实施须严格遵循国家、省、市相关政策规定与行业标准，保障升级后的物业专项维修资金管理平台在各项技术性能、安全防护能力上满足密码应用安全性评估及网络安全等级保护三级测评要求。</w:t>
      </w:r>
    </w:p>
    <w:p w14:paraId="5A8DD0C3">
      <w:pPr>
        <w:spacing w:line="430" w:lineRule="exact"/>
        <w:ind w:firstLine="422" w:firstLineChars="200"/>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3</w:t>
      </w:r>
      <w:r>
        <w:rPr>
          <w:rFonts w:hint="eastAsia" w:ascii="宋体" w:hAnsi="宋体" w:cs="Times New Roman"/>
          <w:b/>
          <w:bCs/>
          <w:color w:val="auto"/>
          <w:szCs w:val="21"/>
          <w:highlight w:val="none"/>
          <w:lang w:val="en-US" w:eastAsia="zh-CN"/>
        </w:rPr>
        <w:t>.</w:t>
      </w:r>
      <w:r>
        <w:rPr>
          <w:rFonts w:hint="eastAsia" w:ascii="宋体" w:hAnsi="宋体" w:eastAsia="宋体" w:cs="Times New Roman"/>
          <w:b/>
          <w:bCs/>
          <w:color w:val="auto"/>
          <w:szCs w:val="21"/>
          <w:highlight w:val="none"/>
        </w:rPr>
        <w:t>技术支持及培训</w:t>
      </w:r>
      <w:r>
        <w:rPr>
          <w:rFonts w:ascii="宋体" w:hAnsi="宋体" w:eastAsia="宋体" w:cs="Times New Roman"/>
          <w:b/>
          <w:bCs/>
          <w:color w:val="auto"/>
          <w:szCs w:val="21"/>
          <w:highlight w:val="none"/>
        </w:rPr>
        <w:t>要求</w:t>
      </w:r>
    </w:p>
    <w:p w14:paraId="118CB74D">
      <w:pPr>
        <w:numPr>
          <w:ilvl w:val="0"/>
          <w:numId w:val="0"/>
        </w:numPr>
        <w:spacing w:line="430" w:lineRule="exact"/>
        <w:ind w:leftChars="0"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本项目整体免费质保期为3年。质保期内，投标人须针对平台功能升级模块及历史数据清理成果提供全天候技术支持，通过电话、微信、邮件等方式提供技术咨询与运维服务，及时修复平台缺陷、更正异常数据，保障系统稳定合规运行。</w:t>
      </w:r>
    </w:p>
    <w:p w14:paraId="4E1D556E">
      <w:pPr>
        <w:numPr>
          <w:ilvl w:val="0"/>
          <w:numId w:val="0"/>
        </w:numPr>
        <w:spacing w:line="430" w:lineRule="exact"/>
        <w:ind w:leftChars="0" w:firstLine="420" w:firstLineChars="200"/>
        <w:rPr>
          <w:rFonts w:hint="eastAsia" w:ascii="宋体" w:hAnsi="宋体" w:eastAsia="宋体" w:cs="宋体"/>
          <w:color w:val="auto"/>
          <w:highlight w:val="none"/>
          <w:lang w:val="zh-TW" w:eastAsia="zh-TW"/>
        </w:rPr>
      </w:pPr>
      <w:r>
        <w:rPr>
          <w:rFonts w:hint="eastAsia" w:ascii="宋体" w:hAnsi="宋体" w:eastAsia="宋体" w:cs="宋体"/>
          <w:color w:val="auto"/>
          <w:highlight w:val="none"/>
          <w:lang w:val="zh-TW" w:eastAsia="zh-TW"/>
        </w:rPr>
        <w:t>质保期内投标人须提供</w:t>
      </w:r>
      <w:r>
        <w:rPr>
          <w:rFonts w:hint="eastAsia" w:ascii="宋体" w:hAnsi="宋体" w:cs="宋体"/>
          <w:color w:val="auto"/>
          <w:highlight w:val="none"/>
          <w:lang w:val="zh-TW" w:eastAsia="zh-CN"/>
        </w:rPr>
        <w:t>管理平台</w:t>
      </w:r>
      <w:r>
        <w:rPr>
          <w:rFonts w:hint="eastAsia" w:ascii="宋体" w:hAnsi="宋体" w:eastAsia="宋体" w:cs="宋体"/>
          <w:color w:val="auto"/>
          <w:highlight w:val="none"/>
          <w:lang w:val="zh-TW" w:eastAsia="zh-TW"/>
        </w:rPr>
        <w:t>操作培训服务，每年培训不少于3次，保障</w:t>
      </w:r>
      <w:r>
        <w:rPr>
          <w:rFonts w:hint="eastAsia" w:ascii="宋体" w:hAnsi="宋体" w:cs="宋体"/>
          <w:color w:val="auto"/>
          <w:highlight w:val="none"/>
          <w:lang w:val="zh-TW" w:eastAsia="zh-CN"/>
        </w:rPr>
        <w:t>管理机构</w:t>
      </w:r>
      <w:r>
        <w:rPr>
          <w:rFonts w:hint="eastAsia" w:ascii="宋体" w:hAnsi="宋体" w:eastAsia="宋体" w:cs="宋体"/>
          <w:color w:val="auto"/>
          <w:highlight w:val="none"/>
          <w:lang w:val="zh-TW" w:eastAsia="zh-TW"/>
        </w:rPr>
        <w:t>工作人员、物业</w:t>
      </w:r>
      <w:r>
        <w:rPr>
          <w:rFonts w:hint="eastAsia" w:ascii="宋体" w:hAnsi="宋体" w:cs="宋体"/>
          <w:color w:val="auto"/>
          <w:highlight w:val="none"/>
          <w:lang w:val="zh-TW" w:eastAsia="zh-CN"/>
        </w:rPr>
        <w:t>服务人</w:t>
      </w:r>
      <w:r>
        <w:rPr>
          <w:rFonts w:hint="eastAsia" w:ascii="宋体" w:hAnsi="宋体" w:eastAsia="宋体" w:cs="宋体"/>
          <w:color w:val="auto"/>
          <w:highlight w:val="none"/>
          <w:lang w:val="zh-TW" w:eastAsia="zh-TW"/>
        </w:rPr>
        <w:t>、业委会及业主能够熟练使用平台功能。培训可采用集中授课、现场指导、一对一辅导、配套资料宣教等多种形式，投标人负责编制培训材料、部署培训环境、开展授课教学及操作考核；</w:t>
      </w:r>
      <w:r>
        <w:rPr>
          <w:rFonts w:hint="eastAsia" w:ascii="宋体" w:hAnsi="宋体" w:cs="宋体"/>
          <w:color w:val="auto"/>
          <w:highlight w:val="none"/>
          <w:lang w:val="zh-TW" w:eastAsia="zh-CN"/>
        </w:rPr>
        <w:t>采购人</w:t>
      </w:r>
      <w:r>
        <w:rPr>
          <w:rFonts w:hint="eastAsia" w:ascii="宋体" w:hAnsi="宋体" w:eastAsia="宋体" w:cs="宋体"/>
          <w:color w:val="auto"/>
          <w:highlight w:val="none"/>
          <w:lang w:val="zh-TW" w:eastAsia="zh-TW"/>
        </w:rPr>
        <w:t>负责提供培训场地、设备及人员召集组织工作。投标人须提前提交完整年度培训方案，确保培训效果到位。</w:t>
      </w:r>
    </w:p>
    <w:p w14:paraId="4F9A05A1">
      <w:pPr>
        <w:spacing w:line="430" w:lineRule="exact"/>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eastAsia="zh-CN"/>
        </w:rPr>
        <w:t>五</w:t>
      </w:r>
      <w:r>
        <w:rPr>
          <w:rFonts w:hint="eastAsia" w:ascii="宋体" w:hAnsi="宋体" w:eastAsia="宋体" w:cs="Times New Roman"/>
          <w:b/>
          <w:bCs/>
          <w:color w:val="auto"/>
          <w:sz w:val="24"/>
          <w:highlight w:val="none"/>
        </w:rPr>
        <w:t>、验收标准和方法</w:t>
      </w:r>
    </w:p>
    <w:p w14:paraId="3E807229">
      <w:pPr>
        <w:spacing w:line="440" w:lineRule="exact"/>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中标人提供</w:t>
      </w:r>
      <w:r>
        <w:rPr>
          <w:rFonts w:hint="eastAsia" w:ascii="宋体" w:hAnsi="宋体" w:eastAsia="宋体" w:cs="Times New Roman"/>
          <w:bCs/>
          <w:color w:val="auto"/>
          <w:szCs w:val="21"/>
          <w:highlight w:val="none"/>
          <w:lang w:eastAsia="zh-CN"/>
        </w:rPr>
        <w:t>系统功能升级</w:t>
      </w:r>
      <w:r>
        <w:rPr>
          <w:rFonts w:hint="eastAsia" w:ascii="宋体" w:hAnsi="宋体" w:eastAsia="宋体" w:cs="Times New Roman"/>
          <w:bCs/>
          <w:color w:val="auto"/>
          <w:szCs w:val="21"/>
          <w:highlight w:val="none"/>
        </w:rPr>
        <w:t>的源代码、数据库设计文档、接口说明文档</w:t>
      </w:r>
      <w:r>
        <w:rPr>
          <w:rFonts w:hint="eastAsia" w:ascii="宋体" w:hAnsi="宋体" w:eastAsia="宋体" w:cs="Times New Roman"/>
          <w:bCs/>
          <w:color w:val="auto"/>
          <w:szCs w:val="21"/>
          <w:highlight w:val="none"/>
          <w:lang w:eastAsia="zh-CN"/>
        </w:rPr>
        <w:t>、系统建设和数据清理日志</w:t>
      </w:r>
      <w:r>
        <w:rPr>
          <w:rFonts w:hint="eastAsia" w:ascii="宋体" w:hAnsi="宋体" w:cs="Times New Roman"/>
          <w:bCs/>
          <w:color w:val="auto"/>
          <w:szCs w:val="21"/>
          <w:highlight w:val="none"/>
          <w:lang w:eastAsia="zh-CN"/>
        </w:rPr>
        <w:t>及第三方服务</w:t>
      </w:r>
      <w:r>
        <w:rPr>
          <w:rFonts w:hint="default" w:ascii="宋体" w:hAnsi="宋体" w:eastAsia="宋体" w:cs="Times New Roman"/>
          <w:bCs/>
          <w:color w:val="auto"/>
          <w:szCs w:val="21"/>
          <w:highlight w:val="none"/>
          <w:lang w:val="en-US" w:eastAsia="zh-CN"/>
        </w:rPr>
        <w:t>全套文档</w:t>
      </w:r>
      <w:r>
        <w:rPr>
          <w:rFonts w:hint="eastAsia" w:ascii="宋体" w:hAnsi="宋体" w:eastAsia="宋体" w:cs="Times New Roman"/>
          <w:bCs/>
          <w:color w:val="auto"/>
          <w:szCs w:val="21"/>
          <w:highlight w:val="none"/>
          <w:lang w:eastAsia="zh-CN"/>
        </w:rPr>
        <w:t>等文件，归档后移交至</w:t>
      </w:r>
      <w:r>
        <w:rPr>
          <w:rFonts w:hint="eastAsia" w:ascii="宋体" w:hAnsi="宋体" w:cs="Times New Roman"/>
          <w:bCs/>
          <w:color w:val="auto"/>
          <w:szCs w:val="21"/>
          <w:highlight w:val="none"/>
          <w:lang w:eastAsia="zh-CN"/>
        </w:rPr>
        <w:t>采购人</w:t>
      </w:r>
      <w:r>
        <w:rPr>
          <w:rFonts w:hint="eastAsia" w:ascii="宋体" w:hAnsi="宋体" w:eastAsia="宋体" w:cs="Times New Roman"/>
          <w:bCs/>
          <w:color w:val="auto"/>
          <w:szCs w:val="21"/>
          <w:highlight w:val="none"/>
        </w:rPr>
        <w:t>。</w:t>
      </w:r>
    </w:p>
    <w:p w14:paraId="7927700C">
      <w:p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eastAsia="宋体" w:cs="Times New Roman"/>
          <w:bCs/>
          <w:color w:val="auto"/>
          <w:szCs w:val="21"/>
          <w:highlight w:val="none"/>
          <w:lang w:eastAsia="zh-CN"/>
        </w:rPr>
        <w:t>项目</w:t>
      </w:r>
      <w:r>
        <w:rPr>
          <w:rFonts w:hint="eastAsia" w:ascii="宋体" w:hAnsi="宋体" w:eastAsia="宋体" w:cs="Times New Roman"/>
          <w:bCs/>
          <w:color w:val="auto"/>
          <w:szCs w:val="21"/>
          <w:highlight w:val="none"/>
        </w:rPr>
        <w:t>验收由</w:t>
      </w:r>
      <w:r>
        <w:rPr>
          <w:rFonts w:hint="eastAsia" w:ascii="宋体" w:hAnsi="宋体" w:cs="Times New Roman"/>
          <w:bCs/>
          <w:color w:val="auto"/>
          <w:szCs w:val="21"/>
          <w:highlight w:val="none"/>
          <w:lang w:eastAsia="zh-CN"/>
        </w:rPr>
        <w:t>采购人</w:t>
      </w:r>
      <w:r>
        <w:rPr>
          <w:rFonts w:hint="eastAsia" w:ascii="宋体" w:hAnsi="宋体" w:eastAsia="宋体" w:cs="Times New Roman"/>
          <w:bCs/>
          <w:color w:val="auto"/>
          <w:szCs w:val="21"/>
          <w:highlight w:val="none"/>
        </w:rPr>
        <w:t>组织有关专业人员或者委托第三方服务机构，按招标文件技术要求规定的采购要求</w:t>
      </w:r>
      <w:r>
        <w:rPr>
          <w:rFonts w:hint="eastAsia" w:ascii="宋体" w:hAnsi="宋体" w:eastAsia="宋体" w:cs="Times New Roman"/>
          <w:bCs/>
          <w:color w:val="auto"/>
          <w:szCs w:val="21"/>
          <w:highlight w:val="none"/>
          <w:lang w:eastAsia="zh-CN"/>
        </w:rPr>
        <w:t>、行业标准，依据流程</w:t>
      </w:r>
      <w:r>
        <w:rPr>
          <w:rFonts w:hint="eastAsia" w:ascii="宋体" w:hAnsi="宋体" w:eastAsia="宋体" w:cs="Times New Roman"/>
          <w:bCs/>
          <w:color w:val="auto"/>
          <w:szCs w:val="21"/>
          <w:highlight w:val="none"/>
        </w:rPr>
        <w:t>验收</w:t>
      </w:r>
      <w:r>
        <w:rPr>
          <w:rFonts w:hint="eastAsia" w:ascii="宋体" w:hAnsi="宋体" w:eastAsia="宋体" w:cs="Times New Roman"/>
          <w:bCs/>
          <w:color w:val="auto"/>
          <w:szCs w:val="21"/>
          <w:highlight w:val="none"/>
          <w:lang w:eastAsia="zh-CN"/>
        </w:rPr>
        <w:t>。</w:t>
      </w:r>
    </w:p>
    <w:p w14:paraId="1F7835EB">
      <w:pPr>
        <w:numPr>
          <w:ilvl w:val="0"/>
          <w:numId w:val="0"/>
        </w:numPr>
        <w:spacing w:line="440" w:lineRule="exact"/>
        <w:ind w:firstLine="422" w:firstLineChars="200"/>
        <w:rPr>
          <w:rFonts w:hint="eastAsia" w:ascii="宋体" w:hAnsi="宋体" w:eastAsia="宋体" w:cs="Times New Roman"/>
          <w:b/>
          <w:bCs w:val="0"/>
          <w:color w:val="auto"/>
          <w:szCs w:val="21"/>
          <w:highlight w:val="none"/>
          <w:lang w:eastAsia="zh-CN"/>
        </w:rPr>
      </w:pPr>
      <w:r>
        <w:rPr>
          <w:rFonts w:hint="eastAsia" w:ascii="宋体" w:hAnsi="宋体" w:cs="Times New Roman"/>
          <w:b/>
          <w:bCs w:val="0"/>
          <w:color w:val="auto"/>
          <w:szCs w:val="21"/>
          <w:highlight w:val="none"/>
          <w:lang w:eastAsia="zh-CN"/>
        </w:rPr>
        <w:t>（一）系统软件</w:t>
      </w:r>
      <w:r>
        <w:rPr>
          <w:rFonts w:hint="eastAsia" w:ascii="宋体" w:hAnsi="宋体" w:eastAsia="宋体" w:cs="Times New Roman"/>
          <w:b/>
          <w:bCs w:val="0"/>
          <w:color w:val="auto"/>
          <w:szCs w:val="21"/>
          <w:highlight w:val="none"/>
          <w:lang w:eastAsia="zh-CN"/>
        </w:rPr>
        <w:t>验收</w:t>
      </w:r>
    </w:p>
    <w:p w14:paraId="516F2844">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val="en-US" w:eastAsia="zh-CN"/>
        </w:rPr>
        <w:t>1.</w:t>
      </w:r>
      <w:r>
        <w:rPr>
          <w:rFonts w:hint="eastAsia" w:ascii="宋体" w:hAnsi="宋体" w:eastAsia="宋体" w:cs="Times New Roman"/>
          <w:bCs/>
          <w:color w:val="auto"/>
          <w:szCs w:val="21"/>
          <w:highlight w:val="none"/>
          <w:lang w:eastAsia="zh-CN"/>
        </w:rPr>
        <w:t>功能验收标准</w:t>
      </w:r>
    </w:p>
    <w:p w14:paraId="39338B78">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w:t>
      </w:r>
      <w:r>
        <w:rPr>
          <w:rFonts w:hint="eastAsia" w:ascii="宋体" w:hAnsi="宋体" w:cs="Times New Roman"/>
          <w:bCs/>
          <w:color w:val="auto"/>
          <w:szCs w:val="21"/>
          <w:highlight w:val="none"/>
          <w:lang w:eastAsia="zh-CN"/>
        </w:rPr>
        <w:t>）项目采购文件中列出的</w:t>
      </w:r>
      <w:r>
        <w:rPr>
          <w:rFonts w:hint="eastAsia" w:ascii="宋体" w:hAnsi="宋体" w:eastAsia="宋体" w:cs="Times New Roman"/>
          <w:bCs/>
          <w:color w:val="auto"/>
          <w:szCs w:val="21"/>
          <w:highlight w:val="none"/>
          <w:lang w:eastAsia="zh-CN"/>
        </w:rPr>
        <w:t>所有升级需求的新增功能点、优化功能点均已实现,无遗漏;升级前软件存在的缺陷已完成修复,原有核心功能无因升级导致的功能缺失、异常。功能操作流程符合升级设计要求,逻辑清晰、合理,新增功能与原有功能衔接流畅。</w:t>
      </w:r>
    </w:p>
    <w:p w14:paraId="42C19094">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2</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功能操作过程中无异常现象,如无报错、闪退、死机等情况,点击按钮、输入数据、提交请求等操作均能正常响应,且响应结果准确无误。</w:t>
      </w:r>
    </w:p>
    <w:p w14:paraId="0F576FEB">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3</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升级后软件各模块间数据交互准确、流畅,尤其是新增功能与原有功能模块间的数据联动无异常;历史数据迁移完整,无数据不一致、丢失、篡改等问题,历史数据与新增数据可正常关联查询、统计。</w:t>
      </w:r>
    </w:p>
    <w:p w14:paraId="16A85FDB">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4</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自定义功能(如自定义报表、自定义业务流程等)满足用户个性化需求,用户可根据实际业务场景灵活配置,且配置后的功能能正常运行。</w:t>
      </w:r>
    </w:p>
    <w:p w14:paraId="43D9C572">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val="en-US" w:eastAsia="zh-CN"/>
        </w:rPr>
        <w:t>2.</w:t>
      </w:r>
      <w:r>
        <w:rPr>
          <w:rFonts w:hint="eastAsia" w:ascii="宋体" w:hAnsi="宋体" w:eastAsia="宋体" w:cs="Times New Roman"/>
          <w:bCs/>
          <w:color w:val="auto"/>
          <w:szCs w:val="21"/>
          <w:highlight w:val="none"/>
          <w:lang w:eastAsia="zh-CN"/>
        </w:rPr>
        <w:t>性能验收指标</w:t>
      </w:r>
    </w:p>
    <w:p w14:paraId="44178635">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5</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响应时间:在标准测试环境下(硬件配置:CPUIntelCorei7-10700K、内存16GB、硬盘 SSD1TB;网络带宽 100Mbps),单用户操作新增/优化功能的平均响应时间不超过 1.5 秒,95%以上的操作响应时间不超过 2.5 秒;在</w:t>
      </w:r>
      <w:r>
        <w:rPr>
          <w:rFonts w:hint="eastAsia" w:ascii="宋体" w:hAnsi="宋体" w:eastAsia="宋体" w:cs="Times New Roman"/>
          <w:bCs/>
          <w:color w:val="auto"/>
          <w:szCs w:val="21"/>
          <w:highlight w:val="none"/>
          <w:lang w:val="en-US" w:eastAsia="zh-CN"/>
        </w:rPr>
        <w:t>100</w:t>
      </w:r>
      <w:r>
        <w:rPr>
          <w:rFonts w:hint="eastAsia" w:ascii="宋体" w:hAnsi="宋体" w:eastAsia="宋体" w:cs="Times New Roman"/>
          <w:bCs/>
          <w:color w:val="auto"/>
          <w:szCs w:val="21"/>
          <w:highlight w:val="none"/>
          <w:lang w:eastAsia="zh-CN"/>
        </w:rPr>
        <w:t>名用户并发操作升级核心业务模块时,平均响应时间不超过 4 秒,95%以上的并发操作响应时间不超过 6 秒;相较于升级前响应时间提升不低于</w:t>
      </w:r>
      <w:r>
        <w:rPr>
          <w:rFonts w:hint="eastAsia" w:ascii="宋体" w:hAnsi="宋体" w:eastAsia="宋体" w:cs="Times New Roman"/>
          <w:bCs/>
          <w:color w:val="auto"/>
          <w:szCs w:val="21"/>
          <w:highlight w:val="none"/>
          <w:lang w:val="en-US" w:eastAsia="zh-CN"/>
        </w:rPr>
        <w:t>20</w:t>
      </w:r>
      <w:r>
        <w:rPr>
          <w:rFonts w:hint="eastAsia" w:ascii="宋体" w:hAnsi="宋体" w:eastAsia="宋体" w:cs="Times New Roman"/>
          <w:bCs/>
          <w:color w:val="auto"/>
          <w:szCs w:val="21"/>
          <w:highlight w:val="none"/>
          <w:lang w:eastAsia="zh-CN"/>
        </w:rPr>
        <w:t>%。</w:t>
      </w:r>
    </w:p>
    <w:p w14:paraId="2A55C028">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6</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并发用户数:通过专业性能测试工具(如 JMeter)模拟</w:t>
      </w:r>
      <w:r>
        <w:rPr>
          <w:rFonts w:hint="eastAsia" w:ascii="宋体" w:hAnsi="宋体" w:cs="Times New Roman"/>
          <w:bCs/>
          <w:color w:val="auto"/>
          <w:szCs w:val="21"/>
          <w:highlight w:val="none"/>
          <w:lang w:val="en-US" w:eastAsia="zh-CN"/>
        </w:rPr>
        <w:t>200</w:t>
      </w:r>
      <w:r>
        <w:rPr>
          <w:rFonts w:hint="eastAsia" w:ascii="宋体" w:hAnsi="宋体" w:eastAsia="宋体" w:cs="Times New Roman"/>
          <w:bCs/>
          <w:color w:val="auto"/>
          <w:szCs w:val="21"/>
          <w:highlight w:val="none"/>
          <w:lang w:eastAsia="zh-CN"/>
        </w:rPr>
        <w:t>名用户同时进行新增功能操作、原有功能优化后操作、数据查询等操作,系统运行稳定,无请求超时、数据错误等情况,各项性能指标(CPU 利用率、内存占用、网络吞吐量)在合理范围内,且性能表现优于升级前。</w:t>
      </w:r>
    </w:p>
    <w:p w14:paraId="42B73CF1">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7</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数据处理能力:对 1000 条历史数据进行迁移测试,迁移成功率达到 100%;对 10000 条新增测试数据进行导入、查询、统计分析等操作,数据导入成功率达到 100%,数据查询准确率达到 100%,统计分析结果与预期结果一致;完成所有操作的总时间不超过 10 分钟,相较于升级前效率提升不低于 50%。</w:t>
      </w:r>
    </w:p>
    <w:p w14:paraId="36CA9BDC">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8</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系统稳定性:在连续 24 小时的稳定性测试中,系统持续运行正常,无宕机、重启现象;同时模拟升级全流程测试,升级过程顺利,无数据丢失、系统异常中断等情况,升级后各项功能正常可用,数据完整。</w:t>
      </w:r>
    </w:p>
    <w:p w14:paraId="619CDF5D">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9</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资源占用:在满负荷运行(50 名用户并发操作)情况下,CPU 利用率平均不超过 75%,峰值不超过 85%;内存占用平均不超过系统总内存的 65%,峰值不超过 75%;硬盘 I/O 读写速度稳定,无明显瓶颈,资源占用相较于升级前有合理优化。</w:t>
      </w:r>
    </w:p>
    <w:p w14:paraId="4BECB6B6">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val="en-US" w:eastAsia="zh-CN"/>
        </w:rPr>
        <w:t>3.</w:t>
      </w:r>
      <w:r>
        <w:rPr>
          <w:rFonts w:hint="eastAsia" w:ascii="宋体" w:hAnsi="宋体" w:eastAsia="宋体" w:cs="Times New Roman"/>
          <w:bCs/>
          <w:color w:val="auto"/>
          <w:szCs w:val="21"/>
          <w:highlight w:val="none"/>
          <w:lang w:eastAsia="zh-CN"/>
        </w:rPr>
        <w:t>安全性验收标准</w:t>
      </w:r>
    </w:p>
    <w:p w14:paraId="62AB26BA">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10</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数据迁移安全:通过数据库查询工具核查历史数据迁移情况,确认历史数据完整、无篡改;检查敏感数据存储状态,确认仍采用不可逆加密算法(如SHA-256)进行加密存储;使用网络抓包工具(如 Wireshark)捕获升级过程中数据传输数据包,确认数据传输采用加密协议,无明文传输。</w:t>
      </w:r>
    </w:p>
    <w:p w14:paraId="25C348CA">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11</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权限控制:创建不同角色(如管理员、普通用户、访客)的测试账号,分别登录系统后尝试访问超出自身权限的功能模块和数据,验证系统能有效拦截越权操作,且给出明确的权限不足提示信息。</w:t>
      </w:r>
    </w:p>
    <w:p w14:paraId="4B6166E8">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12</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防攻击能力:使用专业的网络安全测试工具(如 OWASPZAP)对升级后的软件进行全面安全测试,重点测试新增功能模块、新增接口的防攻击能力,包括 SQL 注入、XSS 跨站脚本攻击、CSRF 跨站请求伪造等常见攻击测试;同时验证升级包的安全性,确保无恶意代码植入,系统能有效抵御攻击,无安全漏洞被利用导致系统异常或数据泄露的情况。</w:t>
      </w:r>
    </w:p>
    <w:p w14:paraId="2708B2BD">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13</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数据安全:按照文档要求进行数据备份操作,备份过程顺利,备份文件大小、格式符合预期;随后进行数据恢复操作,恢复后检查数据的完整性和准确性,确认所有数据(包括结构化数据和非结构化数据)均能正常恢复,且数据内容与备份前一致。</w:t>
      </w:r>
    </w:p>
    <w:p w14:paraId="36C37013">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val="en-US" w:eastAsia="zh-CN"/>
        </w:rPr>
        <w:t>4.</w:t>
      </w:r>
      <w:r>
        <w:rPr>
          <w:rFonts w:hint="eastAsia" w:ascii="宋体" w:hAnsi="宋体" w:eastAsia="宋体" w:cs="Times New Roman"/>
          <w:bCs/>
          <w:color w:val="auto"/>
          <w:szCs w:val="21"/>
          <w:highlight w:val="none"/>
          <w:lang w:eastAsia="zh-CN"/>
        </w:rPr>
        <w:t>兼容性验收标准</w:t>
      </w:r>
    </w:p>
    <w:p w14:paraId="73D5EFEC">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14</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操 作 系 统 兼 容 性 : 在 升 级 前 适 配 的 操 作 系 统 版 本 ( 如Windows10Professional64 位、LinuxCentOS7.964 位)及升级后新增适配的操作系统版本(如 Windows11Professional64 位、LinuxCentOS8.564 位)上分别安装部署升级后软件,所有新增功能、原有功能均能正常启动和运行,无功能异常、界面错乱等问题;同时验证升级过程在各操作系统版本上的平滑性,无升级失败、中断等情况。</w:t>
      </w:r>
    </w:p>
    <w:p w14:paraId="1469E523">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15</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浏 览 器 兼 容 性 : 在 Chrome110.0.5481.178 、 Firefox110.0.1 、Edge110.0.1587.57、Safari16.3 浏览器上访问 Web 版软件,界面显示正常(无文字重叠、图片变形、控件错位等),所有功能操作正常,响应结果准确。</w:t>
      </w:r>
    </w:p>
    <w:p w14:paraId="4393696C">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16</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数据库兼容性:分别在升级前适配的数据库版本(如 MySQL8.0.32、Oracle12cRelease2)及升级后新增适配的数据库版本上部署升级后软件,软件能正常连接数据库,历史数据正常读取、写入,新增数据存储格式正确;数据迁移过程在各数据库版本上均能顺利完成,无数据格式不兼容、迁移失败等问题。</w:t>
      </w:r>
    </w:p>
    <w:p w14:paraId="7C6938D2">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17</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接口兼容性:与相关联的外部系统(如 ERP 系统、CRM 系统)进行对接测试,验证升级后软件接口与原有接口的兼容性,确保数据传输格式不变、交互逻辑正常;同时测试新增接口的对接能力,数据传输准确、完整,无数据丢失、格式错误等问题,接口调用成功率达到 100%,无因升级导致的系统集成中断。</w:t>
      </w:r>
    </w:p>
    <w:p w14:paraId="2FB90B47">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val="en-US" w:eastAsia="zh-CN"/>
        </w:rPr>
        <w:t>5.</w:t>
      </w:r>
      <w:r>
        <w:rPr>
          <w:rFonts w:hint="eastAsia" w:ascii="宋体" w:hAnsi="宋体" w:eastAsia="宋体" w:cs="Times New Roman"/>
          <w:bCs/>
          <w:color w:val="auto"/>
          <w:szCs w:val="21"/>
          <w:highlight w:val="none"/>
          <w:lang w:eastAsia="zh-CN"/>
        </w:rPr>
        <w:t>文档资料验收标准</w:t>
      </w:r>
    </w:p>
    <w:p w14:paraId="15EEFB9A">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18</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文档完整性:开发方提供的软件升级相关文档资料种类齐全,无缺失,包括升级需求规格说明书、升级方案文档、数据迁移报告等核心升级文档;原有文档的更新版本完整,补充了升级相关的所有关键信息,如新增功能设计说明、升级操作步骤等,无关键信息遗漏。</w:t>
      </w:r>
    </w:p>
    <w:p w14:paraId="040A6A36">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19</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文档准确性:升级相关文档内容与升级后软件实际情况一致,无矛盾、错误信息,如升级方案文档中的升级步骤准确可行,按照步骤能顺利完成升级;数据迁移报告中的迁移结果与实际迁移情况相符;用户操作手册中新增功能的操作步骤准确,原有功能优化说明清晰,符合软件实际状态。</w:t>
      </w:r>
    </w:p>
    <w:p w14:paraId="092510F5">
      <w:pPr>
        <w:numPr>
          <w:ilvl w:val="0"/>
          <w:numId w:val="0"/>
        </w:numPr>
        <w:spacing w:line="44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cs="Times New Roman"/>
          <w:bCs/>
          <w:color w:val="auto"/>
          <w:szCs w:val="21"/>
          <w:highlight w:val="none"/>
          <w:lang w:eastAsia="zh-CN"/>
        </w:rPr>
        <w:t>（</w:t>
      </w:r>
      <w:r>
        <w:rPr>
          <w:rFonts w:hint="eastAsia" w:ascii="宋体" w:hAnsi="宋体" w:cs="Times New Roman"/>
          <w:bCs/>
          <w:color w:val="auto"/>
          <w:szCs w:val="21"/>
          <w:highlight w:val="none"/>
          <w:lang w:val="en-US" w:eastAsia="zh-CN"/>
        </w:rPr>
        <w:t>20</w:t>
      </w:r>
      <w:r>
        <w:rPr>
          <w:rFonts w:hint="eastAsia" w:ascii="宋体" w:hAnsi="宋体" w:cs="Times New Roman"/>
          <w:bCs/>
          <w:color w:val="auto"/>
          <w:szCs w:val="21"/>
          <w:highlight w:val="none"/>
          <w:lang w:eastAsia="zh-CN"/>
        </w:rPr>
        <w:t>）</w:t>
      </w:r>
      <w:r>
        <w:rPr>
          <w:rFonts w:hint="eastAsia" w:ascii="宋体" w:hAnsi="宋体" w:eastAsia="宋体" w:cs="Times New Roman"/>
          <w:bCs/>
          <w:color w:val="auto"/>
          <w:szCs w:val="21"/>
          <w:highlight w:val="none"/>
          <w:lang w:eastAsia="zh-CN"/>
        </w:rPr>
        <w:t>文档规范性:文档格式统一、规范,符合行业相关标准或双方约定的文档模板要求,如文档字体、字号、行距、页码、目录格式统一,章节划分清晰,图表编号规范,语言表达简洁、准确、专业,无错别字、语病。</w:t>
      </w:r>
    </w:p>
    <w:p w14:paraId="033884EE">
      <w:pPr>
        <w:numPr>
          <w:ilvl w:val="0"/>
          <w:numId w:val="0"/>
        </w:numPr>
        <w:spacing w:line="440" w:lineRule="exact"/>
        <w:ind w:firstLine="422" w:firstLineChars="200"/>
        <w:rPr>
          <w:rFonts w:hint="eastAsia" w:ascii="宋体" w:hAnsi="宋体" w:eastAsia="宋体" w:cs="Times New Roman"/>
          <w:b/>
          <w:bCs w:val="0"/>
          <w:color w:val="auto"/>
          <w:szCs w:val="21"/>
          <w:highlight w:val="none"/>
          <w:lang w:val="en-US" w:eastAsia="zh-CN"/>
        </w:rPr>
      </w:pPr>
      <w:r>
        <w:rPr>
          <w:rFonts w:hint="eastAsia" w:ascii="宋体" w:hAnsi="宋体" w:cs="Times New Roman"/>
          <w:b/>
          <w:bCs w:val="0"/>
          <w:color w:val="auto"/>
          <w:szCs w:val="21"/>
          <w:highlight w:val="none"/>
          <w:lang w:val="en-US" w:eastAsia="zh-CN"/>
        </w:rPr>
        <w:t>（二）</w:t>
      </w:r>
      <w:r>
        <w:rPr>
          <w:rFonts w:hint="eastAsia" w:ascii="宋体" w:hAnsi="宋体" w:eastAsia="宋体" w:cs="Times New Roman"/>
          <w:b/>
          <w:bCs w:val="0"/>
          <w:color w:val="auto"/>
          <w:szCs w:val="21"/>
          <w:highlight w:val="none"/>
          <w:lang w:val="en-US" w:eastAsia="zh-CN"/>
        </w:rPr>
        <w:t>数据清理验收</w:t>
      </w:r>
    </w:p>
    <w:p w14:paraId="4EFFCD2D">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w:t>
      </w:r>
      <w:r>
        <w:rPr>
          <w:rFonts w:hint="default" w:ascii="宋体" w:hAnsi="宋体" w:eastAsia="宋体" w:cs="Times New Roman"/>
          <w:bCs/>
          <w:color w:val="auto"/>
          <w:szCs w:val="21"/>
          <w:highlight w:val="none"/>
          <w:lang w:val="en-US" w:eastAsia="zh-CN"/>
        </w:rPr>
        <w:t>数据质量验收标准</w:t>
      </w:r>
    </w:p>
    <w:p w14:paraId="0DB1B6B7">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w:t>
      </w:r>
      <w:r>
        <w:rPr>
          <w:rFonts w:hint="default" w:ascii="宋体" w:hAnsi="宋体" w:eastAsia="宋体" w:cs="Times New Roman"/>
          <w:bCs/>
          <w:color w:val="auto"/>
          <w:szCs w:val="21"/>
          <w:highlight w:val="none"/>
          <w:lang w:val="en-US" w:eastAsia="zh-CN"/>
        </w:rPr>
        <w:t>准确性标准:以不动产登记现势权属数据为基准，完成小区、楼栋、单元、户室、产权人、建筑面积、房屋用途等全部房屋基础信息逐条比对校验</w:t>
      </w:r>
      <w:r>
        <w:rPr>
          <w:rFonts w:hint="eastAsia" w:ascii="宋体" w:hAnsi="宋体" w:cs="Times New Roman"/>
          <w:bCs/>
          <w:color w:val="auto"/>
          <w:szCs w:val="21"/>
          <w:highlight w:val="none"/>
          <w:lang w:val="en-US" w:eastAsia="zh-CN"/>
        </w:rPr>
        <w:t>补录修正，实现</w:t>
      </w:r>
      <w:r>
        <w:rPr>
          <w:rFonts w:hint="default" w:ascii="宋体" w:hAnsi="宋体" w:eastAsia="宋体" w:cs="Times New Roman"/>
          <w:bCs/>
          <w:color w:val="auto"/>
          <w:szCs w:val="21"/>
          <w:highlight w:val="none"/>
          <w:lang w:val="en-US" w:eastAsia="zh-CN"/>
        </w:rPr>
        <w:t>平台房屋基础数据</w:t>
      </w:r>
      <w:r>
        <w:rPr>
          <w:rFonts w:hint="eastAsia" w:ascii="宋体" w:hAnsi="宋体" w:cs="Times New Roman"/>
          <w:bCs/>
          <w:color w:val="auto"/>
          <w:szCs w:val="21"/>
          <w:highlight w:val="none"/>
          <w:lang w:val="en-US" w:eastAsia="zh-CN"/>
        </w:rPr>
        <w:t>与不动产现势权属数据一致性、</w:t>
      </w:r>
      <w:r>
        <w:rPr>
          <w:rFonts w:hint="default" w:ascii="宋体" w:hAnsi="宋体" w:eastAsia="宋体" w:cs="Times New Roman"/>
          <w:bCs/>
          <w:color w:val="auto"/>
          <w:szCs w:val="21"/>
          <w:highlight w:val="none"/>
          <w:lang w:val="en-US" w:eastAsia="zh-CN"/>
        </w:rPr>
        <w:t>标准化、统一化</w:t>
      </w:r>
      <w:r>
        <w:rPr>
          <w:rFonts w:hint="eastAsia" w:ascii="宋体" w:hAnsi="宋体" w:cs="Times New Roman"/>
          <w:bCs/>
          <w:color w:val="auto"/>
          <w:szCs w:val="21"/>
          <w:highlight w:val="none"/>
          <w:lang w:val="en-US" w:eastAsia="zh-CN"/>
        </w:rPr>
        <w:t>；以财务会计凭证、会计账目为基准，完成历年资金交存、退款、项目使用、业主分摊、划拨等全链条业务数据全面核查梳理补录修正，实现平台业务台账数据与财务会计数据一一对应、完全匹配、账账相符。</w:t>
      </w:r>
      <w:r>
        <w:rPr>
          <w:rFonts w:hint="default" w:ascii="宋体" w:hAnsi="宋体" w:eastAsia="宋体" w:cs="Times New Roman"/>
          <w:bCs/>
          <w:color w:val="auto"/>
          <w:szCs w:val="21"/>
          <w:highlight w:val="none"/>
          <w:lang w:val="en-US" w:eastAsia="zh-CN"/>
        </w:rPr>
        <w:t>通过抽样核查(抽样比例不低于 5%,且抽样数量不低于 1000</w:t>
      </w:r>
      <w:r>
        <w:rPr>
          <w:rFonts w:hint="eastAsia" w:ascii="宋体" w:hAnsi="宋体" w:cs="Times New Roman"/>
          <w:bCs/>
          <w:color w:val="auto"/>
          <w:szCs w:val="21"/>
          <w:highlight w:val="none"/>
          <w:lang w:val="en-US" w:eastAsia="zh-CN"/>
        </w:rPr>
        <w:t>0</w:t>
      </w:r>
      <w:r>
        <w:rPr>
          <w:rFonts w:hint="default" w:ascii="宋体" w:hAnsi="宋体" w:eastAsia="宋体" w:cs="Times New Roman"/>
          <w:bCs/>
          <w:color w:val="auto"/>
          <w:szCs w:val="21"/>
          <w:highlight w:val="none"/>
          <w:lang w:val="en-US" w:eastAsia="zh-CN"/>
        </w:rPr>
        <w:t>条),清理后数据错误率不超过 0.1%;关键业务字段(如不动产单元代码</w:t>
      </w:r>
      <w:r>
        <w:rPr>
          <w:rFonts w:hint="eastAsia" w:ascii="宋体" w:hAnsi="宋体" w:cs="Times New Roman"/>
          <w:bCs/>
          <w:color w:val="auto"/>
          <w:szCs w:val="21"/>
          <w:highlight w:val="none"/>
          <w:lang w:val="en-US" w:eastAsia="zh-CN"/>
        </w:rPr>
        <w:t>、门户号、面积、用途、产权人姓名</w:t>
      </w:r>
      <w:r>
        <w:rPr>
          <w:rFonts w:hint="default" w:ascii="宋体" w:hAnsi="宋体" w:eastAsia="宋体" w:cs="Times New Roman"/>
          <w:bCs/>
          <w:color w:val="auto"/>
          <w:szCs w:val="21"/>
          <w:highlight w:val="none"/>
          <w:lang w:val="en-US" w:eastAsia="zh-CN"/>
        </w:rPr>
        <w:t>、身份证号、</w:t>
      </w:r>
      <w:r>
        <w:rPr>
          <w:rFonts w:hint="eastAsia" w:ascii="宋体" w:hAnsi="宋体" w:cs="Times New Roman"/>
          <w:bCs/>
          <w:color w:val="auto"/>
          <w:szCs w:val="21"/>
          <w:highlight w:val="none"/>
          <w:lang w:val="en-US" w:eastAsia="zh-CN"/>
        </w:rPr>
        <w:t>金额</w:t>
      </w:r>
      <w:r>
        <w:rPr>
          <w:rFonts w:hint="default" w:ascii="宋体" w:hAnsi="宋体" w:eastAsia="宋体" w:cs="Times New Roman"/>
          <w:bCs/>
          <w:color w:val="auto"/>
          <w:szCs w:val="21"/>
          <w:highlight w:val="none"/>
          <w:lang w:val="en-US" w:eastAsia="zh-CN"/>
        </w:rPr>
        <w:t>等)错误</w:t>
      </w:r>
      <w:r>
        <w:rPr>
          <w:rFonts w:hint="eastAsia" w:ascii="宋体" w:hAnsi="宋体" w:cs="Times New Roman"/>
          <w:bCs/>
          <w:color w:val="auto"/>
          <w:szCs w:val="21"/>
          <w:highlight w:val="none"/>
          <w:lang w:val="en-US" w:eastAsia="zh-CN"/>
        </w:rPr>
        <w:t>补录</w:t>
      </w:r>
      <w:r>
        <w:rPr>
          <w:rFonts w:hint="default" w:ascii="宋体" w:hAnsi="宋体" w:eastAsia="宋体" w:cs="Times New Roman"/>
          <w:bCs/>
          <w:color w:val="auto"/>
          <w:szCs w:val="21"/>
          <w:highlight w:val="none"/>
          <w:lang w:val="en-US" w:eastAsia="zh-CN"/>
        </w:rPr>
        <w:t>修正准确率达到 100%。</w:t>
      </w:r>
    </w:p>
    <w:p w14:paraId="1137B1E1">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（2）</w:t>
      </w:r>
      <w:r>
        <w:rPr>
          <w:rFonts w:hint="default" w:ascii="宋体" w:hAnsi="宋体" w:eastAsia="宋体" w:cs="Times New Roman"/>
          <w:bCs/>
          <w:color w:val="auto"/>
          <w:szCs w:val="21"/>
          <w:highlight w:val="none"/>
          <w:lang w:val="en-US" w:eastAsia="zh-CN"/>
        </w:rPr>
        <w:t>完整性标准:核心必填字段(不动产单元代码</w:t>
      </w:r>
      <w:r>
        <w:rPr>
          <w:rFonts w:hint="eastAsia" w:ascii="宋体" w:hAnsi="宋体" w:cs="Times New Roman"/>
          <w:bCs/>
          <w:color w:val="auto"/>
          <w:szCs w:val="21"/>
          <w:highlight w:val="none"/>
          <w:lang w:val="en-US" w:eastAsia="zh-CN"/>
        </w:rPr>
        <w:t>、门户号、面积、用途、产权人姓名</w:t>
      </w:r>
      <w:r>
        <w:rPr>
          <w:rFonts w:hint="default" w:ascii="宋体" w:hAnsi="宋体" w:eastAsia="宋体" w:cs="Times New Roman"/>
          <w:bCs/>
          <w:color w:val="auto"/>
          <w:szCs w:val="21"/>
          <w:highlight w:val="none"/>
          <w:lang w:val="en-US" w:eastAsia="zh-CN"/>
        </w:rPr>
        <w:t>、身份证号、</w:t>
      </w:r>
      <w:r>
        <w:rPr>
          <w:rFonts w:hint="eastAsia" w:ascii="宋体" w:hAnsi="宋体" w:cs="Times New Roman"/>
          <w:bCs/>
          <w:color w:val="auto"/>
          <w:szCs w:val="21"/>
          <w:highlight w:val="none"/>
          <w:lang w:val="en-US" w:eastAsia="zh-CN"/>
        </w:rPr>
        <w:t>金额</w:t>
      </w:r>
      <w:r>
        <w:rPr>
          <w:rFonts w:hint="default" w:ascii="宋体" w:hAnsi="宋体" w:eastAsia="宋体" w:cs="Times New Roman"/>
          <w:bCs/>
          <w:color w:val="auto"/>
          <w:szCs w:val="21"/>
          <w:highlight w:val="none"/>
          <w:lang w:val="en-US" w:eastAsia="zh-CN"/>
        </w:rPr>
        <w:t>等)缺失率为 0;非核心字段缺失率不超过 0.5%;数据记录无缺失关键业务环节信息,能够完整反映业务全貌。</w:t>
      </w:r>
    </w:p>
    <w:p w14:paraId="701B49D9">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（3）</w:t>
      </w:r>
      <w:r>
        <w:rPr>
          <w:rFonts w:hint="default" w:ascii="宋体" w:hAnsi="宋体" w:eastAsia="宋体" w:cs="Times New Roman"/>
          <w:bCs/>
          <w:color w:val="auto"/>
          <w:szCs w:val="21"/>
          <w:highlight w:val="none"/>
          <w:lang w:val="en-US" w:eastAsia="zh-CN"/>
        </w:rPr>
        <w:t>唯一性标准:通过数据查重工具全面核查,重复数据去重率达到 100%;同一数据主体(如同一用户、同一订单)在数据集内无重复记录;跨表关联数据无重复关联关系。</w:t>
      </w:r>
    </w:p>
    <w:p w14:paraId="3E6A1B12">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（4）</w:t>
      </w:r>
      <w:r>
        <w:rPr>
          <w:rFonts w:hint="default" w:ascii="宋体" w:hAnsi="宋体" w:eastAsia="宋体" w:cs="Times New Roman"/>
          <w:bCs/>
          <w:color w:val="auto"/>
          <w:szCs w:val="21"/>
          <w:highlight w:val="none"/>
          <w:lang w:val="en-US" w:eastAsia="zh-CN"/>
        </w:rPr>
        <w:t>一致性标准:完成维修资金管理平台与市不动产登记系统对接互通、数据共享及动态同步，可实现房屋新增、权属变更、信息调整等数据自动实时同步更新，保障平台房屋基础数据与不动产权威数据源长期同源一致、真实准确。数据格式统一(如日期格式统一为 YYYY-MM-DD、金额格式保留 2 位小数等);编码规则一致(如用户类型编码、业务类型编码符合企业统一编码规范);跨系统、跨数据表关联字段取值一致,无逻辑矛盾;数据单位统一,无单位混淆问题。</w:t>
      </w:r>
    </w:p>
    <w:p w14:paraId="236FACCB">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（5）</w:t>
      </w:r>
      <w:r>
        <w:rPr>
          <w:rFonts w:hint="default" w:ascii="宋体" w:hAnsi="宋体" w:eastAsia="宋体" w:cs="Times New Roman"/>
          <w:bCs/>
          <w:color w:val="auto"/>
          <w:szCs w:val="21"/>
          <w:highlight w:val="none"/>
          <w:lang w:val="en-US" w:eastAsia="zh-CN"/>
        </w:rPr>
        <w:t>有效性标准:数据取值符合业务规则约束(如交易金额大于 0、年龄在合理区间内等);无效数据(如无效编码、过期数据、格式错误无法修正的数据)已全部剔除,剔除率达到 100%;数据状态符合业务实际,无无效状态数据。</w:t>
      </w:r>
    </w:p>
    <w:p w14:paraId="36E1B806">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（6）</w:t>
      </w:r>
      <w:r>
        <w:rPr>
          <w:rFonts w:hint="default" w:ascii="宋体" w:hAnsi="宋体" w:eastAsia="宋体" w:cs="Times New Roman"/>
          <w:bCs/>
          <w:color w:val="auto"/>
          <w:szCs w:val="21"/>
          <w:highlight w:val="none"/>
          <w:lang w:val="en-US" w:eastAsia="zh-CN"/>
        </w:rPr>
        <w:t>安全性标准:敏感数据(如身份证号、银行卡号、手机号等)已按规定完成脱敏或加密处理,脱敏后数据无法还原原始敏感信息;敏感数据处理符合《数据安全法》《个人信息保护法》等相关法规要求;无敏感数据泄露、篡改记录。</w:t>
      </w:r>
    </w:p>
    <w:p w14:paraId="74DED9E1">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2.</w:t>
      </w:r>
      <w:r>
        <w:rPr>
          <w:rFonts w:hint="default" w:ascii="宋体" w:hAnsi="宋体" w:eastAsia="宋体" w:cs="Times New Roman"/>
          <w:bCs/>
          <w:color w:val="auto"/>
          <w:szCs w:val="21"/>
          <w:highlight w:val="none"/>
          <w:lang w:val="en-US" w:eastAsia="zh-CN"/>
        </w:rPr>
        <w:t>流程合规性验收标准</w:t>
      </w:r>
    </w:p>
    <w:p w14:paraId="3EA6BAD8">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（7）</w:t>
      </w:r>
      <w:r>
        <w:rPr>
          <w:rFonts w:hint="default" w:ascii="宋体" w:hAnsi="宋体" w:eastAsia="宋体" w:cs="Times New Roman"/>
          <w:bCs/>
          <w:color w:val="auto"/>
          <w:szCs w:val="21"/>
          <w:highlight w:val="none"/>
          <w:lang w:val="en-US" w:eastAsia="zh-CN"/>
        </w:rPr>
        <w:t>流程完整性:数据清理全过程完整覆盖数据探查、规则定义、清理执行、结果校验、数据备份等预设环节,每个环节均有明确的执行记录,无流程缺失或跳步操作。</w:t>
      </w:r>
    </w:p>
    <w:p w14:paraId="242ABF0C">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（8）</w:t>
      </w:r>
      <w:r>
        <w:rPr>
          <w:rFonts w:hint="default" w:ascii="宋体" w:hAnsi="宋体" w:eastAsia="宋体" w:cs="Times New Roman"/>
          <w:bCs/>
          <w:color w:val="auto"/>
          <w:szCs w:val="21"/>
          <w:highlight w:val="none"/>
          <w:lang w:val="en-US" w:eastAsia="zh-CN"/>
        </w:rPr>
        <w:t>操作规范性:清理操作严格遵循数据清理规则手册中的标准,无违规修改、随意删除数据等操作;操作人员具备相应操作权限,操作过程经过必要的审批流程(如批量数据删除需多级审批)。</w:t>
      </w:r>
    </w:p>
    <w:p w14:paraId="091148B9">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（9）</w:t>
      </w:r>
      <w:r>
        <w:rPr>
          <w:rFonts w:hint="default" w:ascii="宋体" w:hAnsi="宋体" w:eastAsia="宋体" w:cs="Times New Roman"/>
          <w:bCs/>
          <w:color w:val="auto"/>
          <w:szCs w:val="21"/>
          <w:highlight w:val="none"/>
          <w:lang w:val="en-US" w:eastAsia="zh-CN"/>
        </w:rPr>
        <w:t>溯源完整性:数据溯源记录表完整记录每条关键数据的原始状态、清理操作内容、操作时间、操作人员、修改依据等信息,溯源信息清晰可查,能够精准追溯数据变更全流程。</w:t>
      </w:r>
    </w:p>
    <w:p w14:paraId="4C5BB498">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（10）</w:t>
      </w:r>
      <w:r>
        <w:rPr>
          <w:rFonts w:hint="default" w:ascii="宋体" w:hAnsi="宋体" w:eastAsia="宋体" w:cs="Times New Roman"/>
          <w:bCs/>
          <w:color w:val="auto"/>
          <w:szCs w:val="21"/>
          <w:highlight w:val="none"/>
          <w:lang w:val="en-US" w:eastAsia="zh-CN"/>
        </w:rPr>
        <w:t>备份与回滚有效性:原始数据备份完整,备份文件格式正确、可正常读取;回滚测试验证通过,能够在规定时间内(不超过</w:t>
      </w:r>
      <w:r>
        <w:rPr>
          <w:rFonts w:hint="eastAsia" w:ascii="宋体" w:hAnsi="宋体" w:eastAsia="宋体" w:cs="Times New Roman"/>
          <w:bCs/>
          <w:color w:val="auto"/>
          <w:szCs w:val="21"/>
          <w:highlight w:val="none"/>
          <w:lang w:val="en-US" w:eastAsia="zh-CN"/>
        </w:rPr>
        <w:t>24</w:t>
      </w:r>
      <w:r>
        <w:rPr>
          <w:rFonts w:hint="default" w:ascii="宋体" w:hAnsi="宋体" w:eastAsia="宋体" w:cs="Times New Roman"/>
          <w:bCs/>
          <w:color w:val="auto"/>
          <w:szCs w:val="21"/>
          <w:highlight w:val="none"/>
          <w:lang w:val="en-US" w:eastAsia="zh-CN"/>
        </w:rPr>
        <w:t>小时)将数据恢复至清理前状态,恢复后数据完整无丢失、无损坏。</w:t>
      </w:r>
    </w:p>
    <w:p w14:paraId="7B87CF71">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（11）</w:t>
      </w:r>
      <w:r>
        <w:rPr>
          <w:rFonts w:hint="default" w:ascii="宋体" w:hAnsi="宋体" w:eastAsia="宋体" w:cs="Times New Roman"/>
          <w:bCs/>
          <w:color w:val="auto"/>
          <w:szCs w:val="21"/>
          <w:highlight w:val="none"/>
          <w:lang w:val="en-US" w:eastAsia="zh-CN"/>
        </w:rPr>
        <w:t>安全合规性:数据清理过程中,数据传输采用 HTTPS 等加密协议,数据存储采用加密存储方式;无数据泄露、篡改、丢失等安全事件;清理过程符合企业数据管理规范及相关法律法规要求。</w:t>
      </w:r>
    </w:p>
    <w:p w14:paraId="5A4FA25D">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3.</w:t>
      </w:r>
      <w:r>
        <w:rPr>
          <w:rFonts w:hint="default" w:ascii="宋体" w:hAnsi="宋体" w:eastAsia="宋体" w:cs="Times New Roman"/>
          <w:bCs/>
          <w:color w:val="auto"/>
          <w:szCs w:val="21"/>
          <w:highlight w:val="none"/>
          <w:lang w:val="en-US" w:eastAsia="zh-CN"/>
        </w:rPr>
        <w:t>成果可用性验收标准</w:t>
      </w:r>
    </w:p>
    <w:p w14:paraId="0898D257">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（12）</w:t>
      </w:r>
      <w:r>
        <w:rPr>
          <w:rFonts w:hint="default" w:ascii="宋体" w:hAnsi="宋体" w:eastAsia="宋体" w:cs="Times New Roman"/>
          <w:bCs/>
          <w:color w:val="auto"/>
          <w:szCs w:val="21"/>
          <w:highlight w:val="none"/>
          <w:lang w:val="en-US" w:eastAsia="zh-CN"/>
        </w:rPr>
        <w:t>系统导入兼容性:清理后数据能够顺利导入</w:t>
      </w:r>
      <w:r>
        <w:rPr>
          <w:rFonts w:hint="eastAsia" w:ascii="宋体" w:hAnsi="宋体" w:cs="Times New Roman"/>
          <w:bCs/>
          <w:color w:val="auto"/>
          <w:szCs w:val="21"/>
          <w:highlight w:val="none"/>
          <w:lang w:val="en-US" w:eastAsia="zh-CN"/>
        </w:rPr>
        <w:t>物业专项维修资金管理平台</w:t>
      </w:r>
      <w:r>
        <w:rPr>
          <w:rFonts w:hint="default" w:ascii="宋体" w:hAnsi="宋体" w:eastAsia="宋体" w:cs="Times New Roman"/>
          <w:bCs/>
          <w:color w:val="auto"/>
          <w:szCs w:val="21"/>
          <w:highlight w:val="none"/>
          <w:lang w:val="en-US" w:eastAsia="zh-CN"/>
        </w:rPr>
        <w:t>,导入过程无报错、无数据丢失;导入后数据与</w:t>
      </w:r>
      <w:r>
        <w:rPr>
          <w:rFonts w:hint="eastAsia" w:ascii="宋体" w:hAnsi="宋体" w:cs="Times New Roman"/>
          <w:bCs/>
          <w:color w:val="auto"/>
          <w:szCs w:val="21"/>
          <w:highlight w:val="none"/>
          <w:lang w:val="en-US" w:eastAsia="zh-CN"/>
        </w:rPr>
        <w:t>平台</w:t>
      </w:r>
      <w:r>
        <w:rPr>
          <w:rFonts w:hint="default" w:ascii="宋体" w:hAnsi="宋体" w:eastAsia="宋体" w:cs="Times New Roman"/>
          <w:bCs/>
          <w:color w:val="auto"/>
          <w:szCs w:val="21"/>
          <w:highlight w:val="none"/>
          <w:lang w:val="en-US" w:eastAsia="zh-CN"/>
        </w:rPr>
        <w:t>数据模型完全适配,字段映射准确,无格式不兼容问题。</w:t>
      </w:r>
    </w:p>
    <w:p w14:paraId="64E19F36">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（13）</w:t>
      </w:r>
      <w:r>
        <w:rPr>
          <w:rFonts w:hint="default" w:ascii="宋体" w:hAnsi="宋体" w:eastAsia="宋体" w:cs="Times New Roman"/>
          <w:bCs/>
          <w:color w:val="auto"/>
          <w:szCs w:val="21"/>
          <w:highlight w:val="none"/>
          <w:lang w:val="en-US" w:eastAsia="zh-CN"/>
        </w:rPr>
        <w:t>业务场景适配性:选取核心业务场景(如数据</w:t>
      </w:r>
      <w:r>
        <w:rPr>
          <w:rFonts w:hint="eastAsia" w:ascii="宋体" w:hAnsi="宋体" w:cs="Times New Roman"/>
          <w:bCs/>
          <w:color w:val="auto"/>
          <w:szCs w:val="21"/>
          <w:highlight w:val="none"/>
          <w:lang w:val="en-US" w:eastAsia="zh-CN"/>
        </w:rPr>
        <w:t>查询分析</w:t>
      </w:r>
      <w:r>
        <w:rPr>
          <w:rFonts w:hint="default" w:ascii="宋体" w:hAnsi="宋体" w:eastAsia="宋体" w:cs="Times New Roman"/>
          <w:bCs/>
          <w:color w:val="auto"/>
          <w:szCs w:val="21"/>
          <w:highlight w:val="none"/>
          <w:lang w:val="en-US" w:eastAsia="zh-CN"/>
        </w:rPr>
        <w:t>、业务</w:t>
      </w:r>
      <w:r>
        <w:rPr>
          <w:rFonts w:hint="eastAsia" w:ascii="宋体" w:hAnsi="宋体" w:cs="Times New Roman"/>
          <w:bCs/>
          <w:color w:val="auto"/>
          <w:szCs w:val="21"/>
          <w:highlight w:val="none"/>
          <w:lang w:val="en-US" w:eastAsia="zh-CN"/>
        </w:rPr>
        <w:t>受理</w:t>
      </w:r>
      <w:r>
        <w:rPr>
          <w:rFonts w:hint="default" w:ascii="宋体" w:hAnsi="宋体" w:eastAsia="宋体" w:cs="Times New Roman"/>
          <w:bCs/>
          <w:color w:val="auto"/>
          <w:szCs w:val="21"/>
          <w:highlight w:val="none"/>
          <w:lang w:val="en-US" w:eastAsia="zh-CN"/>
        </w:rPr>
        <w:t>审批、报表生成等)进行验证,清理后数据能够支撑业务场景正常运行,业务流程流转顺畅,无因数据问题导致的业务中断或异常。</w:t>
      </w:r>
    </w:p>
    <w:p w14:paraId="6144E1AD">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（14）</w:t>
      </w:r>
      <w:r>
        <w:rPr>
          <w:rFonts w:hint="default" w:ascii="宋体" w:hAnsi="宋体" w:eastAsia="宋体" w:cs="Times New Roman"/>
          <w:bCs/>
          <w:color w:val="auto"/>
          <w:szCs w:val="21"/>
          <w:highlight w:val="none"/>
          <w:lang w:val="en-US" w:eastAsia="zh-CN"/>
        </w:rPr>
        <w:t>查询与分析有效性:清理后数据查询响应时间不超过 2 秒;基于清理后数据的数据分析结果准确,与业务预期一致;报表生成完整、准确,无数据缺失或错误。</w:t>
      </w:r>
    </w:p>
    <w:p w14:paraId="6F8709B7">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（15）</w:t>
      </w:r>
      <w:r>
        <w:rPr>
          <w:rFonts w:hint="default" w:ascii="宋体" w:hAnsi="宋体" w:eastAsia="宋体" w:cs="Times New Roman"/>
          <w:bCs/>
          <w:color w:val="auto"/>
          <w:szCs w:val="21"/>
          <w:highlight w:val="none"/>
          <w:lang w:val="en-US" w:eastAsia="zh-CN"/>
        </w:rPr>
        <w:t>性能适配性:清理后数据量符合</w:t>
      </w:r>
      <w:r>
        <w:rPr>
          <w:rFonts w:hint="eastAsia" w:ascii="宋体" w:hAnsi="宋体" w:cs="Times New Roman"/>
          <w:bCs/>
          <w:color w:val="auto"/>
          <w:szCs w:val="21"/>
          <w:highlight w:val="none"/>
          <w:lang w:val="en-US" w:eastAsia="zh-CN"/>
        </w:rPr>
        <w:t>物业专项维修资金管理平台</w:t>
      </w:r>
      <w:r>
        <w:rPr>
          <w:rFonts w:hint="default" w:ascii="宋体" w:hAnsi="宋体" w:eastAsia="宋体" w:cs="Times New Roman"/>
          <w:bCs/>
          <w:color w:val="auto"/>
          <w:szCs w:val="21"/>
          <w:highlight w:val="none"/>
          <w:lang w:val="en-US" w:eastAsia="zh-CN"/>
        </w:rPr>
        <w:t>性能要求,在数据查询、统计分析等操作时,</w:t>
      </w:r>
      <w:r>
        <w:rPr>
          <w:rFonts w:hint="eastAsia" w:ascii="宋体" w:hAnsi="宋体" w:cs="Times New Roman"/>
          <w:bCs/>
          <w:color w:val="auto"/>
          <w:szCs w:val="21"/>
          <w:highlight w:val="none"/>
          <w:lang w:val="en-US" w:eastAsia="zh-CN"/>
        </w:rPr>
        <w:t>平台</w:t>
      </w:r>
      <w:r>
        <w:rPr>
          <w:rFonts w:hint="default" w:ascii="宋体" w:hAnsi="宋体" w:eastAsia="宋体" w:cs="Times New Roman"/>
          <w:bCs/>
          <w:color w:val="auto"/>
          <w:szCs w:val="21"/>
          <w:highlight w:val="none"/>
          <w:lang w:val="en-US" w:eastAsia="zh-CN"/>
        </w:rPr>
        <w:t>性能无明显下降,能够满足日常业务并发访问需求。</w:t>
      </w:r>
    </w:p>
    <w:p w14:paraId="708E4176">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4.</w:t>
      </w:r>
      <w:r>
        <w:rPr>
          <w:rFonts w:hint="default" w:ascii="宋体" w:hAnsi="宋体" w:eastAsia="宋体" w:cs="Times New Roman"/>
          <w:bCs/>
          <w:color w:val="auto"/>
          <w:szCs w:val="21"/>
          <w:highlight w:val="none"/>
          <w:lang w:val="en-US" w:eastAsia="zh-CN"/>
        </w:rPr>
        <w:t>文档资料验收标准</w:t>
      </w:r>
    </w:p>
    <w:p w14:paraId="6C16EFE8">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（16）</w:t>
      </w:r>
      <w:r>
        <w:rPr>
          <w:rFonts w:hint="default" w:ascii="宋体" w:hAnsi="宋体" w:eastAsia="宋体" w:cs="Times New Roman"/>
          <w:bCs/>
          <w:color w:val="auto"/>
          <w:szCs w:val="21"/>
          <w:highlight w:val="none"/>
          <w:lang w:val="en-US" w:eastAsia="zh-CN"/>
        </w:rPr>
        <w:t>文档完整性:实施方提供的所有数据清理相关文档种类齐全,无缺失;每个文档内容完整,涵盖核心信息(如数据清理方案需明确清理范围、目标、流程等,数据探查报告需包含原始数据质量评估、问题统计等),无关键信息遗漏。</w:t>
      </w:r>
    </w:p>
    <w:p w14:paraId="444BA40A">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（17）</w:t>
      </w:r>
      <w:r>
        <w:rPr>
          <w:rFonts w:hint="default" w:ascii="宋体" w:hAnsi="宋体" w:eastAsia="宋体" w:cs="Times New Roman"/>
          <w:bCs/>
          <w:color w:val="auto"/>
          <w:szCs w:val="21"/>
          <w:highlight w:val="none"/>
          <w:lang w:val="en-US" w:eastAsia="zh-CN"/>
        </w:rPr>
        <w:t>文档准确性:文档内容与数据清理实际执行情况一致,无矛盾、错误信息;数据统计数据(如清理数据量、问题数据占比、清理效果指标等)准确无误,与验收实测结果相符;文档中涉及的规则、标准、流程等内容清晰明确,无歧义。</w:t>
      </w:r>
    </w:p>
    <w:p w14:paraId="7A521DB2">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（18）</w:t>
      </w:r>
      <w:r>
        <w:rPr>
          <w:rFonts w:hint="default" w:ascii="宋体" w:hAnsi="宋体" w:eastAsia="宋体" w:cs="Times New Roman"/>
          <w:bCs/>
          <w:color w:val="auto"/>
          <w:szCs w:val="21"/>
          <w:highlight w:val="none"/>
          <w:lang w:val="en-US" w:eastAsia="zh-CN"/>
        </w:rPr>
        <w:t>文档规范性:文档格式统一、规范,符合行业相关标准或双方约定的文档模板要求;文档字体、字号、行距、页码、目录格式统一,章节划分清晰,图表编号规范,语言表达简洁、准确、专业,无错别字、语病。</w:t>
      </w:r>
    </w:p>
    <w:p w14:paraId="5503A260">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（19）</w:t>
      </w:r>
      <w:r>
        <w:rPr>
          <w:rFonts w:hint="default" w:ascii="宋体" w:hAnsi="宋体" w:eastAsia="宋体" w:cs="Times New Roman"/>
          <w:bCs/>
          <w:color w:val="auto"/>
          <w:szCs w:val="21"/>
          <w:highlight w:val="none"/>
          <w:lang w:val="en-US" w:eastAsia="zh-CN"/>
        </w:rPr>
        <w:t>文档可用性:文档具备实际指导意义,如数据清理操作手册能够指导后续数据维护工作,数据质量验收报告能够清晰反映清理后数据质量状况;文档易于理解和查阅,便于后续业务人员、技术人员使用。</w:t>
      </w:r>
    </w:p>
    <w:p w14:paraId="20B28211">
      <w:pPr>
        <w:numPr>
          <w:ilvl w:val="0"/>
          <w:numId w:val="0"/>
        </w:numPr>
        <w:spacing w:line="440" w:lineRule="exact"/>
        <w:ind w:firstLine="422" w:firstLineChars="200"/>
        <w:rPr>
          <w:rFonts w:hint="eastAsia" w:ascii="宋体" w:hAnsi="宋体" w:eastAsia="宋体" w:cs="Times New Roman"/>
          <w:b/>
          <w:bCs w:val="0"/>
          <w:color w:val="auto"/>
          <w:szCs w:val="21"/>
          <w:highlight w:val="none"/>
          <w:lang w:val="en-US" w:eastAsia="zh-CN"/>
        </w:rPr>
      </w:pPr>
      <w:r>
        <w:rPr>
          <w:rFonts w:hint="eastAsia" w:ascii="宋体" w:hAnsi="宋体" w:cs="Times New Roman"/>
          <w:b/>
          <w:bCs w:val="0"/>
          <w:color w:val="auto"/>
          <w:szCs w:val="21"/>
          <w:highlight w:val="none"/>
          <w:lang w:val="en-US" w:eastAsia="zh-CN"/>
        </w:rPr>
        <w:t>（三）</w:t>
      </w:r>
      <w:r>
        <w:rPr>
          <w:rFonts w:hint="eastAsia" w:ascii="宋体" w:hAnsi="宋体" w:eastAsia="宋体" w:cs="Times New Roman"/>
          <w:b/>
          <w:bCs w:val="0"/>
          <w:color w:val="auto"/>
          <w:szCs w:val="21"/>
          <w:highlight w:val="none"/>
          <w:lang w:val="en-US" w:eastAsia="zh-CN"/>
        </w:rPr>
        <w:t>第三方服务验收</w:t>
      </w:r>
    </w:p>
    <w:p w14:paraId="4368B9A4">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1.通过信息化创新适配改造后的物业专项维修资金管理平台</w:t>
      </w:r>
      <w:r>
        <w:rPr>
          <w:rFonts w:hint="default" w:ascii="宋体" w:hAnsi="宋体" w:eastAsia="宋体" w:cs="Times New Roman"/>
          <w:bCs/>
          <w:color w:val="auto"/>
          <w:szCs w:val="21"/>
          <w:highlight w:val="none"/>
          <w:lang w:val="en-US" w:eastAsia="zh-CN"/>
        </w:rPr>
        <w:t>须符合国家、省、市政务服务项目建设规范及信息化创新相关要求，完成应用系统全栈信创迁移适配改造，实现信创数据库、信创中间件、依赖中间件、服务接口与数据交换、终端浏览器及外设的全面适配改造，确保改造过程不影响系统业务正常运行，使用效果不降低</w:t>
      </w:r>
      <w:r>
        <w:rPr>
          <w:rFonts w:hint="eastAsia" w:ascii="宋体" w:hAnsi="宋体" w:eastAsia="宋体" w:cs="Times New Roman"/>
          <w:bCs/>
          <w:color w:val="auto"/>
          <w:szCs w:val="21"/>
          <w:highlight w:val="none"/>
          <w:lang w:val="en-US" w:eastAsia="zh-CN"/>
        </w:rPr>
        <w:t>。</w:t>
      </w:r>
    </w:p>
    <w:p w14:paraId="2A31A41D">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2.</w:t>
      </w:r>
      <w:r>
        <w:rPr>
          <w:rFonts w:hint="default" w:ascii="宋体" w:hAnsi="宋体" w:eastAsia="宋体" w:cs="Times New Roman"/>
          <w:bCs/>
          <w:color w:val="auto"/>
          <w:szCs w:val="21"/>
          <w:highlight w:val="none"/>
          <w:lang w:val="en-US" w:eastAsia="zh-CN"/>
        </w:rPr>
        <w:t>完成国产数据库适配及结构化与非结构化数据全量迁移，数据迁移方案、实施计划、应急预案齐全有效，迁移前完成全量备份，完成迁移实验、迁移实施及迁移后测试，确保迁移后数据完整、准确、一致、及时</w:t>
      </w:r>
      <w:r>
        <w:rPr>
          <w:rFonts w:hint="eastAsia" w:ascii="宋体" w:hAnsi="宋体" w:eastAsia="宋体" w:cs="Times New Roman"/>
          <w:bCs/>
          <w:color w:val="auto"/>
          <w:szCs w:val="21"/>
          <w:highlight w:val="none"/>
          <w:lang w:val="en-US" w:eastAsia="zh-CN"/>
        </w:rPr>
        <w:t>。</w:t>
      </w:r>
    </w:p>
    <w:p w14:paraId="399A20EE">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3.</w:t>
      </w:r>
      <w:r>
        <w:rPr>
          <w:rFonts w:hint="default" w:ascii="宋体" w:hAnsi="宋体" w:eastAsia="宋体" w:cs="Times New Roman"/>
          <w:bCs/>
          <w:color w:val="auto"/>
          <w:szCs w:val="21"/>
          <w:highlight w:val="none"/>
          <w:lang w:val="en-US" w:eastAsia="zh-CN"/>
        </w:rPr>
        <w:t>完成国产终端适配，系统支持在国产办公电脑、国产浏览器下正常访问与业务办理，页面及插件、组件均实现国产化适配，无兼容问题；系统功能、性能及运行稳定性满足业务使用要求，提交全套验收文档并通过试运行，所有问题闭环整改，整体达到上线运行标准。</w:t>
      </w:r>
    </w:p>
    <w:p w14:paraId="50A72979">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4.</w:t>
      </w:r>
      <w:r>
        <w:rPr>
          <w:rFonts w:hint="default" w:ascii="宋体" w:hAnsi="宋体" w:eastAsia="宋体" w:cs="Times New Roman"/>
          <w:bCs/>
          <w:color w:val="auto"/>
          <w:szCs w:val="21"/>
          <w:highlight w:val="none"/>
          <w:lang w:val="en-US" w:eastAsia="zh-CN"/>
        </w:rPr>
        <w:t>短信发送服务验收须依据平台</w:t>
      </w:r>
      <w:r>
        <w:rPr>
          <w:rFonts w:hint="eastAsia" w:ascii="宋体" w:hAnsi="宋体" w:eastAsia="宋体" w:cs="Times New Roman"/>
          <w:bCs/>
          <w:color w:val="auto"/>
          <w:szCs w:val="21"/>
          <w:highlight w:val="none"/>
          <w:lang w:val="en-US" w:eastAsia="zh-CN"/>
        </w:rPr>
        <w:t>3</w:t>
      </w:r>
      <w:r>
        <w:rPr>
          <w:rFonts w:hint="default" w:ascii="宋体" w:hAnsi="宋体" w:eastAsia="宋体" w:cs="Times New Roman"/>
          <w:bCs/>
          <w:color w:val="auto"/>
          <w:szCs w:val="21"/>
          <w:highlight w:val="none"/>
          <w:lang w:val="en-US" w:eastAsia="zh-CN"/>
        </w:rPr>
        <w:t>年免费运维期内维修资金账户余额低于30%预警业主数量、各类业务消息通知短信总发送量测算结果制定完整短信额度配置计划，按计划足额采购短信服务，保障账户余额低于 30% 预警短信、各类业务消息通知短信均能足量、准时送达，短信发送无大量延迟、漏发、发送失败情况，发送记录完整可查询、统计，短信发送功能全程稳定可用，满足项目</w:t>
      </w:r>
      <w:r>
        <w:rPr>
          <w:rFonts w:hint="eastAsia" w:ascii="宋体" w:hAnsi="宋体" w:eastAsia="宋体" w:cs="Times New Roman"/>
          <w:bCs/>
          <w:color w:val="auto"/>
          <w:szCs w:val="21"/>
          <w:highlight w:val="none"/>
          <w:lang w:val="en-US" w:eastAsia="zh-CN"/>
        </w:rPr>
        <w:t>3</w:t>
      </w:r>
      <w:r>
        <w:rPr>
          <w:rFonts w:hint="default" w:ascii="宋体" w:hAnsi="宋体" w:eastAsia="宋体" w:cs="Times New Roman"/>
          <w:bCs/>
          <w:color w:val="auto"/>
          <w:szCs w:val="21"/>
          <w:highlight w:val="none"/>
          <w:lang w:val="en-US" w:eastAsia="zh-CN"/>
        </w:rPr>
        <w:t>年运维周期内全部短信推送需求。</w:t>
      </w:r>
    </w:p>
    <w:p w14:paraId="28D6922B">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5.</w:t>
      </w:r>
      <w:r>
        <w:rPr>
          <w:rFonts w:hint="default" w:ascii="宋体" w:hAnsi="宋体" w:eastAsia="宋体" w:cs="Times New Roman"/>
          <w:bCs/>
          <w:color w:val="auto"/>
          <w:szCs w:val="21"/>
          <w:highlight w:val="none"/>
          <w:lang w:val="en-US" w:eastAsia="zh-CN"/>
        </w:rPr>
        <w:t>投标人须完整提交信息化创新建设及短信服务相关全套验收资料</w:t>
      </w:r>
      <w:r>
        <w:rPr>
          <w:rFonts w:hint="eastAsia" w:ascii="宋体" w:hAnsi="宋体" w:eastAsia="宋体" w:cs="Times New Roman"/>
          <w:bCs/>
          <w:color w:val="auto"/>
          <w:szCs w:val="21"/>
          <w:highlight w:val="none"/>
          <w:lang w:val="en-US" w:eastAsia="zh-CN"/>
        </w:rPr>
        <w:t>，</w:t>
      </w:r>
      <w:r>
        <w:rPr>
          <w:rFonts w:hint="default" w:ascii="宋体" w:hAnsi="宋体" w:eastAsia="宋体" w:cs="Times New Roman"/>
          <w:bCs/>
          <w:color w:val="auto"/>
          <w:szCs w:val="21"/>
          <w:highlight w:val="none"/>
          <w:lang w:val="en-US" w:eastAsia="zh-CN"/>
        </w:rPr>
        <w:t>信息化创新改造方面，需报送符合国家、省、市政务服务建设规范的平台建设方案、全流程信创迁移适配实施方案、国产数据库数据迁移方案（含迁移计划、应急预案、迁移前后备份与多轮测试报告）、国产终端适配测试报告、国产化组件插件清单及业务不间断运行验证材料，充分佐证信创改造、数据迁移、国产终端适配后系统运行稳定、数据完整准确一致；短信服务方面，需提供 3 年运维周期内账户余额低于 30% 预警及业务消息短信总量评估报告、短信额度配置计划、短信服务采购相关协议、短信发送保障方案、发送日志与送达校验记录，确保预警及业务通知短信按时保量推送，所有文档内容完整、数据可追溯，方可通过验收。</w:t>
      </w:r>
    </w:p>
    <w:p w14:paraId="58B218E9">
      <w:pPr>
        <w:numPr>
          <w:ilvl w:val="0"/>
          <w:numId w:val="0"/>
        </w:numPr>
        <w:spacing w:line="440" w:lineRule="exact"/>
        <w:ind w:firstLine="422" w:firstLineChars="200"/>
        <w:rPr>
          <w:rFonts w:hint="eastAsia" w:ascii="宋体" w:hAnsi="宋体" w:eastAsia="宋体" w:cs="Times New Roman"/>
          <w:b/>
          <w:bCs w:val="0"/>
          <w:color w:val="auto"/>
          <w:szCs w:val="21"/>
          <w:highlight w:val="none"/>
          <w:lang w:val="en-US" w:eastAsia="zh-CN"/>
        </w:rPr>
      </w:pPr>
      <w:r>
        <w:rPr>
          <w:rFonts w:hint="eastAsia" w:ascii="宋体" w:hAnsi="宋体" w:cs="Times New Roman"/>
          <w:b/>
          <w:bCs w:val="0"/>
          <w:color w:val="auto"/>
          <w:szCs w:val="21"/>
          <w:highlight w:val="none"/>
          <w:lang w:val="en-US" w:eastAsia="zh-CN"/>
        </w:rPr>
        <w:t>（四）</w:t>
      </w:r>
      <w:r>
        <w:rPr>
          <w:rFonts w:hint="eastAsia" w:ascii="宋体" w:hAnsi="宋体" w:eastAsia="宋体" w:cs="Times New Roman"/>
          <w:b/>
          <w:bCs w:val="0"/>
          <w:color w:val="auto"/>
          <w:szCs w:val="21"/>
          <w:highlight w:val="none"/>
          <w:lang w:val="en-US" w:eastAsia="zh-CN"/>
        </w:rPr>
        <w:t>其他</w:t>
      </w:r>
      <w:r>
        <w:rPr>
          <w:rFonts w:hint="eastAsia" w:ascii="宋体" w:hAnsi="宋体" w:cs="Times New Roman"/>
          <w:b/>
          <w:bCs w:val="0"/>
          <w:color w:val="auto"/>
          <w:szCs w:val="21"/>
          <w:highlight w:val="none"/>
          <w:lang w:val="en-US" w:eastAsia="zh-CN"/>
        </w:rPr>
        <w:t>验收标准</w:t>
      </w:r>
    </w:p>
    <w:p w14:paraId="333B8CA4">
      <w:pPr>
        <w:numPr>
          <w:ilvl w:val="0"/>
          <w:numId w:val="0"/>
        </w:numPr>
        <w:spacing w:line="440" w:lineRule="exact"/>
        <w:ind w:firstLine="420" w:firstLineChars="200"/>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 xml:space="preserve"> </w:t>
      </w:r>
      <w:r>
        <w:rPr>
          <w:rFonts w:hint="eastAsia" w:ascii="宋体" w:hAnsi="宋体" w:cs="Times New Roman"/>
          <w:bCs/>
          <w:color w:val="auto"/>
          <w:szCs w:val="21"/>
          <w:highlight w:val="none"/>
          <w:lang w:val="en" w:eastAsia="zh-CN"/>
        </w:rPr>
        <w:t>要求</w:t>
      </w:r>
      <w:r>
        <w:rPr>
          <w:rFonts w:hint="eastAsia" w:ascii="宋体" w:hAnsi="宋体" w:eastAsia="宋体" w:cs="Times New Roman"/>
          <w:bCs/>
          <w:color w:val="auto"/>
          <w:szCs w:val="21"/>
          <w:highlight w:val="none"/>
          <w:lang w:val="en" w:eastAsia="zh-CN"/>
        </w:rPr>
        <w:t>确保升级后的</w:t>
      </w:r>
      <w:r>
        <w:rPr>
          <w:rFonts w:hint="eastAsia" w:ascii="宋体" w:hAnsi="宋体" w:eastAsia="宋体" w:cs="Times New Roman"/>
          <w:bCs/>
          <w:color w:val="auto"/>
          <w:szCs w:val="21"/>
          <w:highlight w:val="none"/>
          <w:lang w:val="en-US" w:eastAsia="zh-CN"/>
        </w:rPr>
        <w:t>物业专项维修资金管理平台</w:t>
      </w:r>
      <w:r>
        <w:rPr>
          <w:rFonts w:hint="eastAsia" w:ascii="宋体" w:hAnsi="宋体" w:cs="Times New Roman"/>
          <w:bCs/>
          <w:color w:val="auto"/>
          <w:szCs w:val="21"/>
          <w:highlight w:val="none"/>
          <w:lang w:val="en-US" w:eastAsia="zh-CN"/>
        </w:rPr>
        <w:t>能</w:t>
      </w:r>
      <w:r>
        <w:rPr>
          <w:rFonts w:hint="eastAsia" w:ascii="宋体" w:hAnsi="宋体" w:eastAsia="宋体" w:cs="Times New Roman"/>
          <w:bCs/>
          <w:color w:val="auto"/>
          <w:szCs w:val="21"/>
          <w:highlight w:val="none"/>
          <w:lang w:val="en" w:eastAsia="zh-CN"/>
        </w:rPr>
        <w:t>通过密码应用安全性评估及等保三级正式测评</w:t>
      </w:r>
      <w:r>
        <w:rPr>
          <w:rFonts w:hint="eastAsia" w:ascii="宋体" w:hAnsi="宋体" w:cs="Times New Roman"/>
          <w:bCs/>
          <w:color w:val="auto"/>
          <w:szCs w:val="21"/>
          <w:highlight w:val="none"/>
          <w:lang w:val="en" w:eastAsia="zh-CN"/>
        </w:rPr>
        <w:t>。</w:t>
      </w:r>
    </w:p>
    <w:p w14:paraId="3BB392C5">
      <w:pPr>
        <w:spacing w:line="430" w:lineRule="exact"/>
        <w:rPr>
          <w:rFonts w:hint="eastAsia" w:ascii="宋体" w:hAnsi="宋体" w:eastAsia="宋体" w:cs="Times New Roman"/>
          <w:b/>
          <w:bCs/>
          <w:color w:val="auto"/>
          <w:sz w:val="24"/>
          <w:highlight w:val="none"/>
          <w:lang w:eastAsia="zh-CN"/>
        </w:rPr>
      </w:pPr>
      <w:r>
        <w:rPr>
          <w:rFonts w:hint="eastAsia" w:ascii="宋体" w:hAnsi="宋体" w:eastAsia="宋体" w:cs="Times New Roman"/>
          <w:b/>
          <w:bCs/>
          <w:color w:val="auto"/>
          <w:sz w:val="24"/>
          <w:highlight w:val="none"/>
          <w:lang w:eastAsia="zh-CN"/>
        </w:rPr>
        <w:t>六、保密要求</w:t>
      </w:r>
    </w:p>
    <w:p w14:paraId="28453E0D">
      <w:pPr>
        <w:adjustRightInd w:val="0"/>
        <w:snapToGrid w:val="0"/>
        <w:spacing w:line="43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中标供应商应如约承担合同履行时所应该尽的一切保密义务。中标供应商对项目实施过程中的资料、数据进行保密，未经采购人书面同意不得泄露，且保密责任不因合同的中止或解除而失效。</w:t>
      </w:r>
    </w:p>
    <w:p w14:paraId="63FFCCC5">
      <w:pPr>
        <w:widowControl w:val="0"/>
        <w:spacing w:line="360" w:lineRule="auto"/>
        <w:ind w:left="718" w:leftChars="1" w:hanging="716" w:hangingChars="297"/>
        <w:jc w:val="both"/>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七、其他要求与说明</w:t>
      </w:r>
    </w:p>
    <w:p w14:paraId="4ED0A889">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1．服务时间及地点</w:t>
      </w:r>
    </w:p>
    <w:p w14:paraId="6853FDF3">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1.1服务时间：本项目实施周期2年。</w:t>
      </w:r>
    </w:p>
    <w:p w14:paraId="7B9E9DCD">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1.2服务地点：采购人指定地点。</w:t>
      </w:r>
    </w:p>
    <w:p w14:paraId="6A89886C">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2．结算方法</w:t>
      </w:r>
    </w:p>
    <w:p w14:paraId="5CD9D514">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2.1付款人：郴州市住房保障服务中心</w:t>
      </w:r>
    </w:p>
    <w:p w14:paraId="024E2069">
      <w:pPr>
        <w:keepNext w:val="0"/>
        <w:keepLines w:val="0"/>
        <w:pageBreakBefore w:val="0"/>
        <w:widowControl/>
        <w:suppressLineNumbers w:val="0"/>
        <w:kinsoku/>
        <w:wordWrap/>
        <w:overflowPunct/>
        <w:topLinePunct w:val="0"/>
        <w:autoSpaceDE/>
        <w:autoSpaceDN/>
        <w:bidi w:val="0"/>
        <w:adjustRightInd/>
        <w:snapToGrid/>
        <w:spacing w:line="480" w:lineRule="exact"/>
        <w:ind w:firstLine="420" w:firstLineChars="200"/>
        <w:jc w:val="both"/>
        <w:textAlignment w:val="auto"/>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2.2付款方式：合同签订后中标人按照投标文件中承诺的施工进度进行系统功能升级和数据清理两块功能建设，中标人完成项目总工作量的30%后，采购人向中标人据实支付不高于合同中标总价 30%；完成项目总工作量的50%后，采购人向中标人据实支付至不高于合同中标总价 50%；项目整体完工验收合格后支付至合同标的金额的90%，项目平稳运行6个月后支付至合同金额的95%（无息），项目平稳运行1年后支付剩余5%合同金额（无息）。（具体合同中约定）</w:t>
      </w:r>
    </w:p>
    <w:p w14:paraId="114F9498">
      <w:pPr>
        <w:keepNext w:val="0"/>
        <w:keepLines w:val="0"/>
        <w:pageBreakBefore w:val="0"/>
        <w:widowControl/>
        <w:suppressLineNumbers w:val="0"/>
        <w:kinsoku/>
        <w:wordWrap/>
        <w:overflowPunct/>
        <w:topLinePunct w:val="0"/>
        <w:autoSpaceDE/>
        <w:autoSpaceDN/>
        <w:bidi w:val="0"/>
        <w:adjustRightInd/>
        <w:snapToGrid/>
        <w:spacing w:line="480" w:lineRule="exact"/>
        <w:ind w:firstLine="630" w:firstLineChars="300"/>
        <w:jc w:val="both"/>
        <w:textAlignment w:val="auto"/>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上述每阶段付款条件成就时，如因财政部门未及时拨款导致采购人未能按时向中标人付款的，不视为采购人违约，即采购人无须因此向中标人承担逾期付款违约责任。</w:t>
      </w:r>
    </w:p>
    <w:p w14:paraId="470306E2">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3.投标人须结合本项目全部建设内容据实报价，投标报价包含配套设备配置、运输、保险、仓储</w:t>
      </w:r>
      <w:r>
        <w:rPr>
          <w:rFonts w:hint="eastAsia" w:ascii="宋体" w:hAnsi="宋体" w:cs="Times New Roman"/>
          <w:bCs/>
          <w:color w:val="auto"/>
          <w:szCs w:val="21"/>
          <w:highlight w:val="none"/>
          <w:lang w:val="en-US" w:eastAsia="zh-CN"/>
        </w:rPr>
        <w:t>、</w:t>
      </w:r>
      <w:r>
        <w:rPr>
          <w:rFonts w:hint="eastAsia" w:ascii="宋体" w:hAnsi="宋体" w:eastAsia="宋体" w:cs="Times New Roman"/>
          <w:bCs/>
          <w:color w:val="auto"/>
          <w:szCs w:val="21"/>
          <w:highlight w:val="none"/>
          <w:lang w:val="en-US" w:eastAsia="zh-CN"/>
        </w:rPr>
        <w:t>保管、软件开发、系统</w:t>
      </w:r>
      <w:r>
        <w:rPr>
          <w:rFonts w:hint="eastAsia" w:ascii="宋体" w:hAnsi="宋体" w:cs="Times New Roman"/>
          <w:bCs/>
          <w:color w:val="auto"/>
          <w:szCs w:val="21"/>
          <w:highlight w:val="none"/>
          <w:lang w:val="en-US" w:eastAsia="zh-CN"/>
        </w:rPr>
        <w:t>升级</w:t>
      </w:r>
      <w:r>
        <w:rPr>
          <w:rFonts w:hint="eastAsia" w:ascii="宋体" w:hAnsi="宋体" w:eastAsia="宋体" w:cs="Times New Roman"/>
          <w:bCs/>
          <w:color w:val="auto"/>
          <w:szCs w:val="21"/>
          <w:highlight w:val="none"/>
          <w:lang w:val="en-US" w:eastAsia="zh-CN"/>
        </w:rPr>
        <w:t>、</w:t>
      </w:r>
      <w:r>
        <w:rPr>
          <w:rFonts w:hint="eastAsia" w:ascii="宋体" w:hAnsi="宋体" w:cs="Times New Roman"/>
          <w:bCs/>
          <w:color w:val="auto"/>
          <w:szCs w:val="21"/>
          <w:highlight w:val="none"/>
          <w:lang w:val="en-US" w:eastAsia="zh-CN"/>
        </w:rPr>
        <w:t>数据清理、</w:t>
      </w:r>
      <w:r>
        <w:rPr>
          <w:rFonts w:hint="eastAsia" w:ascii="宋体" w:hAnsi="宋体" w:eastAsia="宋体" w:cs="Times New Roman"/>
          <w:bCs/>
          <w:color w:val="auto"/>
          <w:szCs w:val="21"/>
          <w:highlight w:val="none"/>
          <w:lang w:val="en-US" w:eastAsia="zh-CN"/>
        </w:rPr>
        <w:t>部署实施、对接适配、安装调试、测试整改、试运行、验收交付、培训服务、质保运维、技术对接、材料耗材、人工成本、管理费、税费、财务费用及完成本项目全部工作所需的一切费用。中标后，凡属于本项目建设范围的内容，若存在报价漏项、内容缺项，均由中标人无偿补足完成，采购人不再另行支付任何额外费用。</w:t>
      </w:r>
    </w:p>
    <w:p w14:paraId="351BC3C7">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4.本项目中定制开发的软件产品，成果及知识产权归采购人所有，未经采购人</w:t>
      </w:r>
      <w:r>
        <w:rPr>
          <w:rFonts w:hint="eastAsia" w:ascii="宋体" w:hAnsi="宋体" w:cs="Times New Roman"/>
          <w:bCs/>
          <w:color w:val="auto"/>
          <w:szCs w:val="21"/>
          <w:highlight w:val="none"/>
          <w:lang w:val="en-US" w:eastAsia="zh-CN"/>
        </w:rPr>
        <w:t>书面</w:t>
      </w:r>
      <w:r>
        <w:rPr>
          <w:rFonts w:hint="eastAsia" w:ascii="宋体" w:hAnsi="宋体" w:eastAsia="宋体" w:cs="Times New Roman"/>
          <w:bCs/>
          <w:color w:val="auto"/>
          <w:szCs w:val="21"/>
          <w:highlight w:val="none"/>
          <w:lang w:val="en-US" w:eastAsia="zh-CN"/>
        </w:rPr>
        <w:t>许可，中标人不得转让；</w:t>
      </w:r>
      <w:r>
        <w:rPr>
          <w:rFonts w:hint="eastAsia" w:ascii="宋体" w:hAnsi="宋体" w:cs="Times New Roman"/>
          <w:bCs/>
          <w:color w:val="auto"/>
          <w:szCs w:val="21"/>
          <w:highlight w:val="none"/>
          <w:lang w:val="en-US" w:eastAsia="zh-CN"/>
        </w:rPr>
        <w:t>本项目中</w:t>
      </w:r>
      <w:r>
        <w:rPr>
          <w:rFonts w:hint="eastAsia" w:ascii="宋体" w:hAnsi="宋体" w:eastAsia="宋体" w:cs="Times New Roman"/>
          <w:bCs/>
          <w:color w:val="auto"/>
          <w:szCs w:val="21"/>
          <w:highlight w:val="none"/>
          <w:lang w:val="en-US" w:eastAsia="zh-CN"/>
        </w:rPr>
        <w:t>历史数据清理成果、数据库台账成果</w:t>
      </w:r>
      <w:r>
        <w:rPr>
          <w:rFonts w:hint="eastAsia" w:ascii="宋体" w:hAnsi="宋体" w:cs="Times New Roman"/>
          <w:bCs/>
          <w:color w:val="auto"/>
          <w:szCs w:val="21"/>
          <w:highlight w:val="none"/>
          <w:lang w:val="en-US" w:eastAsia="zh-CN"/>
        </w:rPr>
        <w:t>及相关文档资料的知识产权</w:t>
      </w:r>
      <w:r>
        <w:rPr>
          <w:rFonts w:hint="eastAsia" w:ascii="宋体" w:hAnsi="宋体" w:eastAsia="宋体" w:cs="Times New Roman"/>
          <w:bCs/>
          <w:color w:val="auto"/>
          <w:szCs w:val="21"/>
          <w:highlight w:val="none"/>
          <w:lang w:val="en-US" w:eastAsia="zh-CN"/>
        </w:rPr>
        <w:t>归采购人</w:t>
      </w:r>
      <w:r>
        <w:rPr>
          <w:rFonts w:hint="eastAsia" w:ascii="宋体" w:hAnsi="宋体" w:cs="Times New Roman"/>
          <w:bCs/>
          <w:color w:val="auto"/>
          <w:szCs w:val="21"/>
          <w:highlight w:val="none"/>
          <w:lang w:val="en-US" w:eastAsia="zh-CN"/>
        </w:rPr>
        <w:t>所有，</w:t>
      </w:r>
      <w:r>
        <w:rPr>
          <w:rFonts w:hint="eastAsia" w:ascii="宋体" w:hAnsi="宋体" w:eastAsia="宋体" w:cs="Times New Roman"/>
          <w:bCs/>
          <w:color w:val="auto"/>
          <w:szCs w:val="21"/>
          <w:highlight w:val="none"/>
          <w:lang w:val="en-US" w:eastAsia="zh-CN"/>
        </w:rPr>
        <w:t>未经采购人书面许可，中标人不得以任何形式复制、转让、授权第三方使用，不得用于本项目以外的其他用途。</w:t>
      </w:r>
    </w:p>
    <w:p w14:paraId="17610451">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5.在项目实施过程中，中标人发生的任何人身与财物损失、安全事故等，均由中标人自行负责，采购人不承担任何责任。</w:t>
      </w:r>
    </w:p>
    <w:p w14:paraId="6FFEA0E4">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6.中标人应按照投标文件中拟投入本项目项目团队的人员配置履约，在中标后原则上不予更换，如特殊原因不能履约的，应更换同级别其他技术人员，须向采购人提交书面申请并经采购人确认同意后方可更换符合项目要求的人员，如未履行，则按违约处理，采购人有权终止合同。</w:t>
      </w:r>
    </w:p>
    <w:p w14:paraId="3D95E133">
      <w:pPr>
        <w:numPr>
          <w:ilvl w:val="0"/>
          <w:numId w:val="0"/>
        </w:numPr>
        <w:spacing w:line="440" w:lineRule="exact"/>
        <w:ind w:firstLine="420" w:firstLineChars="200"/>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7.本项目投标人如需踏勘项目现场，可以自行踏勘。投标人踏勘现场发生的费用自理，踏勘期间发生的意外自负。</w:t>
      </w:r>
    </w:p>
    <w:p w14:paraId="3A0DB126">
      <w:r>
        <w:rPr>
          <w:rFonts w:hint="eastAsia" w:ascii="方正仿宋_GB2312" w:hAnsi="方正仿宋_GB2312" w:eastAsia="方正仿宋_GB2312" w:cs="方正仿宋_GB2312"/>
          <w:b/>
          <w:bCs/>
          <w:snapToGrid w:val="0"/>
          <w:color w:val="auto"/>
          <w:kern w:val="0"/>
          <w:sz w:val="24"/>
          <w:szCs w:val="24"/>
          <w:highlight w:val="none"/>
          <w:lang w:eastAsia="en-US"/>
        </w:rPr>
        <w:t>对于上述项目要求，投标人应在投标文件中进行回应，做出承诺及说明。</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99311A8-159A-49C4-B5DF-AAAF99FF4465}"/>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2312">
    <w:panose1 w:val="02000000000000000000"/>
    <w:charset w:val="86"/>
    <w:family w:val="auto"/>
    <w:pitch w:val="default"/>
    <w:sig w:usb0="A00002BF" w:usb1="184F6CFA" w:usb2="00000012" w:usb3="00000000" w:csb0="00040001" w:csb1="00000000"/>
    <w:embedRegular r:id="rId2" w:fontKey="{ED84E2A5-9B52-4F82-8AD6-409C2D1A16B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BF49B1"/>
    <w:multiLevelType w:val="singleLevel"/>
    <w:tmpl w:val="5DBF49B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C97026"/>
    <w:rsid w:val="60C97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2026-07-31T02:09:00Z</dcterms:created>
  <dc:creator>（假知青）</dc:creator>
  <cp:lastModifiedBy>（假知青）</cp:lastModifiedBy>
  <dcterms:modified xsi:type="dcterms:W3CDTF">2026-07-31T02:09:51Z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73FCC7CB8AB845DCACD50BB88C5518F6_11</vt:lpwstr>
  </property>
  <property fmtid="{D5CDD505-2E9C-101B-9397-08002B2CF9AE}" pid="4" name="KSOTemplateDocerSaveRecord">
    <vt:lpwstr>eyJoZGlkIjoiNmZhNDI2NmE2ZDMzMGZiM2Y2MzJiOWMxMzk4NzM5NGMiLCJ1c2VySWQiOiIzNDIwMTYzODUifQ==</vt:lpwstr>
  </property>
</Properties>
</file>